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288" w:type="dxa"/>
        <w:tblLook w:val="00A0" w:firstRow="1" w:lastRow="0" w:firstColumn="1" w:lastColumn="0" w:noHBand="0" w:noVBand="0"/>
      </w:tblPr>
      <w:tblGrid>
        <w:gridCol w:w="826"/>
        <w:gridCol w:w="8390"/>
      </w:tblGrid>
      <w:tr w:rsidR="003B5FD8" w14:paraId="2A0373FB" w14:textId="77777777" w:rsidTr="2D616FFF">
        <w:tc>
          <w:tcPr>
            <w:tcW w:w="826" w:type="dxa"/>
          </w:tcPr>
          <w:p w14:paraId="1BC8CC89" w14:textId="77777777" w:rsidR="003B5FD8" w:rsidRDefault="00546E4D" w:rsidP="00632022">
            <w:pPr>
              <w:pStyle w:val="StyleMemoFrameLeft-018cm"/>
            </w:pPr>
            <w:r>
              <w:t>To:</w:t>
            </w:r>
          </w:p>
        </w:tc>
        <w:tc>
          <w:tcPr>
            <w:tcW w:w="8390" w:type="dxa"/>
          </w:tcPr>
          <w:p w14:paraId="015B6377" w14:textId="05650AA3" w:rsidR="003B5FD8" w:rsidRPr="001C0E7B" w:rsidRDefault="006D5F4C">
            <w:pPr>
              <w:pStyle w:val="MemoFrame"/>
              <w:rPr>
                <w:rFonts w:ascii="Palatino Linotype" w:hAnsi="Palatino Linotype"/>
                <w:b w:val="0"/>
                <w:bCs/>
              </w:rPr>
            </w:pPr>
            <w:r w:rsidRPr="000E0A94">
              <w:rPr>
                <w:rFonts w:asciiTheme="majorHAnsi" w:hAnsiTheme="majorHAnsi" w:cstheme="majorHAnsi"/>
                <w:b w:val="0"/>
                <w:bCs/>
              </w:rPr>
              <w:t>Peoples Gas</w:t>
            </w:r>
            <w:r w:rsidR="001C0E7B" w:rsidRPr="001C0E7B">
              <w:rPr>
                <w:b w:val="0"/>
                <w:bCs/>
              </w:rPr>
              <w:t xml:space="preserve">; </w:t>
            </w:r>
            <w:r w:rsidR="001C0E7B" w:rsidRPr="001C0E7B">
              <w:rPr>
                <w:rFonts w:cs="Arial"/>
                <w:b w:val="0"/>
                <w:bCs/>
              </w:rPr>
              <w:t xml:space="preserve">Jennifer Morris, </w:t>
            </w:r>
            <w:r w:rsidR="002A0D6C">
              <w:rPr>
                <w:rFonts w:cs="Arial"/>
                <w:b w:val="0"/>
                <w:bCs/>
              </w:rPr>
              <w:t xml:space="preserve">David Brightwell, </w:t>
            </w:r>
            <w:r w:rsidR="001C0E7B" w:rsidRPr="001C0E7B">
              <w:rPr>
                <w:rFonts w:cs="Arial"/>
                <w:b w:val="0"/>
                <w:bCs/>
              </w:rPr>
              <w:t>ICC Staff</w:t>
            </w:r>
            <w:r w:rsidR="00101E2C">
              <w:rPr>
                <w:rFonts w:cs="Arial"/>
                <w:b w:val="0"/>
                <w:bCs/>
              </w:rPr>
              <w:t>; Celia Johnson, Illinois SAG</w:t>
            </w:r>
          </w:p>
        </w:tc>
      </w:tr>
      <w:tr w:rsidR="003B5FD8" w14:paraId="5FC5568D" w14:textId="77777777" w:rsidTr="2D616FFF">
        <w:tc>
          <w:tcPr>
            <w:tcW w:w="826" w:type="dxa"/>
          </w:tcPr>
          <w:p w14:paraId="618538AA" w14:textId="77777777" w:rsidR="003B5FD8" w:rsidRDefault="003B5FD8">
            <w:pPr>
              <w:pStyle w:val="MemoFrame"/>
              <w:rPr>
                <w:rFonts w:ascii="Palatino Linotype" w:hAnsi="Palatino Linotype"/>
              </w:rPr>
            </w:pPr>
          </w:p>
        </w:tc>
        <w:tc>
          <w:tcPr>
            <w:tcW w:w="8390" w:type="dxa"/>
          </w:tcPr>
          <w:p w14:paraId="4EDBC299" w14:textId="77777777" w:rsidR="003B5FD8" w:rsidRDefault="003B5FD8">
            <w:pPr>
              <w:pStyle w:val="MemoFrame"/>
              <w:rPr>
                <w:rFonts w:ascii="Palatino Linotype" w:hAnsi="Palatino Linotype"/>
              </w:rPr>
            </w:pPr>
          </w:p>
        </w:tc>
      </w:tr>
      <w:tr w:rsidR="003B5FD8" w14:paraId="6E383BE3" w14:textId="77777777" w:rsidTr="2D616FFF">
        <w:tc>
          <w:tcPr>
            <w:tcW w:w="826" w:type="dxa"/>
          </w:tcPr>
          <w:p w14:paraId="30963970" w14:textId="77777777" w:rsidR="003B5FD8" w:rsidRDefault="00546E4D" w:rsidP="00632022">
            <w:pPr>
              <w:pStyle w:val="StyleMemoFrameLeft-018cm"/>
            </w:pPr>
            <w:r>
              <w:t>From:</w:t>
            </w:r>
          </w:p>
        </w:tc>
        <w:tc>
          <w:tcPr>
            <w:tcW w:w="8390" w:type="dxa"/>
          </w:tcPr>
          <w:p w14:paraId="4E168AA4" w14:textId="5FF14D4B" w:rsidR="00176C63" w:rsidRDefault="00176C63">
            <w:pPr>
              <w:pStyle w:val="MemoFrame"/>
              <w:rPr>
                <w:rFonts w:asciiTheme="majorHAnsi" w:hAnsiTheme="majorHAnsi" w:cstheme="majorHAnsi"/>
                <w:b w:val="0"/>
                <w:bCs/>
              </w:rPr>
            </w:pPr>
            <w:r w:rsidRPr="001C0E7B">
              <w:rPr>
                <w:rFonts w:asciiTheme="majorHAnsi" w:hAnsiTheme="majorHAnsi" w:cstheme="majorHAnsi"/>
                <w:b w:val="0"/>
                <w:bCs/>
              </w:rPr>
              <w:t xml:space="preserve">Kevin Grabner, Sophie Gunderson, </w:t>
            </w:r>
            <w:r w:rsidR="00CD1CD1">
              <w:rPr>
                <w:rFonts w:asciiTheme="majorHAnsi" w:hAnsiTheme="majorHAnsi" w:cstheme="majorHAnsi"/>
                <w:b w:val="0"/>
                <w:bCs/>
              </w:rPr>
              <w:t xml:space="preserve">Ethan Young, </w:t>
            </w:r>
            <w:r w:rsidR="00AE3866">
              <w:rPr>
                <w:rFonts w:asciiTheme="majorHAnsi" w:hAnsiTheme="majorHAnsi" w:cstheme="majorHAnsi"/>
                <w:b w:val="0"/>
                <w:bCs/>
              </w:rPr>
              <w:t xml:space="preserve">Patricia Plympton, </w:t>
            </w:r>
            <w:r w:rsidRPr="001C0E7B">
              <w:rPr>
                <w:rFonts w:asciiTheme="majorHAnsi" w:hAnsiTheme="majorHAnsi" w:cstheme="majorHAnsi"/>
                <w:b w:val="0"/>
                <w:bCs/>
              </w:rPr>
              <w:t>Guidehouse</w:t>
            </w:r>
          </w:p>
          <w:p w14:paraId="0E264BD7" w14:textId="1CDFBB06" w:rsidR="00BF6EAB" w:rsidRPr="001C0E7B" w:rsidRDefault="00BF6EAB">
            <w:pPr>
              <w:pStyle w:val="MemoFrame"/>
              <w:rPr>
                <w:rFonts w:asciiTheme="majorHAnsi" w:hAnsiTheme="majorHAnsi" w:cstheme="majorHAnsi"/>
                <w:b w:val="0"/>
                <w:bCs/>
              </w:rPr>
            </w:pPr>
          </w:p>
        </w:tc>
      </w:tr>
      <w:tr w:rsidR="003B5FD8" w14:paraId="6D38B74B" w14:textId="77777777" w:rsidTr="00044858">
        <w:trPr>
          <w:trHeight w:val="378"/>
        </w:trPr>
        <w:tc>
          <w:tcPr>
            <w:tcW w:w="826" w:type="dxa"/>
          </w:tcPr>
          <w:p w14:paraId="7E5E69EC" w14:textId="11A1AA89" w:rsidR="003B5FD8" w:rsidRPr="00E2585A" w:rsidRDefault="00D66F34" w:rsidP="00E2585A">
            <w:pPr>
              <w:pStyle w:val="MemoFrame"/>
              <w:ind w:left="-87"/>
              <w:rPr>
                <w:rFonts w:asciiTheme="majorHAnsi" w:hAnsiTheme="majorHAnsi" w:cstheme="majorHAnsi"/>
              </w:rPr>
            </w:pPr>
            <w:r w:rsidRPr="00E2585A">
              <w:rPr>
                <w:rFonts w:asciiTheme="majorHAnsi" w:hAnsiTheme="majorHAnsi" w:cstheme="majorHAnsi"/>
              </w:rPr>
              <w:t>Cc:</w:t>
            </w:r>
          </w:p>
        </w:tc>
        <w:tc>
          <w:tcPr>
            <w:tcW w:w="8390" w:type="dxa"/>
          </w:tcPr>
          <w:p w14:paraId="071289AF" w14:textId="02A5A595" w:rsidR="00BF6EAB" w:rsidRPr="00ED4876" w:rsidRDefault="00D66F34" w:rsidP="00044858">
            <w:pPr>
              <w:pStyle w:val="MemoFrame"/>
              <w:rPr>
                <w:rFonts w:asciiTheme="majorHAnsi" w:hAnsiTheme="majorHAnsi" w:cstheme="majorHAnsi"/>
                <w:b w:val="0"/>
                <w:bCs/>
              </w:rPr>
            </w:pPr>
            <w:r w:rsidRPr="00ED4876">
              <w:rPr>
                <w:rFonts w:asciiTheme="majorHAnsi" w:hAnsiTheme="majorHAnsi" w:cstheme="majorHAnsi"/>
                <w:b w:val="0"/>
                <w:bCs/>
              </w:rPr>
              <w:t xml:space="preserve">Randy Gunn, </w:t>
            </w:r>
            <w:r w:rsidR="006D5F4C" w:rsidRPr="00B95F22">
              <w:rPr>
                <w:rFonts w:asciiTheme="majorHAnsi" w:hAnsiTheme="majorHAnsi" w:cstheme="majorHAnsi"/>
                <w:b w:val="0"/>
                <w:bCs/>
              </w:rPr>
              <w:t>Rob Neumann</w:t>
            </w:r>
            <w:r w:rsidR="006D5F4C">
              <w:rPr>
                <w:rFonts w:asciiTheme="majorHAnsi" w:hAnsiTheme="majorHAnsi" w:cstheme="majorHAnsi"/>
                <w:b w:val="0"/>
                <w:bCs/>
              </w:rPr>
              <w:t>,</w:t>
            </w:r>
            <w:r w:rsidR="006D5F4C" w:rsidRPr="00B95F22">
              <w:rPr>
                <w:rFonts w:asciiTheme="majorHAnsi" w:hAnsiTheme="majorHAnsi" w:cstheme="majorHAnsi"/>
                <w:b w:val="0"/>
                <w:bCs/>
              </w:rPr>
              <w:t xml:space="preserve"> </w:t>
            </w:r>
            <w:r w:rsidRPr="00ED4876">
              <w:rPr>
                <w:rFonts w:asciiTheme="majorHAnsi" w:hAnsiTheme="majorHAnsi" w:cstheme="majorHAnsi"/>
                <w:b w:val="0"/>
                <w:bCs/>
              </w:rPr>
              <w:t>Guidehouse</w:t>
            </w:r>
          </w:p>
        </w:tc>
      </w:tr>
      <w:tr w:rsidR="003B5FD8" w:rsidRPr="00E4188C" w14:paraId="06F7CC0D" w14:textId="77777777" w:rsidTr="2D616FFF">
        <w:tc>
          <w:tcPr>
            <w:tcW w:w="826" w:type="dxa"/>
          </w:tcPr>
          <w:p w14:paraId="33DCA558" w14:textId="77777777" w:rsidR="003B5FD8" w:rsidRPr="00304BF4" w:rsidRDefault="00546E4D" w:rsidP="00632022">
            <w:pPr>
              <w:pStyle w:val="StyleMemoFrameLeft-018cm"/>
              <w:rPr>
                <w:color w:val="auto"/>
              </w:rPr>
            </w:pPr>
            <w:r w:rsidRPr="00304BF4">
              <w:rPr>
                <w:color w:val="auto"/>
              </w:rPr>
              <w:t>Date:</w:t>
            </w:r>
          </w:p>
        </w:tc>
        <w:tc>
          <w:tcPr>
            <w:tcW w:w="8390" w:type="dxa"/>
          </w:tcPr>
          <w:p w14:paraId="32BFE66E" w14:textId="14918879" w:rsidR="003B5FD8" w:rsidRPr="00304BF4" w:rsidRDefault="00D6386B" w:rsidP="2D616FFF">
            <w:pPr>
              <w:pStyle w:val="MemoFrame"/>
              <w:rPr>
                <w:b w:val="0"/>
                <w:color w:val="auto"/>
              </w:rPr>
            </w:pPr>
            <w:r w:rsidRPr="00304BF4">
              <w:rPr>
                <w:b w:val="0"/>
                <w:color w:val="auto"/>
              </w:rPr>
              <w:t xml:space="preserve">October </w:t>
            </w:r>
            <w:r w:rsidR="00F577DE">
              <w:rPr>
                <w:b w:val="0"/>
                <w:color w:val="auto"/>
              </w:rPr>
              <w:t>13</w:t>
            </w:r>
            <w:r w:rsidR="00176C63" w:rsidRPr="00304BF4">
              <w:rPr>
                <w:b w:val="0"/>
                <w:color w:val="auto"/>
              </w:rPr>
              <w:t>, 2020</w:t>
            </w:r>
          </w:p>
        </w:tc>
      </w:tr>
      <w:tr w:rsidR="003B5FD8" w:rsidRPr="00E4188C" w14:paraId="6B748653" w14:textId="77777777" w:rsidTr="2D616FFF">
        <w:tc>
          <w:tcPr>
            <w:tcW w:w="826" w:type="dxa"/>
          </w:tcPr>
          <w:p w14:paraId="6B5BCA23" w14:textId="77777777" w:rsidR="003B5FD8" w:rsidRDefault="003B5FD8">
            <w:pPr>
              <w:pStyle w:val="MemoFrame"/>
              <w:rPr>
                <w:rFonts w:ascii="Palatino Linotype" w:hAnsi="Palatino Linotype"/>
              </w:rPr>
            </w:pPr>
          </w:p>
        </w:tc>
        <w:tc>
          <w:tcPr>
            <w:tcW w:w="8390" w:type="dxa"/>
          </w:tcPr>
          <w:p w14:paraId="3B66A27E" w14:textId="77777777" w:rsidR="003B5FD8" w:rsidRPr="00ED4876" w:rsidRDefault="003B5FD8">
            <w:pPr>
              <w:pStyle w:val="MemoFrame"/>
              <w:rPr>
                <w:rFonts w:ascii="Palatino Linotype" w:hAnsi="Palatino Linotype"/>
              </w:rPr>
            </w:pPr>
          </w:p>
        </w:tc>
      </w:tr>
      <w:tr w:rsidR="003B5FD8" w:rsidRPr="00E4188C" w14:paraId="0FF3A61F" w14:textId="77777777" w:rsidTr="2D616FFF">
        <w:tc>
          <w:tcPr>
            <w:tcW w:w="826" w:type="dxa"/>
          </w:tcPr>
          <w:p w14:paraId="70521416" w14:textId="3E0774AF" w:rsidR="003B5FD8" w:rsidRPr="00176C63" w:rsidRDefault="00546E4D" w:rsidP="00632022">
            <w:pPr>
              <w:pStyle w:val="StyleMemoFrameLeft-018cm"/>
              <w:rPr>
                <w:b w:val="0"/>
                <w:bCs w:val="0"/>
              </w:rPr>
            </w:pPr>
            <w:r>
              <w:t>Re:</w:t>
            </w:r>
            <w:r w:rsidR="00176C63">
              <w:t xml:space="preserve"> </w:t>
            </w:r>
          </w:p>
        </w:tc>
        <w:tc>
          <w:tcPr>
            <w:tcW w:w="8390" w:type="dxa"/>
          </w:tcPr>
          <w:p w14:paraId="17D98C9A" w14:textId="2E2D3A36" w:rsidR="003B5FD8" w:rsidRPr="00E4188C" w:rsidRDefault="00C43D72">
            <w:pPr>
              <w:pStyle w:val="MemoFrame"/>
              <w:rPr>
                <w:rFonts w:ascii="Palatino Linotype" w:hAnsi="Palatino Linotype"/>
              </w:rPr>
            </w:pPr>
            <w:r w:rsidRPr="00E4188C">
              <w:rPr>
                <w:rFonts w:asciiTheme="minorHAnsi" w:hAnsiTheme="minorHAnsi" w:cstheme="minorHAnsi"/>
                <w:b w:val="0"/>
                <w:bCs/>
                <w:szCs w:val="20"/>
              </w:rPr>
              <w:t>Recommended</w:t>
            </w:r>
            <w:r w:rsidR="00497D7A" w:rsidRPr="00E4188C">
              <w:rPr>
                <w:rFonts w:asciiTheme="minorHAnsi" w:hAnsiTheme="minorHAnsi" w:cstheme="minorHAnsi"/>
                <w:b w:val="0"/>
                <w:bCs/>
                <w:szCs w:val="20"/>
              </w:rPr>
              <w:t xml:space="preserve"> </w:t>
            </w:r>
            <w:r w:rsidR="00684044" w:rsidRPr="00E4188C">
              <w:rPr>
                <w:rFonts w:asciiTheme="minorHAnsi" w:hAnsiTheme="minorHAnsi" w:cstheme="minorHAnsi"/>
                <w:b w:val="0"/>
                <w:bCs/>
                <w:szCs w:val="20"/>
              </w:rPr>
              <w:t>Non-Energy Impacts</w:t>
            </w:r>
            <w:r w:rsidR="009275F6" w:rsidRPr="00E4188C">
              <w:rPr>
                <w:rFonts w:asciiTheme="minorHAnsi" w:hAnsiTheme="minorHAnsi" w:cstheme="minorHAnsi"/>
                <w:b w:val="0"/>
                <w:bCs/>
                <w:szCs w:val="20"/>
              </w:rPr>
              <w:t xml:space="preserve"> </w:t>
            </w:r>
            <w:r w:rsidR="00706D7D" w:rsidRPr="00E4188C">
              <w:rPr>
                <w:rFonts w:asciiTheme="minorHAnsi" w:hAnsiTheme="minorHAnsi" w:cstheme="minorHAnsi"/>
                <w:b w:val="0"/>
                <w:bCs/>
                <w:szCs w:val="20"/>
              </w:rPr>
              <w:t xml:space="preserve">for </w:t>
            </w:r>
            <w:r w:rsidR="00363BBB">
              <w:rPr>
                <w:rFonts w:asciiTheme="minorHAnsi" w:hAnsiTheme="minorHAnsi" w:cstheme="minorHAnsi"/>
                <w:b w:val="0"/>
                <w:bCs/>
                <w:szCs w:val="20"/>
              </w:rPr>
              <w:t>Peoples</w:t>
            </w:r>
            <w:r w:rsidR="00C0187D" w:rsidRPr="00E4188C">
              <w:rPr>
                <w:rFonts w:asciiTheme="minorHAnsi" w:hAnsiTheme="minorHAnsi" w:cstheme="minorHAnsi"/>
                <w:b w:val="0"/>
                <w:bCs/>
                <w:szCs w:val="20"/>
              </w:rPr>
              <w:t xml:space="preserve"> Gas</w:t>
            </w:r>
            <w:r w:rsidR="00525831" w:rsidRPr="00E4188C">
              <w:rPr>
                <w:rFonts w:asciiTheme="minorHAnsi" w:hAnsiTheme="minorHAnsi" w:cstheme="minorHAnsi"/>
                <w:b w:val="0"/>
                <w:bCs/>
                <w:szCs w:val="20"/>
              </w:rPr>
              <w:t>’ Cost-Effectiveness Tests</w:t>
            </w:r>
          </w:p>
        </w:tc>
      </w:tr>
    </w:tbl>
    <w:p w14:paraId="04420FC5" w14:textId="7563A166" w:rsidR="00062AAB" w:rsidRDefault="00062AAB" w:rsidP="00A94D41">
      <w:pPr>
        <w:rPr>
          <w:snapToGrid w:val="0"/>
        </w:rPr>
      </w:pPr>
    </w:p>
    <w:p w14:paraId="0A33C609" w14:textId="6EE03EF9" w:rsidR="00062AAB" w:rsidRDefault="00062AAB" w:rsidP="00062AAB">
      <w:pPr>
        <w:pStyle w:val="Heading1"/>
        <w:spacing w:before="360" w:after="120" w:line="240" w:lineRule="auto"/>
        <w:contextualSpacing/>
        <w:rPr>
          <w:rFonts w:eastAsiaTheme="minorHAnsi" w:cs="Arial"/>
          <w:bCs/>
          <w:smallCaps/>
          <w:color w:val="93D500" w:themeColor="accent1"/>
          <w:kern w:val="28"/>
          <w:position w:val="6"/>
          <w:sz w:val="28"/>
          <w:szCs w:val="26"/>
        </w:rPr>
      </w:pPr>
      <w:r w:rsidRPr="00062AAB">
        <w:rPr>
          <w:rFonts w:eastAsiaTheme="minorHAnsi" w:cs="Arial"/>
          <w:bCs/>
          <w:smallCaps/>
          <w:color w:val="93D500" w:themeColor="accent1"/>
          <w:kern w:val="28"/>
          <w:position w:val="6"/>
          <w:sz w:val="28"/>
          <w:szCs w:val="26"/>
        </w:rPr>
        <w:t>Introduction</w:t>
      </w:r>
    </w:p>
    <w:p w14:paraId="0A006F84" w14:textId="2B3D1AE0" w:rsidR="00C404B6" w:rsidRPr="00C404B6" w:rsidRDefault="00C404B6" w:rsidP="00C404B6">
      <w:pPr>
        <w:rPr>
          <w:rFonts w:asciiTheme="minorHAnsi" w:hAnsiTheme="minorHAnsi" w:cstheme="minorHAnsi"/>
          <w:sz w:val="20"/>
          <w:szCs w:val="20"/>
        </w:rPr>
      </w:pPr>
      <w:r w:rsidRPr="00C404B6">
        <w:rPr>
          <w:rFonts w:asciiTheme="minorHAnsi" w:hAnsiTheme="minorHAnsi" w:cstheme="minorHAnsi"/>
          <w:sz w:val="20"/>
          <w:szCs w:val="20"/>
        </w:rPr>
        <w:t>In December 2016, the Illinois General Assembly passed the Future Energy Jobs Act, which contains language on including additional non-energy benefits (now described as non-energy impacts (NEIs</w:t>
      </w:r>
      <w:r w:rsidR="00EF1031">
        <w:rPr>
          <w:rFonts w:asciiTheme="minorHAnsi" w:hAnsiTheme="minorHAnsi" w:cstheme="minorHAnsi"/>
          <w:sz w:val="20"/>
          <w:szCs w:val="20"/>
        </w:rPr>
        <w:t>)</w:t>
      </w:r>
      <w:r w:rsidRPr="00C404B6">
        <w:rPr>
          <w:rFonts w:asciiTheme="minorHAnsi" w:hAnsiTheme="minorHAnsi" w:cstheme="minorHAnsi"/>
          <w:sz w:val="20"/>
          <w:szCs w:val="20"/>
        </w:rPr>
        <w:t>) in energy efficiency programs’ total resource cost (TRC) tests</w:t>
      </w:r>
      <w:r w:rsidRPr="00C404B6">
        <w:rPr>
          <w:rStyle w:val="FootnoteReference"/>
          <w:rFonts w:asciiTheme="minorHAnsi" w:hAnsiTheme="minorHAnsi" w:cstheme="minorHAnsi"/>
          <w:sz w:val="20"/>
          <w:szCs w:val="20"/>
        </w:rPr>
        <w:footnoteReference w:id="2"/>
      </w:r>
      <w:r w:rsidRPr="00C404B6">
        <w:rPr>
          <w:rFonts w:asciiTheme="minorHAnsi" w:hAnsiTheme="minorHAnsi" w:cstheme="minorHAnsi"/>
          <w:sz w:val="20"/>
          <w:szCs w:val="20"/>
        </w:rPr>
        <w:t>.</w:t>
      </w:r>
    </w:p>
    <w:p w14:paraId="4DC2DDB7" w14:textId="7B4C4367" w:rsidR="00C404B6" w:rsidRDefault="00C404B6" w:rsidP="00C404B6">
      <w:pPr>
        <w:rPr>
          <w:rFonts w:asciiTheme="minorHAnsi" w:hAnsiTheme="minorHAnsi" w:cstheme="minorHAnsi"/>
          <w:i/>
          <w:iCs/>
          <w:sz w:val="20"/>
          <w:szCs w:val="20"/>
        </w:rPr>
      </w:pPr>
    </w:p>
    <w:p w14:paraId="37C2C5CC" w14:textId="2009CE04" w:rsidR="00C24F19" w:rsidRPr="00C404B6" w:rsidRDefault="00C24F19" w:rsidP="00C404B6">
      <w:pPr>
        <w:rPr>
          <w:rFonts w:asciiTheme="minorHAnsi" w:hAnsiTheme="minorHAnsi" w:cstheme="minorHAnsi"/>
          <w:i/>
          <w:iCs/>
          <w:sz w:val="20"/>
          <w:szCs w:val="20"/>
        </w:rPr>
      </w:pPr>
      <w:r>
        <w:rPr>
          <w:rFonts w:asciiTheme="minorHAnsi" w:hAnsiTheme="minorHAnsi" w:cstheme="minorHAnsi"/>
          <w:i/>
          <w:iCs/>
          <w:sz w:val="20"/>
          <w:szCs w:val="20"/>
        </w:rPr>
        <w:t>Electric</w:t>
      </w:r>
    </w:p>
    <w:p w14:paraId="47C08940" w14:textId="77777777" w:rsidR="00C404B6" w:rsidRPr="00C404B6" w:rsidRDefault="00C404B6" w:rsidP="00C404B6">
      <w:pPr>
        <w:ind w:left="720" w:right="630"/>
        <w:rPr>
          <w:rFonts w:asciiTheme="minorHAnsi" w:hAnsiTheme="minorHAnsi" w:cstheme="minorHAnsi"/>
          <w:i/>
          <w:iCs/>
          <w:sz w:val="20"/>
          <w:szCs w:val="20"/>
        </w:rPr>
      </w:pPr>
      <w:r w:rsidRPr="00C404B6">
        <w:rPr>
          <w:rFonts w:asciiTheme="minorHAnsi" w:hAnsiTheme="minorHAnsi" w:cstheme="minorHAnsi"/>
          <w:i/>
          <w:iCs/>
          <w:sz w:val="20"/>
          <w:szCs w:val="20"/>
        </w:rPr>
        <w:t>“A total resource cost test compares the sum of avoided electric utility costs, representing the benefits that accrue to the system and participant in the delivery of those efficiency measures and including avoided costs associated with reduced use of natural gas or other fuels, avoided costs associated with reduced water consumption, and avoided costs associated with reduced operation and maintenance costs, as well as other quantifiable social benefits…”.</w:t>
      </w:r>
    </w:p>
    <w:p w14:paraId="370F3AD5" w14:textId="77777777" w:rsidR="00C24F19" w:rsidRDefault="00C24F19" w:rsidP="00C404B6">
      <w:pPr>
        <w:rPr>
          <w:rFonts w:asciiTheme="minorHAnsi" w:hAnsiTheme="minorHAnsi" w:cstheme="minorHAnsi"/>
          <w:sz w:val="20"/>
          <w:szCs w:val="20"/>
        </w:rPr>
      </w:pPr>
    </w:p>
    <w:p w14:paraId="405E38F0" w14:textId="04CC9225" w:rsidR="00C404B6" w:rsidRPr="00C24F19" w:rsidRDefault="00C24F19" w:rsidP="00C404B6">
      <w:pPr>
        <w:rPr>
          <w:rFonts w:asciiTheme="minorHAnsi" w:hAnsiTheme="minorHAnsi" w:cstheme="minorHAnsi"/>
          <w:i/>
          <w:iCs/>
          <w:sz w:val="20"/>
          <w:szCs w:val="20"/>
        </w:rPr>
      </w:pPr>
      <w:r w:rsidRPr="00C24F19">
        <w:rPr>
          <w:rFonts w:asciiTheme="minorHAnsi" w:hAnsiTheme="minorHAnsi" w:cstheme="minorHAnsi"/>
          <w:i/>
          <w:iCs/>
          <w:sz w:val="20"/>
          <w:szCs w:val="20"/>
        </w:rPr>
        <w:t>Natural Gas</w:t>
      </w:r>
    </w:p>
    <w:p w14:paraId="53FC95CA" w14:textId="59FD5DD2" w:rsidR="00C24F19" w:rsidRPr="00C24F19" w:rsidRDefault="00C24F19" w:rsidP="00C24F19">
      <w:pPr>
        <w:ind w:left="720" w:right="630"/>
        <w:rPr>
          <w:rFonts w:asciiTheme="minorHAnsi" w:hAnsiTheme="minorHAnsi" w:cstheme="minorHAnsi"/>
          <w:i/>
          <w:iCs/>
          <w:sz w:val="20"/>
          <w:szCs w:val="20"/>
        </w:rPr>
      </w:pPr>
      <w:r w:rsidRPr="00C24F19">
        <w:rPr>
          <w:rFonts w:asciiTheme="minorHAnsi" w:hAnsiTheme="minorHAnsi" w:cstheme="minorHAnsi"/>
          <w:i/>
          <w:iCs/>
          <w:sz w:val="20"/>
          <w:szCs w:val="20"/>
        </w:rPr>
        <w:t>“The total resource cost test compares the sum of avoided natural gas utility costs, representing the benefits that accrue to the system and the participant in the delivery of those efficiency measures, as well as other quantifiable societal benefits, including avoided electric utility costs…”</w:t>
      </w:r>
    </w:p>
    <w:p w14:paraId="39208F3F" w14:textId="77777777" w:rsidR="00C24F19" w:rsidRPr="00C404B6" w:rsidRDefault="00C24F19" w:rsidP="00C404B6">
      <w:pPr>
        <w:rPr>
          <w:rFonts w:asciiTheme="minorHAnsi" w:hAnsiTheme="minorHAnsi" w:cstheme="minorHAnsi"/>
          <w:sz w:val="20"/>
          <w:szCs w:val="20"/>
        </w:rPr>
      </w:pPr>
    </w:p>
    <w:p w14:paraId="79BB1D1C" w14:textId="77777777" w:rsidR="00C404B6" w:rsidRPr="00C404B6" w:rsidRDefault="00C404B6" w:rsidP="00C404B6">
      <w:pPr>
        <w:rPr>
          <w:rFonts w:asciiTheme="minorHAnsi" w:hAnsiTheme="minorHAnsi" w:cstheme="minorHAnsi"/>
          <w:sz w:val="20"/>
          <w:szCs w:val="20"/>
        </w:rPr>
      </w:pPr>
      <w:r w:rsidRPr="00C404B6">
        <w:rPr>
          <w:rFonts w:asciiTheme="minorHAnsi" w:hAnsiTheme="minorHAnsi" w:cstheme="minorHAnsi"/>
          <w:sz w:val="20"/>
          <w:szCs w:val="20"/>
        </w:rPr>
        <w:t>FEJA also contains language regarding not requiring income eligible programs to meet the TRC test:</w:t>
      </w:r>
    </w:p>
    <w:p w14:paraId="1A58B7C8" w14:textId="76E73A2E" w:rsidR="00C404B6" w:rsidRDefault="00C404B6" w:rsidP="00C404B6">
      <w:pPr>
        <w:rPr>
          <w:rFonts w:asciiTheme="minorHAnsi" w:hAnsiTheme="minorHAnsi" w:cstheme="minorHAnsi"/>
          <w:i/>
          <w:iCs/>
          <w:sz w:val="20"/>
          <w:szCs w:val="20"/>
        </w:rPr>
      </w:pPr>
    </w:p>
    <w:p w14:paraId="3A69FA4F" w14:textId="77777777" w:rsidR="00C24F19" w:rsidRPr="00C404B6" w:rsidRDefault="00C24F19" w:rsidP="00101E2C">
      <w:pPr>
        <w:keepNext/>
        <w:keepLines/>
        <w:rPr>
          <w:rFonts w:asciiTheme="minorHAnsi" w:hAnsiTheme="minorHAnsi" w:cstheme="minorHAnsi"/>
          <w:i/>
          <w:iCs/>
          <w:sz w:val="20"/>
          <w:szCs w:val="20"/>
        </w:rPr>
      </w:pPr>
      <w:r>
        <w:rPr>
          <w:rFonts w:asciiTheme="minorHAnsi" w:hAnsiTheme="minorHAnsi" w:cstheme="minorHAnsi"/>
          <w:i/>
          <w:iCs/>
          <w:sz w:val="20"/>
          <w:szCs w:val="20"/>
        </w:rPr>
        <w:t>Electric</w:t>
      </w:r>
    </w:p>
    <w:p w14:paraId="588F29D4" w14:textId="77777777" w:rsidR="00C404B6" w:rsidRPr="00C404B6" w:rsidRDefault="00C404B6" w:rsidP="00101E2C">
      <w:pPr>
        <w:keepNext/>
        <w:keepLines/>
        <w:ind w:left="720" w:right="630"/>
        <w:rPr>
          <w:rFonts w:asciiTheme="minorHAnsi" w:hAnsiTheme="minorHAnsi" w:cstheme="minorHAnsi"/>
          <w:i/>
          <w:iCs/>
          <w:sz w:val="20"/>
          <w:szCs w:val="20"/>
        </w:rPr>
      </w:pPr>
      <w:r w:rsidRPr="00C404B6">
        <w:rPr>
          <w:rFonts w:asciiTheme="minorHAnsi" w:hAnsiTheme="minorHAnsi" w:cstheme="minorHAnsi"/>
          <w:i/>
          <w:iCs/>
          <w:sz w:val="20"/>
          <w:szCs w:val="20"/>
        </w:rPr>
        <w:t>Demonstrate that its overall portfolio of measures, not including low-income programs described in subsection (c) of this Section, is cost-effective using the total resource cost test.</w:t>
      </w:r>
    </w:p>
    <w:p w14:paraId="0744905F" w14:textId="3B34FA02" w:rsidR="00C404B6" w:rsidRDefault="00C404B6" w:rsidP="00C404B6">
      <w:pPr>
        <w:ind w:left="720"/>
        <w:rPr>
          <w:rFonts w:asciiTheme="minorHAnsi" w:hAnsiTheme="minorHAnsi" w:cstheme="minorHAnsi"/>
          <w:sz w:val="20"/>
          <w:szCs w:val="20"/>
        </w:rPr>
      </w:pPr>
    </w:p>
    <w:p w14:paraId="003395D0" w14:textId="77777777" w:rsidR="00C24F19" w:rsidRPr="00C24F19" w:rsidRDefault="00C24F19" w:rsidP="00C24F19">
      <w:pPr>
        <w:rPr>
          <w:rFonts w:asciiTheme="minorHAnsi" w:hAnsiTheme="minorHAnsi" w:cstheme="minorHAnsi"/>
          <w:i/>
          <w:iCs/>
          <w:sz w:val="20"/>
          <w:szCs w:val="20"/>
        </w:rPr>
      </w:pPr>
      <w:r w:rsidRPr="00C24F19">
        <w:rPr>
          <w:rFonts w:asciiTheme="minorHAnsi" w:hAnsiTheme="minorHAnsi" w:cstheme="minorHAnsi"/>
          <w:i/>
          <w:iCs/>
          <w:sz w:val="20"/>
          <w:szCs w:val="20"/>
        </w:rPr>
        <w:lastRenderedPageBreak/>
        <w:t>Natural Gas</w:t>
      </w:r>
    </w:p>
    <w:p w14:paraId="46013236" w14:textId="5606EC8E" w:rsidR="00C24F19" w:rsidRDefault="00C24F19" w:rsidP="00C24F19">
      <w:pPr>
        <w:ind w:left="720" w:right="630"/>
        <w:rPr>
          <w:rFonts w:asciiTheme="minorHAnsi" w:hAnsiTheme="minorHAnsi" w:cstheme="minorHAnsi"/>
          <w:i/>
          <w:iCs/>
          <w:sz w:val="20"/>
          <w:szCs w:val="20"/>
        </w:rPr>
      </w:pPr>
      <w:r w:rsidRPr="00C24F19">
        <w:rPr>
          <w:rFonts w:asciiTheme="minorHAnsi" w:hAnsiTheme="minorHAnsi" w:cstheme="minorHAnsi"/>
          <w:i/>
          <w:iCs/>
          <w:sz w:val="20"/>
          <w:szCs w:val="20"/>
        </w:rPr>
        <w:t>The low-income programs described in item (4) of subsection (f) of this Section shall not be required to meet the total resource cost test.</w:t>
      </w:r>
    </w:p>
    <w:p w14:paraId="62ADF2EE" w14:textId="77777777" w:rsidR="00C24F19" w:rsidRPr="00C24F19" w:rsidRDefault="00C24F19" w:rsidP="00C24F19">
      <w:pPr>
        <w:ind w:left="720" w:right="630"/>
        <w:rPr>
          <w:rFonts w:asciiTheme="minorHAnsi" w:hAnsiTheme="minorHAnsi" w:cstheme="minorHAnsi"/>
          <w:i/>
          <w:iCs/>
          <w:sz w:val="20"/>
          <w:szCs w:val="20"/>
        </w:rPr>
      </w:pPr>
    </w:p>
    <w:p w14:paraId="6C6344A1" w14:textId="09813432" w:rsidR="00C404B6" w:rsidRPr="00C404B6" w:rsidRDefault="00C404B6" w:rsidP="00C404B6">
      <w:pPr>
        <w:keepNext/>
        <w:rPr>
          <w:rFonts w:asciiTheme="minorHAnsi" w:hAnsiTheme="minorHAnsi" w:cstheme="minorHAnsi"/>
          <w:color w:val="auto"/>
          <w:sz w:val="20"/>
          <w:szCs w:val="20"/>
        </w:rPr>
      </w:pPr>
      <w:r w:rsidRPr="00C404B6">
        <w:rPr>
          <w:rFonts w:asciiTheme="minorHAnsi" w:hAnsiTheme="minorHAnsi" w:cstheme="minorHAnsi"/>
          <w:sz w:val="20"/>
          <w:szCs w:val="20"/>
        </w:rPr>
        <w:t>Currently, the Illinois Technical Reference Manual</w:t>
      </w:r>
      <w:r w:rsidRPr="00C404B6">
        <w:rPr>
          <w:rStyle w:val="FootnoteReference"/>
          <w:rFonts w:asciiTheme="minorHAnsi" w:hAnsiTheme="minorHAnsi" w:cstheme="minorHAnsi"/>
          <w:sz w:val="20"/>
          <w:szCs w:val="20"/>
        </w:rPr>
        <w:footnoteReference w:id="3"/>
      </w:r>
      <w:r w:rsidRPr="00C404B6">
        <w:rPr>
          <w:rFonts w:asciiTheme="minorHAnsi" w:hAnsiTheme="minorHAnsi" w:cstheme="minorHAnsi"/>
          <w:sz w:val="20"/>
          <w:szCs w:val="20"/>
        </w:rPr>
        <w:t xml:space="preserve"> (TRM) includes deemed monetized values for societal</w:t>
      </w:r>
      <w:r w:rsidR="00171E69">
        <w:rPr>
          <w:rFonts w:asciiTheme="minorHAnsi" w:hAnsiTheme="minorHAnsi" w:cstheme="minorHAnsi"/>
          <w:sz w:val="20"/>
          <w:szCs w:val="20"/>
        </w:rPr>
        <w:t xml:space="preserve"> </w:t>
      </w:r>
      <w:r w:rsidRPr="00C404B6">
        <w:rPr>
          <w:rFonts w:asciiTheme="minorHAnsi" w:hAnsiTheme="minorHAnsi" w:cstheme="minorHAnsi"/>
          <w:sz w:val="20"/>
          <w:szCs w:val="20"/>
        </w:rPr>
        <w:t>and participant NEIs. The TRM quantifies the following NEIs to include in TRC tests:</w:t>
      </w:r>
    </w:p>
    <w:p w14:paraId="374CD691" w14:textId="77777777" w:rsidR="00C404B6" w:rsidRPr="00C404B6" w:rsidRDefault="00C404B6" w:rsidP="00C404B6">
      <w:pPr>
        <w:rPr>
          <w:rFonts w:asciiTheme="minorHAnsi" w:hAnsiTheme="minorHAnsi" w:cstheme="minorHAnsi"/>
          <w:sz w:val="20"/>
          <w:szCs w:val="20"/>
        </w:rPr>
      </w:pPr>
    </w:p>
    <w:p w14:paraId="19D038BE" w14:textId="2B4F7B8E" w:rsidR="00C404B6" w:rsidRDefault="00C404B6" w:rsidP="00C404B6">
      <w:pPr>
        <w:pStyle w:val="ListBullet"/>
        <w:rPr>
          <w:rFonts w:asciiTheme="minorHAnsi" w:hAnsiTheme="minorHAnsi" w:cstheme="minorHAnsi"/>
          <w:sz w:val="20"/>
        </w:rPr>
      </w:pPr>
      <w:r w:rsidRPr="00C404B6">
        <w:rPr>
          <w:rFonts w:asciiTheme="minorHAnsi" w:hAnsiTheme="minorHAnsi" w:cstheme="minorHAnsi"/>
          <w:b/>
          <w:bCs/>
          <w:sz w:val="20"/>
        </w:rPr>
        <w:t>Societal: Avoided use of water (water savings) from energy efficiency programs:</w:t>
      </w:r>
      <w:r w:rsidRPr="00C404B6">
        <w:rPr>
          <w:rFonts w:asciiTheme="minorHAnsi" w:hAnsiTheme="minorHAnsi" w:cstheme="minorHAnsi"/>
          <w:sz w:val="20"/>
        </w:rPr>
        <w:t xml:space="preserve"> Water savings are based on measurements consistent with federal standards. The value of the savings is determined by what Illinois customers would have paid for the water saved.</w:t>
      </w:r>
    </w:p>
    <w:p w14:paraId="5EFE130F" w14:textId="77777777" w:rsidR="00171E69" w:rsidRPr="00C404B6" w:rsidRDefault="00171E69" w:rsidP="00171E69">
      <w:pPr>
        <w:pStyle w:val="ListBullet"/>
        <w:numPr>
          <w:ilvl w:val="0"/>
          <w:numId w:val="0"/>
        </w:numPr>
        <w:ind w:left="720" w:hanging="360"/>
        <w:rPr>
          <w:rFonts w:asciiTheme="minorHAnsi" w:hAnsiTheme="minorHAnsi" w:cstheme="minorHAnsi"/>
          <w:sz w:val="20"/>
        </w:rPr>
      </w:pPr>
    </w:p>
    <w:p w14:paraId="67B1CE98" w14:textId="3CBC0DD9" w:rsidR="00171E69" w:rsidRPr="00176C63" w:rsidRDefault="00171E69" w:rsidP="00171E69">
      <w:pPr>
        <w:pStyle w:val="ListBullet"/>
        <w:rPr>
          <w:rFonts w:asciiTheme="minorHAnsi" w:hAnsiTheme="minorHAnsi" w:cstheme="minorHAnsi"/>
          <w:sz w:val="20"/>
        </w:rPr>
      </w:pPr>
      <w:r w:rsidRPr="00C404B6">
        <w:rPr>
          <w:rFonts w:asciiTheme="minorHAnsi" w:hAnsiTheme="minorHAnsi" w:cstheme="minorHAnsi"/>
          <w:b/>
          <w:bCs/>
          <w:sz w:val="20"/>
        </w:rPr>
        <w:t xml:space="preserve">Participant: Reduced </w:t>
      </w:r>
      <w:r w:rsidR="00985472">
        <w:rPr>
          <w:rFonts w:asciiTheme="minorHAnsi" w:hAnsiTheme="minorHAnsi" w:cstheme="minorHAnsi"/>
          <w:b/>
          <w:bCs/>
          <w:sz w:val="20"/>
        </w:rPr>
        <w:t xml:space="preserve">or </w:t>
      </w:r>
      <w:r w:rsidR="00ED3B2D">
        <w:rPr>
          <w:rFonts w:asciiTheme="minorHAnsi" w:hAnsiTheme="minorHAnsi" w:cstheme="minorHAnsi"/>
          <w:b/>
          <w:bCs/>
          <w:sz w:val="20"/>
        </w:rPr>
        <w:t>i</w:t>
      </w:r>
      <w:r w:rsidR="00985472">
        <w:rPr>
          <w:rFonts w:asciiTheme="minorHAnsi" w:hAnsiTheme="minorHAnsi" w:cstheme="minorHAnsi"/>
          <w:b/>
          <w:bCs/>
          <w:sz w:val="20"/>
        </w:rPr>
        <w:t xml:space="preserve">ncreased </w:t>
      </w:r>
      <w:r w:rsidRPr="00C404B6">
        <w:rPr>
          <w:rFonts w:asciiTheme="minorHAnsi" w:hAnsiTheme="minorHAnsi" w:cstheme="minorHAnsi"/>
          <w:b/>
          <w:bCs/>
          <w:sz w:val="20"/>
        </w:rPr>
        <w:t>O&amp;M costs:</w:t>
      </w:r>
      <w:r w:rsidRPr="00C404B6">
        <w:rPr>
          <w:rFonts w:asciiTheme="minorHAnsi" w:hAnsiTheme="minorHAnsi" w:cstheme="minorHAnsi"/>
          <w:sz w:val="20"/>
        </w:rPr>
        <w:t xml:space="preserve"> This is a deemed value based on the estimated </w:t>
      </w:r>
      <w:r w:rsidR="00985472">
        <w:rPr>
          <w:rFonts w:asciiTheme="minorHAnsi" w:hAnsiTheme="minorHAnsi" w:cstheme="minorHAnsi"/>
          <w:sz w:val="20"/>
        </w:rPr>
        <w:t xml:space="preserve">impact </w:t>
      </w:r>
      <w:r w:rsidRPr="00C404B6">
        <w:rPr>
          <w:rFonts w:asciiTheme="minorHAnsi" w:hAnsiTheme="minorHAnsi" w:cstheme="minorHAnsi"/>
          <w:sz w:val="20"/>
        </w:rPr>
        <w:t>from reduced</w:t>
      </w:r>
      <w:r w:rsidR="00985472">
        <w:rPr>
          <w:rFonts w:asciiTheme="minorHAnsi" w:hAnsiTheme="minorHAnsi" w:cstheme="minorHAnsi"/>
          <w:sz w:val="20"/>
        </w:rPr>
        <w:t xml:space="preserve"> or increased</w:t>
      </w:r>
      <w:r w:rsidRPr="00C404B6">
        <w:rPr>
          <w:rFonts w:asciiTheme="minorHAnsi" w:hAnsiTheme="minorHAnsi" w:cstheme="minorHAnsi"/>
          <w:sz w:val="20"/>
        </w:rPr>
        <w:t xml:space="preserve"> labor and materials that occur once a building has received energy efficiency improvements. For example, </w:t>
      </w:r>
      <w:r>
        <w:rPr>
          <w:rFonts w:asciiTheme="minorHAnsi" w:hAnsiTheme="minorHAnsi" w:cstheme="minorHAnsi"/>
          <w:sz w:val="20"/>
        </w:rPr>
        <w:t>a heat recovery grease trap filter may result in reduced cleaning frequencies</w:t>
      </w:r>
      <w:r w:rsidR="00985472">
        <w:rPr>
          <w:rFonts w:asciiTheme="minorHAnsi" w:hAnsiTheme="minorHAnsi" w:cstheme="minorHAnsi"/>
          <w:sz w:val="20"/>
        </w:rPr>
        <w:t>, while new equipment such as adding controls or tankless water heaters may increase O&amp;M costs</w:t>
      </w:r>
      <w:r w:rsidRPr="00C404B6">
        <w:rPr>
          <w:rFonts w:asciiTheme="minorHAnsi" w:hAnsiTheme="minorHAnsi" w:cstheme="minorHAnsi"/>
          <w:sz w:val="20"/>
        </w:rPr>
        <w:t>.</w:t>
      </w:r>
    </w:p>
    <w:p w14:paraId="79D63828" w14:textId="77777777" w:rsidR="00171E69" w:rsidRDefault="00171E69" w:rsidP="00171E69">
      <w:pPr>
        <w:pStyle w:val="ListBullet"/>
        <w:numPr>
          <w:ilvl w:val="0"/>
          <w:numId w:val="0"/>
        </w:numPr>
        <w:rPr>
          <w:rFonts w:asciiTheme="minorHAnsi" w:hAnsiTheme="minorHAnsi" w:cstheme="minorHAnsi"/>
          <w:sz w:val="20"/>
        </w:rPr>
      </w:pPr>
    </w:p>
    <w:p w14:paraId="641D901C" w14:textId="0DAA813B" w:rsidR="00C404B6" w:rsidRDefault="008A6F51" w:rsidP="008A6F51">
      <w:pPr>
        <w:spacing w:line="240" w:lineRule="auto"/>
        <w:rPr>
          <w:rFonts w:asciiTheme="minorHAnsi" w:hAnsiTheme="minorHAnsi" w:cstheme="minorHAnsi"/>
          <w:sz w:val="20"/>
        </w:rPr>
      </w:pPr>
      <w:commentRangeStart w:id="0"/>
      <w:r>
        <w:rPr>
          <w:rFonts w:asciiTheme="minorHAnsi" w:hAnsiTheme="minorHAnsi" w:cstheme="minorHAnsi"/>
          <w:sz w:val="20"/>
        </w:rPr>
        <w:t>Peoples Gas’ current cost-effectiveness</w:t>
      </w:r>
      <w:commentRangeEnd w:id="0"/>
      <w:r>
        <w:rPr>
          <w:rStyle w:val="CommentReference"/>
        </w:rPr>
        <w:commentReference w:id="0"/>
      </w:r>
      <w:r>
        <w:rPr>
          <w:rFonts w:asciiTheme="minorHAnsi" w:hAnsiTheme="minorHAnsi" w:cstheme="minorHAnsi"/>
          <w:sz w:val="20"/>
        </w:rPr>
        <w:t xml:space="preserve"> </w:t>
      </w:r>
      <w:r w:rsidR="00171E69">
        <w:rPr>
          <w:rFonts w:asciiTheme="minorHAnsi" w:hAnsiTheme="minorHAnsi" w:cstheme="minorHAnsi"/>
          <w:sz w:val="20"/>
        </w:rPr>
        <w:t xml:space="preserve">modeling includes two additional </w:t>
      </w:r>
      <w:r w:rsidR="00171E69" w:rsidRPr="00C404B6">
        <w:rPr>
          <w:rFonts w:asciiTheme="minorHAnsi" w:hAnsiTheme="minorHAnsi" w:cstheme="minorHAnsi"/>
          <w:sz w:val="20"/>
        </w:rPr>
        <w:t xml:space="preserve">NEI values </w:t>
      </w:r>
      <w:r w:rsidR="00171E69">
        <w:rPr>
          <w:rFonts w:asciiTheme="minorHAnsi" w:hAnsiTheme="minorHAnsi" w:cstheme="minorHAnsi"/>
          <w:sz w:val="20"/>
        </w:rPr>
        <w:t xml:space="preserve">that </w:t>
      </w:r>
      <w:r w:rsidR="007C10FB">
        <w:rPr>
          <w:rFonts w:asciiTheme="minorHAnsi" w:hAnsiTheme="minorHAnsi" w:cstheme="minorHAnsi"/>
          <w:sz w:val="20"/>
        </w:rPr>
        <w:t xml:space="preserve">were estimated from </w:t>
      </w:r>
      <w:r w:rsidR="00171E69">
        <w:rPr>
          <w:rFonts w:asciiTheme="minorHAnsi" w:hAnsiTheme="minorHAnsi" w:cstheme="minorHAnsi"/>
          <w:sz w:val="20"/>
        </w:rPr>
        <w:t xml:space="preserve">secondary </w:t>
      </w:r>
      <w:r w:rsidR="00171E69" w:rsidRPr="00C404B6">
        <w:rPr>
          <w:rFonts w:asciiTheme="minorHAnsi" w:hAnsiTheme="minorHAnsi" w:cstheme="minorHAnsi"/>
          <w:sz w:val="20"/>
        </w:rPr>
        <w:t>sources.</w:t>
      </w:r>
    </w:p>
    <w:p w14:paraId="584DBE7F" w14:textId="77777777" w:rsidR="00171E69" w:rsidRPr="00C404B6" w:rsidRDefault="00171E69" w:rsidP="00171E69">
      <w:pPr>
        <w:pStyle w:val="ListBullet"/>
        <w:numPr>
          <w:ilvl w:val="0"/>
          <w:numId w:val="0"/>
        </w:numPr>
        <w:rPr>
          <w:rFonts w:asciiTheme="minorHAnsi" w:hAnsiTheme="minorHAnsi" w:cstheme="minorHAnsi"/>
          <w:sz w:val="20"/>
        </w:rPr>
      </w:pPr>
    </w:p>
    <w:p w14:paraId="03341D5B" w14:textId="504EEB4A" w:rsidR="00EB4A7B" w:rsidRDefault="00EB4A7B" w:rsidP="00EB4A7B">
      <w:pPr>
        <w:pStyle w:val="ListBullet"/>
        <w:numPr>
          <w:ilvl w:val="0"/>
          <w:numId w:val="45"/>
        </w:numPr>
        <w:rPr>
          <w:rFonts w:asciiTheme="minorHAnsi" w:hAnsiTheme="minorHAnsi" w:cstheme="minorHAnsi"/>
          <w:sz w:val="20"/>
        </w:rPr>
      </w:pPr>
      <w:commentRangeStart w:id="1"/>
      <w:commentRangeStart w:id="2"/>
      <w:r>
        <w:rPr>
          <w:rFonts w:asciiTheme="minorHAnsi" w:hAnsiTheme="minorHAnsi" w:cstheme="minorHAnsi"/>
          <w:b/>
          <w:bCs/>
          <w:sz w:val="20"/>
        </w:rPr>
        <w:t>Utility: Avoided environmental costs from reduced carbon emissions:</w:t>
      </w:r>
      <w:r>
        <w:rPr>
          <w:rFonts w:asciiTheme="minorHAnsi" w:hAnsiTheme="minorHAnsi" w:cstheme="minorHAnsi"/>
          <w:sz w:val="20"/>
        </w:rPr>
        <w:t xml:space="preserve"> Environmental costs are the dollar per therm ($/therm) quantification of the benefits Peoples Gas has achieved by reduced carbon emissions associated with reducing gas use through energy efficiency programs. A carbon reduction adder is included starting in 2020 for the TRC analysis.</w:t>
      </w:r>
      <w:commentRangeEnd w:id="1"/>
      <w:r>
        <w:rPr>
          <w:rStyle w:val="CommentReference"/>
          <w:rFonts w:ascii="Arial" w:hAnsi="Arial"/>
          <w:color w:val="000000"/>
        </w:rPr>
        <w:commentReference w:id="1"/>
      </w:r>
      <w:commentRangeEnd w:id="2"/>
      <w:r w:rsidR="00F577DE">
        <w:rPr>
          <w:rStyle w:val="CommentReference"/>
          <w:rFonts w:ascii="Arial" w:hAnsi="Arial"/>
          <w:color w:val="000000"/>
        </w:rPr>
        <w:commentReference w:id="2"/>
      </w:r>
    </w:p>
    <w:p w14:paraId="0156E7EE" w14:textId="77777777" w:rsidR="00EB4A7B" w:rsidRDefault="00EB4A7B" w:rsidP="00EB4A7B">
      <w:pPr>
        <w:pStyle w:val="ListBullet"/>
        <w:numPr>
          <w:ilvl w:val="0"/>
          <w:numId w:val="0"/>
        </w:numPr>
        <w:ind w:left="720"/>
      </w:pPr>
    </w:p>
    <w:p w14:paraId="7E0C4DF5" w14:textId="77777777" w:rsidR="00EB4A7B" w:rsidRDefault="00EB4A7B" w:rsidP="00EB4A7B">
      <w:pPr>
        <w:pStyle w:val="ListBullet"/>
        <w:numPr>
          <w:ilvl w:val="0"/>
          <w:numId w:val="45"/>
        </w:numPr>
        <w:rPr>
          <w:rFonts w:ascii="Arial" w:hAnsi="Arial" w:cs="Arial"/>
          <w:sz w:val="20"/>
        </w:rPr>
      </w:pPr>
      <w:commentRangeStart w:id="3"/>
      <w:commentRangeStart w:id="4"/>
      <w:r>
        <w:rPr>
          <w:rFonts w:ascii="Arial" w:hAnsi="Arial" w:cs="Arial"/>
          <w:b/>
          <w:bCs/>
          <w:sz w:val="20"/>
        </w:rPr>
        <w:t>Non-Energy Benefits Adder:</w:t>
      </w:r>
      <w:r>
        <w:rPr>
          <w:rFonts w:ascii="Arial" w:hAnsi="Arial" w:cs="Arial"/>
          <w:sz w:val="20"/>
        </w:rPr>
        <w:t xml:space="preserve">  A Non-Energy Benefits adder of 7.5 percent is included in Peoples Gas TRC modeling to account for the value of all NEIs except carbon emissions, water savings, and participant O&amp;M costs. The value is based on secondary research.</w:t>
      </w:r>
      <w:commentRangeEnd w:id="3"/>
      <w:r>
        <w:rPr>
          <w:rStyle w:val="CommentReference"/>
          <w:rFonts w:ascii="Arial" w:hAnsi="Arial"/>
          <w:color w:val="000000"/>
        </w:rPr>
        <w:commentReference w:id="3"/>
      </w:r>
      <w:commentRangeEnd w:id="4"/>
      <w:r>
        <w:rPr>
          <w:rStyle w:val="CommentReference"/>
          <w:rFonts w:ascii="Arial" w:hAnsi="Arial"/>
          <w:color w:val="000000"/>
        </w:rPr>
        <w:commentReference w:id="4"/>
      </w:r>
    </w:p>
    <w:p w14:paraId="5541D543" w14:textId="40702703" w:rsidR="00176C63" w:rsidRPr="00176C63" w:rsidRDefault="00176C63" w:rsidP="00176C63">
      <w:pPr>
        <w:pStyle w:val="Heading1"/>
        <w:spacing w:before="360" w:after="120" w:line="240" w:lineRule="auto"/>
        <w:contextualSpacing/>
        <w:rPr>
          <w:rFonts w:eastAsiaTheme="minorHAnsi" w:cs="Arial"/>
          <w:bCs/>
          <w:smallCaps/>
          <w:color w:val="93D500" w:themeColor="accent1"/>
          <w:kern w:val="28"/>
          <w:position w:val="6"/>
          <w:sz w:val="28"/>
          <w:szCs w:val="26"/>
        </w:rPr>
      </w:pPr>
      <w:r w:rsidRPr="00176C63">
        <w:rPr>
          <w:rFonts w:eastAsiaTheme="minorHAnsi" w:cs="Arial"/>
          <w:bCs/>
          <w:smallCaps/>
          <w:color w:val="93D500" w:themeColor="accent1"/>
          <w:kern w:val="28"/>
          <w:position w:val="6"/>
          <w:sz w:val="28"/>
          <w:szCs w:val="26"/>
        </w:rPr>
        <w:t xml:space="preserve">NEIs </w:t>
      </w:r>
      <w:r w:rsidR="00172E05">
        <w:rPr>
          <w:rFonts w:eastAsiaTheme="minorHAnsi" w:cs="Arial"/>
          <w:bCs/>
          <w:smallCaps/>
          <w:color w:val="93D500" w:themeColor="accent1"/>
          <w:kern w:val="28"/>
          <w:position w:val="6"/>
          <w:sz w:val="28"/>
          <w:szCs w:val="26"/>
        </w:rPr>
        <w:t xml:space="preserve">Applicable to Natural Gas Utilities’ </w:t>
      </w:r>
      <w:r w:rsidRPr="00176C63">
        <w:rPr>
          <w:rFonts w:eastAsiaTheme="minorHAnsi" w:cs="Arial"/>
          <w:bCs/>
          <w:smallCaps/>
          <w:color w:val="93D500" w:themeColor="accent1"/>
          <w:kern w:val="28"/>
          <w:position w:val="6"/>
          <w:sz w:val="28"/>
          <w:szCs w:val="26"/>
        </w:rPr>
        <w:t>Cost-Effectiveness Tests</w:t>
      </w:r>
    </w:p>
    <w:p w14:paraId="461DC838" w14:textId="77777777" w:rsidR="002F0EDD" w:rsidRDefault="002F0EDD" w:rsidP="002F0EDD">
      <w:pPr>
        <w:rPr>
          <w:sz w:val="20"/>
          <w:szCs w:val="28"/>
        </w:rPr>
      </w:pPr>
      <w:bookmarkStart w:id="5" w:name="_Hlk49351024"/>
      <w:r w:rsidRPr="0042473E">
        <w:rPr>
          <w:sz w:val="20"/>
          <w:szCs w:val="28"/>
        </w:rPr>
        <w:t>Guidehouse conducted a literature search to determine which states</w:t>
      </w:r>
      <w:r>
        <w:rPr>
          <w:sz w:val="20"/>
          <w:szCs w:val="28"/>
        </w:rPr>
        <w:t xml:space="preserve"> or natural gas utilities</w:t>
      </w:r>
      <w:r w:rsidRPr="0042473E">
        <w:rPr>
          <w:sz w:val="20"/>
          <w:szCs w:val="28"/>
        </w:rPr>
        <w:t xml:space="preserve"> use quantified and monetized NEIs for cost-effectiveness tests. The research included </w:t>
      </w:r>
      <w:r>
        <w:rPr>
          <w:sz w:val="20"/>
          <w:szCs w:val="28"/>
        </w:rPr>
        <w:t>identifying</w:t>
      </w:r>
      <w:r w:rsidRPr="0042473E">
        <w:rPr>
          <w:sz w:val="20"/>
          <w:szCs w:val="28"/>
        </w:rPr>
        <w:t xml:space="preserve"> methodologies previously used by </w:t>
      </w:r>
      <w:r>
        <w:rPr>
          <w:sz w:val="20"/>
          <w:szCs w:val="28"/>
        </w:rPr>
        <w:t>states or natural gas utilities</w:t>
      </w:r>
      <w:r w:rsidRPr="0042473E">
        <w:rPr>
          <w:sz w:val="20"/>
          <w:szCs w:val="28"/>
        </w:rPr>
        <w:t xml:space="preserve"> to evaluate NEIs.</w:t>
      </w:r>
      <w:r>
        <w:rPr>
          <w:sz w:val="20"/>
          <w:szCs w:val="28"/>
        </w:rPr>
        <w:t xml:space="preserve"> This gas-focused research leveraged and builds upon the extensive research conducted by Guidehouse for Com</w:t>
      </w:r>
      <w:bookmarkEnd w:id="5"/>
      <w:r>
        <w:rPr>
          <w:sz w:val="20"/>
          <w:szCs w:val="28"/>
        </w:rPr>
        <w:t>Ed.</w:t>
      </w:r>
      <w:r>
        <w:rPr>
          <w:rStyle w:val="FootnoteReference"/>
          <w:sz w:val="20"/>
          <w:szCs w:val="28"/>
        </w:rPr>
        <w:footnoteReference w:id="4"/>
      </w:r>
      <w:r>
        <w:rPr>
          <w:rStyle w:val="FootnoteReference"/>
          <w:sz w:val="20"/>
          <w:szCs w:val="28"/>
        </w:rPr>
        <w:footnoteReference w:id="5"/>
      </w:r>
    </w:p>
    <w:p w14:paraId="7F96DACA" w14:textId="77777777" w:rsidR="002F0EDD" w:rsidRDefault="002F0EDD" w:rsidP="002F0EDD">
      <w:pPr>
        <w:rPr>
          <w:sz w:val="20"/>
          <w:szCs w:val="28"/>
        </w:rPr>
      </w:pPr>
    </w:p>
    <w:p w14:paraId="0DF8EAC0" w14:textId="11C955AC" w:rsidR="00FB47A6" w:rsidRDefault="002F0EDD" w:rsidP="002F0EDD">
      <w:pPr>
        <w:rPr>
          <w:sz w:val="20"/>
          <w:szCs w:val="28"/>
        </w:rPr>
      </w:pPr>
      <w:r>
        <w:rPr>
          <w:sz w:val="20"/>
          <w:szCs w:val="28"/>
        </w:rPr>
        <w:t xml:space="preserve">For societal NEI estimates, </w:t>
      </w:r>
      <w:r w:rsidRPr="0042473E">
        <w:rPr>
          <w:sz w:val="20"/>
          <w:szCs w:val="28"/>
        </w:rPr>
        <w:t>Guidehouse</w:t>
      </w:r>
      <w:r>
        <w:rPr>
          <w:sz w:val="20"/>
          <w:szCs w:val="28"/>
        </w:rPr>
        <w:t xml:space="preserve"> conducted an analysis </w:t>
      </w:r>
      <w:r w:rsidR="00FB47A6">
        <w:rPr>
          <w:sz w:val="20"/>
          <w:szCs w:val="28"/>
        </w:rPr>
        <w:t xml:space="preserve">on programs </w:t>
      </w:r>
      <w:r w:rsidR="009B2BA0">
        <w:rPr>
          <w:sz w:val="20"/>
          <w:szCs w:val="28"/>
        </w:rPr>
        <w:t xml:space="preserve">expected </w:t>
      </w:r>
      <w:r w:rsidR="00FB47A6">
        <w:rPr>
          <w:sz w:val="20"/>
          <w:szCs w:val="28"/>
        </w:rPr>
        <w:t>to be implemented by</w:t>
      </w:r>
      <w:r>
        <w:rPr>
          <w:sz w:val="20"/>
          <w:szCs w:val="28"/>
        </w:rPr>
        <w:t xml:space="preserve"> </w:t>
      </w:r>
      <w:r w:rsidR="00363BBB">
        <w:rPr>
          <w:sz w:val="20"/>
          <w:szCs w:val="28"/>
        </w:rPr>
        <w:t>Peoples</w:t>
      </w:r>
      <w:r>
        <w:rPr>
          <w:sz w:val="20"/>
          <w:szCs w:val="28"/>
        </w:rPr>
        <w:t xml:space="preserve"> Gas</w:t>
      </w:r>
      <w:r w:rsidR="00FB47A6">
        <w:rPr>
          <w:sz w:val="20"/>
          <w:szCs w:val="28"/>
        </w:rPr>
        <w:t xml:space="preserve"> in</w:t>
      </w:r>
      <w:r>
        <w:rPr>
          <w:sz w:val="20"/>
          <w:szCs w:val="28"/>
        </w:rPr>
        <w:t xml:space="preserve"> </w:t>
      </w:r>
      <w:r w:rsidR="00697F4D">
        <w:rPr>
          <w:sz w:val="20"/>
          <w:szCs w:val="28"/>
        </w:rPr>
        <w:t>CY2022 through CY2025</w:t>
      </w:r>
      <w:r w:rsidR="002947BC">
        <w:rPr>
          <w:sz w:val="20"/>
          <w:szCs w:val="28"/>
        </w:rPr>
        <w:t xml:space="preserve"> </w:t>
      </w:r>
      <w:r w:rsidR="00FB47A6">
        <w:rPr>
          <w:sz w:val="20"/>
          <w:szCs w:val="28"/>
        </w:rPr>
        <w:t xml:space="preserve">using </w:t>
      </w:r>
      <w:r>
        <w:rPr>
          <w:sz w:val="20"/>
          <w:szCs w:val="28"/>
        </w:rPr>
        <w:t>the methodology developed for ComEd</w:t>
      </w:r>
      <w:r w:rsidR="00124B08">
        <w:rPr>
          <w:sz w:val="20"/>
          <w:szCs w:val="28"/>
        </w:rPr>
        <w:t xml:space="preserve"> and adjusted </w:t>
      </w:r>
      <w:r w:rsidR="00750A8C">
        <w:rPr>
          <w:sz w:val="20"/>
          <w:szCs w:val="28"/>
        </w:rPr>
        <w:t>for</w:t>
      </w:r>
      <w:r w:rsidR="00124B08">
        <w:rPr>
          <w:sz w:val="20"/>
          <w:szCs w:val="28"/>
        </w:rPr>
        <w:t xml:space="preserve"> gas utilities</w:t>
      </w:r>
      <w:r>
        <w:rPr>
          <w:sz w:val="20"/>
          <w:szCs w:val="28"/>
        </w:rPr>
        <w:t>.</w:t>
      </w:r>
      <w:r w:rsidR="00697F4D" w:rsidRPr="00697F4D">
        <w:t xml:space="preserve"> </w:t>
      </w:r>
      <w:r w:rsidR="00FB47A6">
        <w:rPr>
          <w:sz w:val="20"/>
          <w:szCs w:val="28"/>
        </w:rPr>
        <w:t>Under this approach, the</w:t>
      </w:r>
      <w:r w:rsidR="00FB47A6" w:rsidRPr="00697F4D">
        <w:rPr>
          <w:sz w:val="20"/>
          <w:szCs w:val="28"/>
        </w:rPr>
        <w:t xml:space="preserve"> </w:t>
      </w:r>
      <w:r w:rsidR="00697F4D">
        <w:rPr>
          <w:sz w:val="20"/>
          <w:szCs w:val="28"/>
        </w:rPr>
        <w:t>analysis team used</w:t>
      </w:r>
      <w:r w:rsidR="002947BC">
        <w:rPr>
          <w:sz w:val="20"/>
          <w:szCs w:val="28"/>
        </w:rPr>
        <w:t xml:space="preserve"> the lifetime stream of</w:t>
      </w:r>
      <w:r w:rsidR="00697F4D">
        <w:rPr>
          <w:sz w:val="20"/>
          <w:szCs w:val="28"/>
        </w:rPr>
        <w:t xml:space="preserve"> </w:t>
      </w:r>
      <w:r w:rsidR="009B2BA0">
        <w:rPr>
          <w:sz w:val="20"/>
          <w:szCs w:val="28"/>
        </w:rPr>
        <w:t xml:space="preserve">net </w:t>
      </w:r>
      <w:r w:rsidR="00697F4D" w:rsidRPr="00697F4D">
        <w:rPr>
          <w:sz w:val="20"/>
          <w:szCs w:val="28"/>
        </w:rPr>
        <w:t xml:space="preserve">savings achieved in the CY2019 portfolio as a representation </w:t>
      </w:r>
      <w:r w:rsidR="00750A8C">
        <w:rPr>
          <w:sz w:val="20"/>
          <w:szCs w:val="28"/>
        </w:rPr>
        <w:t>of</w:t>
      </w:r>
      <w:r w:rsidR="002947BC">
        <w:rPr>
          <w:sz w:val="20"/>
          <w:szCs w:val="28"/>
        </w:rPr>
        <w:t xml:space="preserve"> the lifetime stream of savings </w:t>
      </w:r>
      <w:r w:rsidR="002947BC">
        <w:rPr>
          <w:sz w:val="20"/>
          <w:szCs w:val="28"/>
        </w:rPr>
        <w:lastRenderedPageBreak/>
        <w:t>achieved under</w:t>
      </w:r>
      <w:r w:rsidR="00750A8C" w:rsidRPr="00697F4D">
        <w:rPr>
          <w:sz w:val="20"/>
          <w:szCs w:val="28"/>
        </w:rPr>
        <w:t xml:space="preserve"> </w:t>
      </w:r>
      <w:r w:rsidR="00FB47A6">
        <w:rPr>
          <w:sz w:val="20"/>
          <w:szCs w:val="28"/>
        </w:rPr>
        <w:t>programs</w:t>
      </w:r>
      <w:r w:rsidR="006B5C2A">
        <w:rPr>
          <w:sz w:val="20"/>
          <w:szCs w:val="28"/>
        </w:rPr>
        <w:t xml:space="preserve"> that may be</w:t>
      </w:r>
      <w:r w:rsidR="00FB47A6">
        <w:rPr>
          <w:sz w:val="20"/>
          <w:szCs w:val="28"/>
        </w:rPr>
        <w:t xml:space="preserve"> implemented in </w:t>
      </w:r>
      <w:r w:rsidR="00697F4D" w:rsidRPr="00697F4D">
        <w:rPr>
          <w:sz w:val="20"/>
          <w:szCs w:val="28"/>
        </w:rPr>
        <w:t xml:space="preserve">CY2022-2025, as this </w:t>
      </w:r>
      <w:r w:rsidR="00AE7F3C">
        <w:rPr>
          <w:sz w:val="20"/>
          <w:szCs w:val="28"/>
        </w:rPr>
        <w:t>represents</w:t>
      </w:r>
      <w:r w:rsidR="00AE7F3C" w:rsidRPr="00697F4D">
        <w:rPr>
          <w:sz w:val="20"/>
          <w:szCs w:val="28"/>
        </w:rPr>
        <w:t xml:space="preserve"> </w:t>
      </w:r>
      <w:r w:rsidR="00697F4D" w:rsidRPr="00697F4D">
        <w:rPr>
          <w:sz w:val="20"/>
          <w:szCs w:val="28"/>
        </w:rPr>
        <w:t xml:space="preserve">the most recent </w:t>
      </w:r>
      <w:r w:rsidR="00AE7F3C">
        <w:rPr>
          <w:sz w:val="20"/>
          <w:szCs w:val="28"/>
        </w:rPr>
        <w:t>set of savings</w:t>
      </w:r>
      <w:r w:rsidR="00697F4D" w:rsidRPr="00697F4D">
        <w:rPr>
          <w:sz w:val="20"/>
          <w:szCs w:val="28"/>
        </w:rPr>
        <w:t xml:space="preserve"> </w:t>
      </w:r>
      <w:r w:rsidR="00AE7F3C">
        <w:rPr>
          <w:sz w:val="20"/>
          <w:szCs w:val="28"/>
        </w:rPr>
        <w:t>vetted by the evaluation team</w:t>
      </w:r>
      <w:r w:rsidR="00FB47A6">
        <w:rPr>
          <w:sz w:val="20"/>
          <w:szCs w:val="28"/>
        </w:rPr>
        <w:t>.</w:t>
      </w:r>
    </w:p>
    <w:p w14:paraId="73E6B665" w14:textId="77777777" w:rsidR="00FB47A6" w:rsidRDefault="00FB47A6" w:rsidP="002F0EDD">
      <w:pPr>
        <w:rPr>
          <w:sz w:val="20"/>
          <w:szCs w:val="28"/>
        </w:rPr>
      </w:pPr>
    </w:p>
    <w:p w14:paraId="59547E67" w14:textId="73E86B37" w:rsidR="002F0EDD" w:rsidRDefault="002F0EDD" w:rsidP="002F0EDD">
      <w:pPr>
        <w:rPr>
          <w:sz w:val="20"/>
          <w:szCs w:val="28"/>
        </w:rPr>
      </w:pPr>
      <w:r>
        <w:rPr>
          <w:sz w:val="20"/>
          <w:szCs w:val="28"/>
        </w:rPr>
        <w:t xml:space="preserve">For participant NEI estimates, Guidehouse </w:t>
      </w:r>
      <w:r w:rsidRPr="0042473E">
        <w:rPr>
          <w:sz w:val="20"/>
          <w:szCs w:val="28"/>
        </w:rPr>
        <w:t>recommend</w:t>
      </w:r>
      <w:r>
        <w:rPr>
          <w:sz w:val="20"/>
          <w:szCs w:val="28"/>
        </w:rPr>
        <w:t>s</w:t>
      </w:r>
      <w:r w:rsidRPr="0042473E">
        <w:rPr>
          <w:sz w:val="20"/>
          <w:szCs w:val="28"/>
        </w:rPr>
        <w:t xml:space="preserve"> </w:t>
      </w:r>
      <w:r>
        <w:rPr>
          <w:sz w:val="20"/>
          <w:szCs w:val="28"/>
        </w:rPr>
        <w:t>proxy values</w:t>
      </w:r>
      <w:r w:rsidRPr="0042473E">
        <w:rPr>
          <w:sz w:val="20"/>
          <w:szCs w:val="28"/>
        </w:rPr>
        <w:t xml:space="preserve"> </w:t>
      </w:r>
      <w:r>
        <w:rPr>
          <w:sz w:val="20"/>
          <w:szCs w:val="28"/>
        </w:rPr>
        <w:t xml:space="preserve">for </w:t>
      </w:r>
      <w:r w:rsidRPr="0042473E">
        <w:rPr>
          <w:sz w:val="20"/>
          <w:szCs w:val="28"/>
        </w:rPr>
        <w:t>monetiz</w:t>
      </w:r>
      <w:r>
        <w:rPr>
          <w:sz w:val="20"/>
          <w:szCs w:val="28"/>
        </w:rPr>
        <w:t>ed</w:t>
      </w:r>
      <w:r w:rsidRPr="0042473E">
        <w:rPr>
          <w:sz w:val="20"/>
          <w:szCs w:val="28"/>
        </w:rPr>
        <w:t xml:space="preserve"> NEIs </w:t>
      </w:r>
      <w:r>
        <w:rPr>
          <w:sz w:val="20"/>
          <w:szCs w:val="28"/>
        </w:rPr>
        <w:t>associated with</w:t>
      </w:r>
      <w:r w:rsidRPr="0042473E">
        <w:rPr>
          <w:sz w:val="20"/>
          <w:szCs w:val="28"/>
        </w:rPr>
        <w:t xml:space="preserve"> </w:t>
      </w:r>
      <w:r w:rsidR="00363BBB">
        <w:rPr>
          <w:sz w:val="20"/>
          <w:szCs w:val="28"/>
        </w:rPr>
        <w:t>Peoples</w:t>
      </w:r>
      <w:r>
        <w:rPr>
          <w:sz w:val="20"/>
          <w:szCs w:val="28"/>
        </w:rPr>
        <w:t xml:space="preserve"> Gas’</w:t>
      </w:r>
      <w:r w:rsidRPr="0042473E">
        <w:rPr>
          <w:sz w:val="20"/>
          <w:szCs w:val="28"/>
        </w:rPr>
        <w:t xml:space="preserve"> implemented programs.</w:t>
      </w:r>
      <w:r>
        <w:rPr>
          <w:sz w:val="20"/>
          <w:szCs w:val="28"/>
        </w:rPr>
        <w:t xml:space="preserve"> Guidehouse determined these proxy values using NEI research conducted for</w:t>
      </w:r>
      <w:r w:rsidR="00CB7BA3">
        <w:rPr>
          <w:sz w:val="20"/>
          <w:szCs w:val="28"/>
        </w:rPr>
        <w:t xml:space="preserve"> </w:t>
      </w:r>
      <w:r>
        <w:rPr>
          <w:sz w:val="20"/>
          <w:szCs w:val="28"/>
        </w:rPr>
        <w:t xml:space="preserve">Massachusetts to quantify and monetize participant NEIs. Massachusetts used monetized </w:t>
      </w:r>
      <w:r w:rsidR="00CB7BA3">
        <w:rPr>
          <w:sz w:val="20"/>
          <w:szCs w:val="28"/>
        </w:rPr>
        <w:t>pa</w:t>
      </w:r>
      <w:r>
        <w:rPr>
          <w:sz w:val="20"/>
          <w:szCs w:val="28"/>
        </w:rPr>
        <w:t>rticipant NEI values in their cost-effectiveness tests.</w:t>
      </w:r>
    </w:p>
    <w:p w14:paraId="19821B8C" w14:textId="77777777" w:rsidR="002F0EDD" w:rsidRPr="00176C63" w:rsidRDefault="002F0EDD" w:rsidP="002F0EDD">
      <w:pPr>
        <w:rPr>
          <w:sz w:val="20"/>
          <w:szCs w:val="28"/>
        </w:rPr>
      </w:pPr>
    </w:p>
    <w:p w14:paraId="2F679371" w14:textId="3F5C2BB4" w:rsidR="002F0EDD" w:rsidRDefault="002F0EDD" w:rsidP="002F0EDD">
      <w:pPr>
        <w:rPr>
          <w:rFonts w:cs="Arial"/>
          <w:sz w:val="20"/>
          <w:szCs w:val="22"/>
        </w:rPr>
      </w:pPr>
      <w:bookmarkStart w:id="6" w:name="_Hlk49350914"/>
      <w:r>
        <w:rPr>
          <w:rFonts w:cs="Arial"/>
          <w:sz w:val="20"/>
          <w:szCs w:val="22"/>
        </w:rPr>
        <w:t xml:space="preserve">The following describes Guidehouse’s approach to evaluating societal NEIs, as well as </w:t>
      </w:r>
      <w:r w:rsidR="00CB7BA3">
        <w:rPr>
          <w:rFonts w:cs="Arial"/>
          <w:sz w:val="20"/>
          <w:szCs w:val="22"/>
        </w:rPr>
        <w:t>Massachusetts’s</w:t>
      </w:r>
      <w:r>
        <w:rPr>
          <w:rFonts w:cs="Arial"/>
          <w:sz w:val="20"/>
          <w:szCs w:val="22"/>
        </w:rPr>
        <w:t xml:space="preserve"> methodologies and proxy values used for participant NEIs. </w:t>
      </w:r>
    </w:p>
    <w:bookmarkEnd w:id="6"/>
    <w:p w14:paraId="7C106760" w14:textId="77777777" w:rsidR="00176C63" w:rsidRDefault="00176C63" w:rsidP="00062AAB"/>
    <w:p w14:paraId="0A4D98C3" w14:textId="4A91F59B" w:rsidR="004B068E" w:rsidRPr="004B068E" w:rsidRDefault="004B068E" w:rsidP="0014716F">
      <w:pPr>
        <w:keepNext/>
        <w:keepLines/>
        <w:spacing w:before="360" w:after="240" w:line="240" w:lineRule="auto"/>
        <w:contextualSpacing/>
        <w:outlineLvl w:val="1"/>
        <w:rPr>
          <w:rFonts w:eastAsia="Arial" w:cs="Arial"/>
          <w:b/>
          <w:bCs/>
          <w:iCs/>
          <w:color w:val="0093C9"/>
          <w:sz w:val="26"/>
          <w:szCs w:val="28"/>
        </w:rPr>
      </w:pPr>
      <w:r w:rsidRPr="004B068E">
        <w:rPr>
          <w:rFonts w:eastAsia="Arial" w:cs="Arial"/>
          <w:b/>
          <w:bCs/>
          <w:iCs/>
          <w:color w:val="0093C9"/>
          <w:sz w:val="26"/>
          <w:szCs w:val="28"/>
        </w:rPr>
        <w:t>S</w:t>
      </w:r>
      <w:r w:rsidR="00A555D8">
        <w:rPr>
          <w:rFonts w:eastAsia="Arial" w:cs="Arial"/>
          <w:b/>
          <w:bCs/>
          <w:iCs/>
          <w:color w:val="0093C9"/>
          <w:sz w:val="26"/>
          <w:szCs w:val="28"/>
        </w:rPr>
        <w:t>ocietal</w:t>
      </w:r>
      <w:r w:rsidRPr="004B068E">
        <w:rPr>
          <w:rFonts w:eastAsia="Arial" w:cs="Arial"/>
          <w:b/>
          <w:bCs/>
          <w:iCs/>
          <w:color w:val="0093C9"/>
          <w:sz w:val="26"/>
          <w:szCs w:val="28"/>
        </w:rPr>
        <w:t xml:space="preserve"> NEIs</w:t>
      </w:r>
    </w:p>
    <w:p w14:paraId="4C375E6F" w14:textId="032EA610" w:rsidR="00062AAB" w:rsidRDefault="00062AAB" w:rsidP="0014716F">
      <w:pPr>
        <w:keepNext/>
        <w:keepLines/>
      </w:pPr>
    </w:p>
    <w:p w14:paraId="7E442D1D" w14:textId="366624FA" w:rsidR="00D708F0" w:rsidRDefault="00363BBB" w:rsidP="00D708F0">
      <w:pPr>
        <w:rPr>
          <w:sz w:val="20"/>
          <w:szCs w:val="20"/>
        </w:rPr>
      </w:pPr>
      <w:r>
        <w:rPr>
          <w:sz w:val="20"/>
          <w:szCs w:val="20"/>
        </w:rPr>
        <w:t>Peoples</w:t>
      </w:r>
      <w:r w:rsidR="00D708F0">
        <w:rPr>
          <w:sz w:val="20"/>
          <w:szCs w:val="20"/>
        </w:rPr>
        <w:t xml:space="preserve"> Gas’ energy efficiency (EE) programs lead to substantial savings of natural gas across both the residential and non-residential sectors, with these savings projected to persist for as long as 25 years into the future, depending on the measures implemented. In turn, over the same period, substantial reductions in the emissions of PM</w:t>
      </w:r>
      <w:r w:rsidR="00D708F0" w:rsidRPr="009A0475">
        <w:rPr>
          <w:sz w:val="20"/>
          <w:szCs w:val="20"/>
          <w:vertAlign w:val="subscript"/>
        </w:rPr>
        <w:t>2.5</w:t>
      </w:r>
      <w:r w:rsidR="00D708F0">
        <w:rPr>
          <w:sz w:val="20"/>
          <w:szCs w:val="20"/>
        </w:rPr>
        <w:t>, NOx, SO</w:t>
      </w:r>
      <w:r w:rsidR="00D708F0" w:rsidRPr="009A0475">
        <w:rPr>
          <w:sz w:val="20"/>
          <w:szCs w:val="20"/>
          <w:vertAlign w:val="subscript"/>
        </w:rPr>
        <w:t>2</w:t>
      </w:r>
      <w:r w:rsidR="00D708F0">
        <w:rPr>
          <w:sz w:val="20"/>
          <w:szCs w:val="20"/>
        </w:rPr>
        <w:t xml:space="preserve">, NH3, and volatile organic compounds (VOCs) are expected. </w:t>
      </w:r>
    </w:p>
    <w:p w14:paraId="2F9FC55A" w14:textId="77777777" w:rsidR="00D708F0" w:rsidRDefault="00D708F0" w:rsidP="00D708F0">
      <w:pPr>
        <w:rPr>
          <w:sz w:val="20"/>
          <w:szCs w:val="28"/>
        </w:rPr>
      </w:pPr>
    </w:p>
    <w:p w14:paraId="33F2EC08" w14:textId="07A55860" w:rsidR="00D708F0" w:rsidRDefault="00D708F0" w:rsidP="00D708F0">
      <w:pPr>
        <w:rPr>
          <w:sz w:val="20"/>
          <w:szCs w:val="28"/>
        </w:rPr>
      </w:pPr>
      <w:r w:rsidRPr="00BF0D7E">
        <w:rPr>
          <w:sz w:val="20"/>
          <w:szCs w:val="28"/>
        </w:rPr>
        <w:t>Human health is significantly impacted by exposure to</w:t>
      </w:r>
      <w:r>
        <w:rPr>
          <w:sz w:val="20"/>
          <w:szCs w:val="28"/>
        </w:rPr>
        <w:t xml:space="preserve"> pollutants such as</w:t>
      </w:r>
      <w:r w:rsidRPr="00BF0D7E">
        <w:rPr>
          <w:sz w:val="20"/>
          <w:szCs w:val="28"/>
        </w:rPr>
        <w:t xml:space="preserve"> PM2.5, SO2</w:t>
      </w:r>
      <w:r>
        <w:rPr>
          <w:sz w:val="20"/>
          <w:szCs w:val="28"/>
        </w:rPr>
        <w:t>, and</w:t>
      </w:r>
      <w:r w:rsidRPr="00BF0D7E">
        <w:rPr>
          <w:sz w:val="20"/>
          <w:szCs w:val="28"/>
        </w:rPr>
        <w:t xml:space="preserve"> NOx</w:t>
      </w:r>
      <w:r>
        <w:rPr>
          <w:sz w:val="20"/>
          <w:szCs w:val="28"/>
        </w:rPr>
        <w:t>.</w:t>
      </w:r>
      <w:r w:rsidR="00CD527A">
        <w:rPr>
          <w:sz w:val="20"/>
          <w:szCs w:val="28"/>
        </w:rPr>
        <w:t xml:space="preserve"> </w:t>
      </w:r>
      <w:r w:rsidR="00CD527A" w:rsidRPr="00CD527A">
        <w:rPr>
          <w:sz w:val="20"/>
          <w:szCs w:val="28"/>
        </w:rPr>
        <w:t>Premature infant and adult mortality has been linked to increased exposure to ambient air pollution.</w:t>
      </w:r>
      <w:r w:rsidR="00CD527A" w:rsidRPr="00CD527A">
        <w:rPr>
          <w:sz w:val="20"/>
          <w:szCs w:val="28"/>
          <w:vertAlign w:val="superscript"/>
        </w:rPr>
        <w:footnoteReference w:id="6"/>
      </w:r>
      <w:r w:rsidR="00CD527A">
        <w:rPr>
          <w:sz w:val="20"/>
          <w:szCs w:val="28"/>
        </w:rPr>
        <w:t xml:space="preserve"> </w:t>
      </w:r>
      <w:r w:rsidRPr="00BF0D7E">
        <w:rPr>
          <w:sz w:val="20"/>
          <w:szCs w:val="28"/>
        </w:rPr>
        <w:t xml:space="preserve">Further, increased exposure to pollutants such as PM2.5 can lead to the development or </w:t>
      </w:r>
      <w:r w:rsidR="00CD527A">
        <w:rPr>
          <w:sz w:val="20"/>
          <w:szCs w:val="28"/>
        </w:rPr>
        <w:t>e</w:t>
      </w:r>
      <w:r w:rsidRPr="00BF0D7E">
        <w:rPr>
          <w:sz w:val="20"/>
          <w:szCs w:val="28"/>
        </w:rPr>
        <w:t xml:space="preserve">xacerbation of respiratory and cardiovascular conditions. </w:t>
      </w:r>
      <w:r w:rsidR="00CD527A" w:rsidRPr="00CD527A">
        <w:rPr>
          <w:sz w:val="20"/>
          <w:szCs w:val="28"/>
        </w:rPr>
        <w:t>Each of the health outcomes from ambient pollution exposure, particularly exposure to PM2.5,</w:t>
      </w:r>
      <w:r w:rsidR="00CD527A" w:rsidRPr="00CD527A">
        <w:rPr>
          <w:sz w:val="20"/>
          <w:szCs w:val="28"/>
          <w:vertAlign w:val="superscript"/>
        </w:rPr>
        <w:footnoteReference w:id="7"/>
      </w:r>
      <w:r w:rsidR="00CD527A" w:rsidRPr="00CD527A">
        <w:rPr>
          <w:sz w:val="20"/>
          <w:szCs w:val="28"/>
        </w:rPr>
        <w:t xml:space="preserve"> come at a substantial economic cost.</w:t>
      </w:r>
      <w:r w:rsidR="00CD527A" w:rsidRPr="00CD527A">
        <w:rPr>
          <w:sz w:val="20"/>
          <w:szCs w:val="28"/>
          <w:vertAlign w:val="superscript"/>
        </w:rPr>
        <w:footnoteReference w:id="8"/>
      </w:r>
      <w:r w:rsidR="00CD527A" w:rsidRPr="00CD527A">
        <w:rPr>
          <w:sz w:val="20"/>
          <w:szCs w:val="28"/>
        </w:rPr>
        <w:t xml:space="preserve"> </w:t>
      </w:r>
      <w:r w:rsidR="00CD527A">
        <w:rPr>
          <w:sz w:val="20"/>
          <w:szCs w:val="20"/>
        </w:rPr>
        <w:t xml:space="preserve">The reduction in emissions of these pollutants attributed to </w:t>
      </w:r>
      <w:r w:rsidR="00363BBB">
        <w:rPr>
          <w:sz w:val="20"/>
          <w:szCs w:val="20"/>
        </w:rPr>
        <w:t>Peoples</w:t>
      </w:r>
      <w:r w:rsidR="00CD527A">
        <w:rPr>
          <w:sz w:val="20"/>
          <w:szCs w:val="20"/>
        </w:rPr>
        <w:t xml:space="preserve"> Gas’ EE programs and their lifetime savings also realized benefits associated with avoided adverse health outcomes. </w:t>
      </w:r>
      <w:r w:rsidRPr="00BF0D7E">
        <w:rPr>
          <w:sz w:val="20"/>
          <w:szCs w:val="28"/>
        </w:rPr>
        <w:t xml:space="preserve"> </w:t>
      </w:r>
    </w:p>
    <w:p w14:paraId="0955B1BF" w14:textId="77777777" w:rsidR="00D708F0" w:rsidRDefault="00D708F0" w:rsidP="00D708F0">
      <w:pPr>
        <w:rPr>
          <w:sz w:val="20"/>
          <w:szCs w:val="28"/>
        </w:rPr>
      </w:pPr>
    </w:p>
    <w:p w14:paraId="3790A0C3" w14:textId="1B4962A2" w:rsidR="00D708F0" w:rsidRPr="003A7C17" w:rsidRDefault="00CD527A" w:rsidP="00D708F0">
      <w:pPr>
        <w:rPr>
          <w:sz w:val="20"/>
          <w:szCs w:val="28"/>
        </w:rPr>
      </w:pPr>
      <w:r>
        <w:rPr>
          <w:sz w:val="20"/>
          <w:szCs w:val="20"/>
        </w:rPr>
        <w:t xml:space="preserve">The EPA developed a tool that estimates the health benefits of reduced emissions from power generation: CO-Benefits Risk Assessment (COBRA). </w:t>
      </w:r>
      <w:r w:rsidR="00D708F0">
        <w:rPr>
          <w:sz w:val="20"/>
          <w:szCs w:val="20"/>
        </w:rPr>
        <w:t xml:space="preserve">Updated in June 2020, </w:t>
      </w:r>
      <w:r w:rsidR="00D708F0" w:rsidRPr="00C404B6">
        <w:rPr>
          <w:sz w:val="20"/>
          <w:szCs w:val="20"/>
        </w:rPr>
        <w:t>COBRA is a peer reviewed screening tool that establishes the human health</w:t>
      </w:r>
      <w:r w:rsidR="00D708F0">
        <w:rPr>
          <w:sz w:val="20"/>
          <w:szCs w:val="20"/>
        </w:rPr>
        <w:t xml:space="preserve"> benefits</w:t>
      </w:r>
      <w:r w:rsidR="00D708F0" w:rsidRPr="00C404B6">
        <w:rPr>
          <w:sz w:val="20"/>
          <w:szCs w:val="20"/>
        </w:rPr>
        <w:t xml:space="preserve"> and associated economic </w:t>
      </w:r>
      <w:r w:rsidR="00D708F0">
        <w:rPr>
          <w:sz w:val="20"/>
          <w:szCs w:val="20"/>
        </w:rPr>
        <w:t xml:space="preserve">impacts of </w:t>
      </w:r>
      <w:r w:rsidR="00D708F0" w:rsidRPr="00C404B6">
        <w:rPr>
          <w:sz w:val="20"/>
          <w:szCs w:val="20"/>
        </w:rPr>
        <w:t>emission reduction scenarios.</w:t>
      </w:r>
      <w:r w:rsidR="00D708F0" w:rsidRPr="00C404B6">
        <w:rPr>
          <w:rStyle w:val="FootnoteReference"/>
          <w:sz w:val="20"/>
          <w:szCs w:val="20"/>
        </w:rPr>
        <w:footnoteReference w:id="9"/>
      </w:r>
      <w:r w:rsidR="00D708F0">
        <w:rPr>
          <w:sz w:val="20"/>
          <w:szCs w:val="20"/>
        </w:rPr>
        <w:t xml:space="preserve"> </w:t>
      </w:r>
      <w:r>
        <w:rPr>
          <w:sz w:val="20"/>
          <w:szCs w:val="20"/>
        </w:rPr>
        <w:t xml:space="preserve">The COBRA model uses county-level emission reductions to estimate changes in health outcomes. </w:t>
      </w:r>
    </w:p>
    <w:p w14:paraId="1883BD94" w14:textId="0B690DF4" w:rsidR="00D708F0" w:rsidRDefault="00D708F0" w:rsidP="00D708F0">
      <w:pPr>
        <w:rPr>
          <w:sz w:val="20"/>
          <w:szCs w:val="20"/>
        </w:rPr>
      </w:pPr>
    </w:p>
    <w:p w14:paraId="5848EFC7" w14:textId="6C746306" w:rsidR="00CD527A" w:rsidRDefault="00CD527A" w:rsidP="00D708F0">
      <w:pPr>
        <w:rPr>
          <w:sz w:val="20"/>
          <w:szCs w:val="20"/>
        </w:rPr>
      </w:pPr>
      <w:r w:rsidRPr="009B458C">
        <w:rPr>
          <w:sz w:val="20"/>
          <w:szCs w:val="20"/>
        </w:rPr>
        <w:t xml:space="preserve">Guidehouse generated four sets of Societal NEI estimates to be included in </w:t>
      </w:r>
      <w:r w:rsidR="00363BBB">
        <w:rPr>
          <w:sz w:val="20"/>
          <w:szCs w:val="20"/>
        </w:rPr>
        <w:t>Peoples</w:t>
      </w:r>
      <w:r>
        <w:rPr>
          <w:sz w:val="20"/>
          <w:szCs w:val="20"/>
        </w:rPr>
        <w:t xml:space="preserve">’ </w:t>
      </w:r>
      <w:r w:rsidRPr="009B458C">
        <w:rPr>
          <w:sz w:val="20"/>
          <w:szCs w:val="20"/>
        </w:rPr>
        <w:t>TRC tests of CY2022-2025 programs</w:t>
      </w:r>
      <w:r>
        <w:rPr>
          <w:sz w:val="20"/>
          <w:szCs w:val="20"/>
        </w:rPr>
        <w:t>, based on CY2019 data</w:t>
      </w:r>
      <w:r w:rsidRPr="009B458C">
        <w:rPr>
          <w:sz w:val="20"/>
          <w:szCs w:val="20"/>
        </w:rPr>
        <w:t xml:space="preserve">. To generate these estimates, Guidehouse repeated an annual </w:t>
      </w:r>
      <w:r w:rsidRPr="00304BF4">
        <w:rPr>
          <w:sz w:val="20"/>
          <w:szCs w:val="20"/>
        </w:rPr>
        <w:t>six-step</w:t>
      </w:r>
      <w:r w:rsidRPr="009B458C">
        <w:rPr>
          <w:sz w:val="20"/>
          <w:szCs w:val="20"/>
        </w:rPr>
        <w:t xml:space="preserve"> modeling approach four times. Guidehouse first worked to ensure that all lifetime energy savings were accounted for, as </w:t>
      </w:r>
      <w:r w:rsidR="00363BBB">
        <w:rPr>
          <w:sz w:val="20"/>
          <w:szCs w:val="20"/>
        </w:rPr>
        <w:t>Peoples</w:t>
      </w:r>
      <w:r w:rsidRPr="009B458C">
        <w:rPr>
          <w:sz w:val="20"/>
          <w:szCs w:val="20"/>
        </w:rPr>
        <w:t xml:space="preserve">’ programs cover a variety of measures with measure lives ranging from one to 25 years. In the case of 2022 Societal NEIs, Guidehouse took </w:t>
      </w:r>
      <w:r>
        <w:rPr>
          <w:sz w:val="20"/>
          <w:szCs w:val="20"/>
        </w:rPr>
        <w:t>program savings</w:t>
      </w:r>
      <w:r w:rsidRPr="009B458C">
        <w:rPr>
          <w:sz w:val="20"/>
          <w:szCs w:val="20"/>
        </w:rPr>
        <w:t xml:space="preserve"> for CY2019 programs, which spanned 2019 through 204</w:t>
      </w:r>
      <w:r>
        <w:rPr>
          <w:sz w:val="20"/>
          <w:szCs w:val="20"/>
        </w:rPr>
        <w:t>2</w:t>
      </w:r>
      <w:r w:rsidRPr="009B458C">
        <w:rPr>
          <w:sz w:val="20"/>
          <w:szCs w:val="20"/>
        </w:rPr>
        <w:t>, then assumed these savings will occur from 2022 through 2046. Guidehouse then estimated the emissions reductions and health benefits associated with these savings for each year from 2022 through 2046, discounting each year’s health benefits estimates back to 2022, then summed the stream of discounted health benefits. This process was repeated for 2023, 2024, and 2025 Societal NEI estimation.</w:t>
      </w:r>
      <w:r>
        <w:rPr>
          <w:sz w:val="20"/>
          <w:szCs w:val="20"/>
        </w:rPr>
        <w:t xml:space="preserve"> </w:t>
      </w:r>
      <w:r w:rsidRPr="00CD527A">
        <w:rPr>
          <w:sz w:val="20"/>
          <w:szCs w:val="20"/>
        </w:rPr>
        <w:t xml:space="preserve">The annual, </w:t>
      </w:r>
      <w:r>
        <w:rPr>
          <w:sz w:val="20"/>
          <w:szCs w:val="20"/>
        </w:rPr>
        <w:t>six</w:t>
      </w:r>
      <w:r w:rsidRPr="00CD527A">
        <w:rPr>
          <w:sz w:val="20"/>
          <w:szCs w:val="20"/>
        </w:rPr>
        <w:t>-step approach</w:t>
      </w:r>
      <w:r>
        <w:rPr>
          <w:sz w:val="20"/>
          <w:szCs w:val="20"/>
        </w:rPr>
        <w:t xml:space="preserve"> and an example of how to apply these values is detailed further in Appendix A.</w:t>
      </w:r>
    </w:p>
    <w:p w14:paraId="4C6ECEE4" w14:textId="77777777" w:rsidR="00CD527A" w:rsidRDefault="00CD527A" w:rsidP="00D708F0">
      <w:pPr>
        <w:rPr>
          <w:sz w:val="20"/>
          <w:szCs w:val="20"/>
        </w:rPr>
      </w:pPr>
    </w:p>
    <w:p w14:paraId="110C9CFA" w14:textId="4807CEB2" w:rsidR="00D708F0" w:rsidRDefault="00D708F0" w:rsidP="00D708F0">
      <w:pPr>
        <w:rPr>
          <w:sz w:val="20"/>
          <w:szCs w:val="20"/>
        </w:rPr>
      </w:pPr>
      <w:r>
        <w:rPr>
          <w:sz w:val="20"/>
          <w:szCs w:val="20"/>
        </w:rPr>
        <w:lastRenderedPageBreak/>
        <w:t xml:space="preserve">To facilitate the measurement of reductions in emissions of pollutants due to </w:t>
      </w:r>
      <w:r w:rsidR="00363BBB">
        <w:rPr>
          <w:sz w:val="20"/>
          <w:szCs w:val="20"/>
        </w:rPr>
        <w:t>Peoples</w:t>
      </w:r>
      <w:r>
        <w:rPr>
          <w:sz w:val="20"/>
          <w:szCs w:val="20"/>
        </w:rPr>
        <w:t xml:space="preserve"> Gas’ CY2019 programs, the U.S. Environmental Protection Agency (EPA) provided Guidehouse with natural gas </w:t>
      </w:r>
      <w:r w:rsidRPr="00E56CE9">
        <w:rPr>
          <w:sz w:val="20"/>
          <w:szCs w:val="20"/>
        </w:rPr>
        <w:t>emissions factors.</w:t>
      </w:r>
      <w:r>
        <w:rPr>
          <w:sz w:val="20"/>
          <w:szCs w:val="20"/>
        </w:rPr>
        <w:t xml:space="preserve"> </w:t>
      </w:r>
      <w:r w:rsidRPr="003A7C17">
        <w:rPr>
          <w:sz w:val="20"/>
          <w:szCs w:val="20"/>
        </w:rPr>
        <w:fldChar w:fldCharType="begin"/>
      </w:r>
      <w:r w:rsidRPr="00E56CE9">
        <w:rPr>
          <w:sz w:val="20"/>
          <w:szCs w:val="20"/>
        </w:rPr>
        <w:instrText xml:space="preserve"> REF _Ref43709077 \h  \* MERGEFORMAT </w:instrText>
      </w:r>
      <w:r w:rsidRPr="003A7C17">
        <w:rPr>
          <w:sz w:val="20"/>
          <w:szCs w:val="20"/>
        </w:rPr>
      </w:r>
      <w:r w:rsidRPr="003A7C17">
        <w:rPr>
          <w:sz w:val="20"/>
          <w:szCs w:val="20"/>
        </w:rPr>
        <w:fldChar w:fldCharType="separate"/>
      </w:r>
      <w:r w:rsidRPr="00843FDC">
        <w:rPr>
          <w:sz w:val="20"/>
          <w:szCs w:val="20"/>
        </w:rPr>
        <w:t xml:space="preserve">Table </w:t>
      </w:r>
      <w:r w:rsidRPr="00843FDC">
        <w:rPr>
          <w:noProof/>
          <w:sz w:val="20"/>
          <w:szCs w:val="20"/>
        </w:rPr>
        <w:t>1</w:t>
      </w:r>
      <w:r w:rsidRPr="003A7C17">
        <w:rPr>
          <w:sz w:val="20"/>
          <w:szCs w:val="20"/>
        </w:rPr>
        <w:fldChar w:fldCharType="end"/>
      </w:r>
      <w:r w:rsidRPr="00E56CE9">
        <w:rPr>
          <w:sz w:val="20"/>
          <w:szCs w:val="20"/>
        </w:rPr>
        <w:t xml:space="preserve"> below shows the emission</w:t>
      </w:r>
      <w:r>
        <w:rPr>
          <w:sz w:val="20"/>
          <w:szCs w:val="20"/>
        </w:rPr>
        <w:t>s</w:t>
      </w:r>
      <w:r w:rsidRPr="00E56CE9">
        <w:rPr>
          <w:sz w:val="20"/>
          <w:szCs w:val="20"/>
        </w:rPr>
        <w:t xml:space="preserve"> factors</w:t>
      </w:r>
      <w:r>
        <w:rPr>
          <w:sz w:val="20"/>
          <w:szCs w:val="20"/>
        </w:rPr>
        <w:t xml:space="preserve"> provided</w:t>
      </w:r>
      <w:r w:rsidRPr="00E56CE9">
        <w:rPr>
          <w:sz w:val="20"/>
          <w:szCs w:val="20"/>
        </w:rPr>
        <w:t>, grouped by sector and pollutant type</w:t>
      </w:r>
      <w:r>
        <w:rPr>
          <w:sz w:val="20"/>
          <w:szCs w:val="20"/>
        </w:rPr>
        <w:t>.</w:t>
      </w:r>
      <w:r w:rsidRPr="00E56CE9">
        <w:rPr>
          <w:rStyle w:val="FootnoteReference"/>
          <w:sz w:val="20"/>
          <w:szCs w:val="20"/>
        </w:rPr>
        <w:footnoteReference w:id="10"/>
      </w:r>
      <w:r w:rsidRPr="00E56CE9">
        <w:rPr>
          <w:sz w:val="20"/>
          <w:szCs w:val="20"/>
          <w:vertAlign w:val="superscript"/>
        </w:rPr>
        <w:t>,</w:t>
      </w:r>
      <w:r w:rsidRPr="00E56CE9">
        <w:rPr>
          <w:rStyle w:val="FootnoteReference"/>
          <w:sz w:val="20"/>
          <w:szCs w:val="20"/>
        </w:rPr>
        <w:footnoteReference w:id="11"/>
      </w:r>
      <w:r w:rsidRPr="00E56CE9">
        <w:rPr>
          <w:sz w:val="20"/>
          <w:szCs w:val="20"/>
          <w:vertAlign w:val="superscript"/>
        </w:rPr>
        <w:t>,</w:t>
      </w:r>
      <w:r w:rsidRPr="00E56CE9">
        <w:rPr>
          <w:rStyle w:val="FootnoteReference"/>
          <w:sz w:val="20"/>
          <w:szCs w:val="20"/>
        </w:rPr>
        <w:footnoteReference w:id="12"/>
      </w:r>
    </w:p>
    <w:p w14:paraId="2BEEDDDE" w14:textId="77777777" w:rsidR="00D708F0" w:rsidRDefault="00D708F0" w:rsidP="00D708F0"/>
    <w:p w14:paraId="05C24639" w14:textId="77777777" w:rsidR="00D708F0" w:rsidRPr="004B068E" w:rsidRDefault="00D708F0" w:rsidP="00D708F0">
      <w:pPr>
        <w:pStyle w:val="Caption"/>
        <w:keepNext/>
        <w:spacing w:after="120"/>
        <w:jc w:val="center"/>
        <w:rPr>
          <w:rFonts w:eastAsiaTheme="minorHAnsi" w:cstheme="minorBidi"/>
          <w:b/>
          <w:bCs/>
          <w:i w:val="0"/>
          <w:iCs w:val="0"/>
          <w:color w:val="93D500" w:themeColor="accent1"/>
          <w:sz w:val="20"/>
          <w:szCs w:val="20"/>
        </w:rPr>
      </w:pPr>
      <w:r w:rsidRPr="004B068E">
        <w:rPr>
          <w:rFonts w:eastAsiaTheme="minorHAnsi" w:cstheme="minorBidi"/>
          <w:b/>
          <w:bCs/>
          <w:i w:val="0"/>
          <w:iCs w:val="0"/>
          <w:color w:val="93D500" w:themeColor="accent1"/>
          <w:sz w:val="20"/>
          <w:szCs w:val="20"/>
        </w:rPr>
        <w:t xml:space="preserve">Table </w:t>
      </w:r>
      <w:r>
        <w:rPr>
          <w:rFonts w:eastAsiaTheme="minorHAnsi" w:cstheme="minorBidi"/>
          <w:b/>
          <w:bCs/>
          <w:i w:val="0"/>
          <w:iCs w:val="0"/>
          <w:color w:val="93D500" w:themeColor="accent1"/>
          <w:sz w:val="20"/>
          <w:szCs w:val="20"/>
        </w:rPr>
        <w:fldChar w:fldCharType="begin"/>
      </w:r>
      <w:r>
        <w:rPr>
          <w:rFonts w:eastAsiaTheme="minorHAnsi" w:cstheme="minorBidi"/>
          <w:b/>
          <w:bCs/>
          <w:i w:val="0"/>
          <w:iCs w:val="0"/>
          <w:color w:val="93D500" w:themeColor="accent1"/>
          <w:sz w:val="20"/>
          <w:szCs w:val="20"/>
        </w:rPr>
        <w:instrText xml:space="preserve"> SEQ Table \* ARABIC </w:instrText>
      </w:r>
      <w:r>
        <w:rPr>
          <w:rFonts w:eastAsiaTheme="minorHAnsi" w:cstheme="minorBidi"/>
          <w:b/>
          <w:bCs/>
          <w:i w:val="0"/>
          <w:iCs w:val="0"/>
          <w:color w:val="93D500" w:themeColor="accent1"/>
          <w:sz w:val="20"/>
          <w:szCs w:val="20"/>
        </w:rPr>
        <w:fldChar w:fldCharType="separate"/>
      </w:r>
      <w:r>
        <w:rPr>
          <w:rFonts w:eastAsiaTheme="minorHAnsi" w:cstheme="minorBidi"/>
          <w:b/>
          <w:bCs/>
          <w:i w:val="0"/>
          <w:iCs w:val="0"/>
          <w:noProof/>
          <w:color w:val="93D500" w:themeColor="accent1"/>
          <w:sz w:val="20"/>
          <w:szCs w:val="20"/>
        </w:rPr>
        <w:t>1</w:t>
      </w:r>
      <w:r>
        <w:rPr>
          <w:rFonts w:eastAsiaTheme="minorHAnsi" w:cstheme="minorBidi"/>
          <w:b/>
          <w:bCs/>
          <w:i w:val="0"/>
          <w:iCs w:val="0"/>
          <w:color w:val="93D500" w:themeColor="accent1"/>
          <w:sz w:val="20"/>
          <w:szCs w:val="20"/>
        </w:rPr>
        <w:fldChar w:fldCharType="end"/>
      </w:r>
      <w:r w:rsidRPr="004B068E">
        <w:rPr>
          <w:rFonts w:eastAsiaTheme="minorHAnsi" w:cstheme="minorBidi"/>
          <w:b/>
          <w:bCs/>
          <w:i w:val="0"/>
          <w:iCs w:val="0"/>
          <w:color w:val="93D500" w:themeColor="accent1"/>
          <w:sz w:val="20"/>
          <w:szCs w:val="20"/>
        </w:rPr>
        <w:t>. Emission Factors</w:t>
      </w:r>
    </w:p>
    <w:tbl>
      <w:tblPr>
        <w:tblStyle w:val="EnergyTable"/>
        <w:tblW w:w="4590" w:type="dxa"/>
        <w:tblLook w:val="04A0" w:firstRow="1" w:lastRow="0" w:firstColumn="1" w:lastColumn="0" w:noHBand="0" w:noVBand="1"/>
      </w:tblPr>
      <w:tblGrid>
        <w:gridCol w:w="1350"/>
        <w:gridCol w:w="1564"/>
        <w:gridCol w:w="1676"/>
      </w:tblGrid>
      <w:tr w:rsidR="00D708F0" w:rsidRPr="003250F9" w14:paraId="72D88EE9" w14:textId="77777777" w:rsidTr="00D708F0">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350" w:type="dxa"/>
            <w:noWrap/>
            <w:hideMark/>
          </w:tcPr>
          <w:p w14:paraId="090CB182" w14:textId="77777777" w:rsidR="00D708F0" w:rsidRPr="003250F9" w:rsidRDefault="00D708F0" w:rsidP="00D708F0">
            <w:pPr>
              <w:rPr>
                <w:rFonts w:ascii="Arial Narrow" w:hAnsi="Arial Narrow" w:cstheme="minorHAnsi"/>
                <w:color w:val="FFFFFF" w:themeColor="background2"/>
                <w:szCs w:val="20"/>
              </w:rPr>
            </w:pPr>
            <w:r w:rsidRPr="003250F9">
              <w:rPr>
                <w:rFonts w:ascii="Arial Narrow" w:hAnsi="Arial Narrow" w:cstheme="minorHAnsi"/>
                <w:color w:val="FFFFFF" w:themeColor="background2"/>
                <w:szCs w:val="20"/>
              </w:rPr>
              <w:t>Pollutant</w:t>
            </w:r>
          </w:p>
        </w:tc>
        <w:tc>
          <w:tcPr>
            <w:tcW w:w="1564" w:type="dxa"/>
            <w:noWrap/>
            <w:hideMark/>
          </w:tcPr>
          <w:p w14:paraId="47026F90" w14:textId="5EC1B21A" w:rsidR="00D708F0" w:rsidRPr="003250F9" w:rsidRDefault="00CD527A" w:rsidP="00D708F0">
            <w:pPr>
              <w:cnfStyle w:val="100000000000" w:firstRow="1" w:lastRow="0" w:firstColumn="0" w:lastColumn="0" w:oddVBand="0" w:evenVBand="0" w:oddHBand="0" w:evenHBand="0" w:firstRowFirstColumn="0" w:firstRowLastColumn="0" w:lastRowFirstColumn="0" w:lastRowLastColumn="0"/>
              <w:rPr>
                <w:rFonts w:ascii="Arial Narrow" w:hAnsi="Arial Narrow" w:cstheme="minorHAnsi"/>
                <w:color w:val="FFFFFF" w:themeColor="background2"/>
                <w:szCs w:val="20"/>
              </w:rPr>
            </w:pPr>
            <w:r>
              <w:rPr>
                <w:rFonts w:ascii="Arial Narrow" w:hAnsi="Arial Narrow" w:cstheme="minorHAnsi"/>
                <w:color w:val="FFFFFF" w:themeColor="background2"/>
                <w:szCs w:val="20"/>
              </w:rPr>
              <w:t>Non-</w:t>
            </w:r>
            <w:r w:rsidR="007A2CC0">
              <w:rPr>
                <w:rFonts w:ascii="Arial Narrow" w:hAnsi="Arial Narrow" w:cstheme="minorHAnsi"/>
                <w:color w:val="FFFFFF" w:themeColor="background2"/>
                <w:szCs w:val="20"/>
              </w:rPr>
              <w:t>Residential</w:t>
            </w:r>
            <w:r w:rsidR="00D708F0" w:rsidRPr="003250F9">
              <w:rPr>
                <w:rFonts w:ascii="Arial Narrow" w:hAnsi="Arial Narrow" w:cstheme="minorHAnsi"/>
                <w:color w:val="FFFFFF" w:themeColor="background2"/>
                <w:szCs w:val="20"/>
              </w:rPr>
              <w:t xml:space="preserve"> Factors (lb/MMCF)</w:t>
            </w:r>
          </w:p>
        </w:tc>
        <w:tc>
          <w:tcPr>
            <w:tcW w:w="1676" w:type="dxa"/>
            <w:noWrap/>
            <w:hideMark/>
          </w:tcPr>
          <w:p w14:paraId="437ECF03" w14:textId="77777777" w:rsidR="00D708F0" w:rsidRPr="003250F9" w:rsidRDefault="00D708F0" w:rsidP="00D708F0">
            <w:pPr>
              <w:cnfStyle w:val="100000000000" w:firstRow="1" w:lastRow="0" w:firstColumn="0" w:lastColumn="0" w:oddVBand="0" w:evenVBand="0" w:oddHBand="0" w:evenHBand="0" w:firstRowFirstColumn="0" w:firstRowLastColumn="0" w:lastRowFirstColumn="0" w:lastRowLastColumn="0"/>
              <w:rPr>
                <w:rFonts w:ascii="Arial Narrow" w:hAnsi="Arial Narrow" w:cstheme="minorHAnsi"/>
                <w:color w:val="FFFFFF" w:themeColor="background2"/>
                <w:szCs w:val="20"/>
              </w:rPr>
            </w:pPr>
            <w:r w:rsidRPr="003250F9">
              <w:rPr>
                <w:rFonts w:ascii="Arial Narrow" w:hAnsi="Arial Narrow" w:cstheme="minorHAnsi"/>
                <w:color w:val="FFFFFF" w:themeColor="background2"/>
                <w:szCs w:val="20"/>
              </w:rPr>
              <w:t>Residential Factors (lb/MMCF)</w:t>
            </w:r>
          </w:p>
        </w:tc>
      </w:tr>
      <w:tr w:rsidR="00D708F0" w:rsidRPr="003250F9" w14:paraId="4D857774" w14:textId="77777777" w:rsidTr="00D708F0">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350" w:type="dxa"/>
            <w:noWrap/>
            <w:hideMark/>
          </w:tcPr>
          <w:p w14:paraId="78EF8544" w14:textId="77777777" w:rsidR="00D708F0" w:rsidRPr="003250F9" w:rsidRDefault="00D708F0" w:rsidP="00D708F0">
            <w:pPr>
              <w:rPr>
                <w:rFonts w:ascii="Arial Narrow" w:hAnsi="Arial Narrow" w:cstheme="minorHAnsi"/>
                <w:szCs w:val="20"/>
              </w:rPr>
            </w:pPr>
            <w:r w:rsidRPr="003250F9">
              <w:rPr>
                <w:rFonts w:ascii="Arial Narrow" w:hAnsi="Arial Narrow" w:cstheme="minorHAnsi"/>
                <w:szCs w:val="20"/>
              </w:rPr>
              <w:t>PM</w:t>
            </w:r>
            <w:r w:rsidRPr="00E2585A">
              <w:rPr>
                <w:rFonts w:ascii="Arial Narrow" w:hAnsi="Arial Narrow" w:cstheme="minorHAnsi"/>
                <w:szCs w:val="20"/>
                <w:vertAlign w:val="subscript"/>
              </w:rPr>
              <w:t>2</w:t>
            </w:r>
            <w:r>
              <w:rPr>
                <w:rFonts w:ascii="Arial Narrow" w:hAnsi="Arial Narrow" w:cstheme="minorHAnsi"/>
                <w:szCs w:val="20"/>
                <w:vertAlign w:val="subscript"/>
              </w:rPr>
              <w:t>.</w:t>
            </w:r>
            <w:r w:rsidRPr="00E2585A">
              <w:rPr>
                <w:rFonts w:ascii="Arial Narrow" w:hAnsi="Arial Narrow" w:cstheme="minorHAnsi"/>
                <w:szCs w:val="20"/>
                <w:vertAlign w:val="subscript"/>
              </w:rPr>
              <w:t>5</w:t>
            </w:r>
          </w:p>
        </w:tc>
        <w:tc>
          <w:tcPr>
            <w:tcW w:w="1564" w:type="dxa"/>
            <w:noWrap/>
            <w:hideMark/>
          </w:tcPr>
          <w:p w14:paraId="17D86F07" w14:textId="77777777" w:rsidR="00D708F0" w:rsidRPr="003250F9" w:rsidRDefault="00D708F0" w:rsidP="00D708F0">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Cs w:val="20"/>
              </w:rPr>
            </w:pPr>
            <w:r w:rsidRPr="003250F9">
              <w:rPr>
                <w:rFonts w:ascii="Arial Narrow" w:hAnsi="Arial Narrow" w:cstheme="minorHAnsi"/>
                <w:szCs w:val="20"/>
              </w:rPr>
              <w:t>0.43</w:t>
            </w:r>
          </w:p>
        </w:tc>
        <w:tc>
          <w:tcPr>
            <w:tcW w:w="1676" w:type="dxa"/>
            <w:noWrap/>
            <w:hideMark/>
          </w:tcPr>
          <w:p w14:paraId="6528139E" w14:textId="77777777" w:rsidR="00D708F0" w:rsidRPr="003250F9" w:rsidRDefault="00D708F0" w:rsidP="00D708F0">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Cs w:val="20"/>
              </w:rPr>
            </w:pPr>
            <w:r w:rsidRPr="003250F9">
              <w:rPr>
                <w:rFonts w:ascii="Arial Narrow" w:hAnsi="Arial Narrow" w:cstheme="minorHAnsi"/>
                <w:szCs w:val="20"/>
              </w:rPr>
              <w:t>0.43</w:t>
            </w:r>
          </w:p>
        </w:tc>
      </w:tr>
      <w:tr w:rsidR="00D708F0" w:rsidRPr="003250F9" w14:paraId="670553E2" w14:textId="77777777" w:rsidTr="00D708F0">
        <w:trPr>
          <w:cnfStyle w:val="000000010000" w:firstRow="0" w:lastRow="0" w:firstColumn="0" w:lastColumn="0" w:oddVBand="0" w:evenVBand="0" w:oddHBand="0" w:evenHBand="1"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350" w:type="dxa"/>
            <w:noWrap/>
            <w:hideMark/>
          </w:tcPr>
          <w:p w14:paraId="14447BEE" w14:textId="77777777" w:rsidR="00D708F0" w:rsidRPr="003250F9" w:rsidRDefault="00D708F0" w:rsidP="00D708F0">
            <w:pPr>
              <w:rPr>
                <w:rFonts w:ascii="Arial Narrow" w:hAnsi="Arial Narrow" w:cstheme="minorHAnsi"/>
                <w:szCs w:val="20"/>
              </w:rPr>
            </w:pPr>
            <w:r w:rsidRPr="003250F9">
              <w:rPr>
                <w:rFonts w:ascii="Arial Narrow" w:hAnsi="Arial Narrow" w:cstheme="minorHAnsi"/>
                <w:szCs w:val="20"/>
              </w:rPr>
              <w:t>NOx</w:t>
            </w:r>
          </w:p>
        </w:tc>
        <w:tc>
          <w:tcPr>
            <w:tcW w:w="1564" w:type="dxa"/>
            <w:noWrap/>
            <w:hideMark/>
          </w:tcPr>
          <w:p w14:paraId="22530452" w14:textId="77777777" w:rsidR="00D708F0" w:rsidRPr="003250F9" w:rsidRDefault="00D708F0" w:rsidP="00D708F0">
            <w:pPr>
              <w:jc w:val="right"/>
              <w:cnfStyle w:val="000000010000" w:firstRow="0" w:lastRow="0" w:firstColumn="0" w:lastColumn="0" w:oddVBand="0" w:evenVBand="0" w:oddHBand="0" w:evenHBand="1" w:firstRowFirstColumn="0" w:firstRowLastColumn="0" w:lastRowFirstColumn="0" w:lastRowLastColumn="0"/>
              <w:rPr>
                <w:rFonts w:ascii="Arial Narrow" w:hAnsi="Arial Narrow" w:cstheme="minorHAnsi"/>
                <w:szCs w:val="20"/>
              </w:rPr>
            </w:pPr>
            <w:r w:rsidRPr="003250F9">
              <w:rPr>
                <w:rFonts w:ascii="Arial Narrow" w:hAnsi="Arial Narrow" w:cstheme="minorHAnsi"/>
                <w:szCs w:val="20"/>
              </w:rPr>
              <w:t>100</w:t>
            </w:r>
          </w:p>
        </w:tc>
        <w:tc>
          <w:tcPr>
            <w:tcW w:w="1676" w:type="dxa"/>
            <w:noWrap/>
            <w:hideMark/>
          </w:tcPr>
          <w:p w14:paraId="65D993BB" w14:textId="77777777" w:rsidR="00D708F0" w:rsidRPr="003250F9" w:rsidRDefault="00D708F0" w:rsidP="00D708F0">
            <w:pPr>
              <w:jc w:val="right"/>
              <w:cnfStyle w:val="000000010000" w:firstRow="0" w:lastRow="0" w:firstColumn="0" w:lastColumn="0" w:oddVBand="0" w:evenVBand="0" w:oddHBand="0" w:evenHBand="1" w:firstRowFirstColumn="0" w:firstRowLastColumn="0" w:lastRowFirstColumn="0" w:lastRowLastColumn="0"/>
              <w:rPr>
                <w:rFonts w:ascii="Arial Narrow" w:hAnsi="Arial Narrow" w:cstheme="minorHAnsi"/>
                <w:szCs w:val="20"/>
              </w:rPr>
            </w:pPr>
            <w:r w:rsidRPr="003250F9">
              <w:rPr>
                <w:rFonts w:ascii="Arial Narrow" w:hAnsi="Arial Narrow" w:cstheme="minorHAnsi"/>
                <w:szCs w:val="20"/>
              </w:rPr>
              <w:t>94</w:t>
            </w:r>
          </w:p>
        </w:tc>
      </w:tr>
      <w:tr w:rsidR="00D708F0" w:rsidRPr="003250F9" w14:paraId="2ECFF9EC" w14:textId="77777777" w:rsidTr="00D708F0">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350" w:type="dxa"/>
            <w:noWrap/>
            <w:hideMark/>
          </w:tcPr>
          <w:p w14:paraId="526FF4F8" w14:textId="77777777" w:rsidR="00D708F0" w:rsidRPr="003250F9" w:rsidRDefault="00D708F0" w:rsidP="00D708F0">
            <w:pPr>
              <w:rPr>
                <w:rFonts w:ascii="Arial Narrow" w:hAnsi="Arial Narrow" w:cstheme="minorHAnsi"/>
                <w:szCs w:val="20"/>
              </w:rPr>
            </w:pPr>
            <w:r w:rsidRPr="003250F9">
              <w:rPr>
                <w:rFonts w:ascii="Arial Narrow" w:hAnsi="Arial Narrow" w:cstheme="minorHAnsi"/>
                <w:szCs w:val="20"/>
              </w:rPr>
              <w:t>SO2</w:t>
            </w:r>
          </w:p>
        </w:tc>
        <w:tc>
          <w:tcPr>
            <w:tcW w:w="1564" w:type="dxa"/>
            <w:noWrap/>
            <w:hideMark/>
          </w:tcPr>
          <w:p w14:paraId="2C15AF34" w14:textId="77777777" w:rsidR="00D708F0" w:rsidRPr="003250F9" w:rsidRDefault="00D708F0" w:rsidP="00D708F0">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Cs w:val="20"/>
              </w:rPr>
            </w:pPr>
            <w:r w:rsidRPr="003250F9">
              <w:rPr>
                <w:rFonts w:ascii="Arial Narrow" w:hAnsi="Arial Narrow" w:cstheme="minorHAnsi"/>
                <w:szCs w:val="20"/>
              </w:rPr>
              <w:t>0.6</w:t>
            </w:r>
          </w:p>
        </w:tc>
        <w:tc>
          <w:tcPr>
            <w:tcW w:w="1676" w:type="dxa"/>
            <w:noWrap/>
            <w:hideMark/>
          </w:tcPr>
          <w:p w14:paraId="56EF20F3" w14:textId="77777777" w:rsidR="00D708F0" w:rsidRPr="003250F9" w:rsidRDefault="00D708F0" w:rsidP="00D708F0">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Cs w:val="20"/>
              </w:rPr>
            </w:pPr>
            <w:r w:rsidRPr="003250F9">
              <w:rPr>
                <w:rFonts w:ascii="Arial Narrow" w:hAnsi="Arial Narrow" w:cstheme="minorHAnsi"/>
                <w:szCs w:val="20"/>
              </w:rPr>
              <w:t>0.6</w:t>
            </w:r>
          </w:p>
        </w:tc>
      </w:tr>
      <w:tr w:rsidR="00D708F0" w:rsidRPr="003250F9" w14:paraId="686A6D91" w14:textId="77777777" w:rsidTr="00D708F0">
        <w:trPr>
          <w:cnfStyle w:val="000000010000" w:firstRow="0" w:lastRow="0" w:firstColumn="0" w:lastColumn="0" w:oddVBand="0" w:evenVBand="0" w:oddHBand="0" w:evenHBand="1"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350" w:type="dxa"/>
            <w:noWrap/>
            <w:hideMark/>
          </w:tcPr>
          <w:p w14:paraId="7BB39EEF" w14:textId="77777777" w:rsidR="00D708F0" w:rsidRPr="003250F9" w:rsidRDefault="00D708F0" w:rsidP="00D708F0">
            <w:pPr>
              <w:rPr>
                <w:rFonts w:ascii="Arial Narrow" w:hAnsi="Arial Narrow" w:cstheme="minorHAnsi"/>
                <w:szCs w:val="20"/>
              </w:rPr>
            </w:pPr>
            <w:r w:rsidRPr="003250F9">
              <w:rPr>
                <w:rFonts w:ascii="Arial Narrow" w:hAnsi="Arial Narrow" w:cstheme="minorHAnsi"/>
                <w:szCs w:val="20"/>
              </w:rPr>
              <w:t>NH3</w:t>
            </w:r>
          </w:p>
        </w:tc>
        <w:tc>
          <w:tcPr>
            <w:tcW w:w="1564" w:type="dxa"/>
            <w:noWrap/>
            <w:hideMark/>
          </w:tcPr>
          <w:p w14:paraId="34E52C9D" w14:textId="77777777" w:rsidR="00D708F0" w:rsidRPr="003250F9" w:rsidRDefault="00D708F0" w:rsidP="00D708F0">
            <w:pPr>
              <w:jc w:val="right"/>
              <w:cnfStyle w:val="000000010000" w:firstRow="0" w:lastRow="0" w:firstColumn="0" w:lastColumn="0" w:oddVBand="0" w:evenVBand="0" w:oddHBand="0" w:evenHBand="1" w:firstRowFirstColumn="0" w:firstRowLastColumn="0" w:lastRowFirstColumn="0" w:lastRowLastColumn="0"/>
              <w:rPr>
                <w:rFonts w:ascii="Arial Narrow" w:hAnsi="Arial Narrow" w:cstheme="minorHAnsi"/>
                <w:szCs w:val="20"/>
              </w:rPr>
            </w:pPr>
            <w:r w:rsidRPr="003250F9">
              <w:rPr>
                <w:rFonts w:ascii="Arial Narrow" w:hAnsi="Arial Narrow" w:cstheme="minorHAnsi"/>
                <w:szCs w:val="20"/>
              </w:rPr>
              <w:t>0.49</w:t>
            </w:r>
          </w:p>
        </w:tc>
        <w:tc>
          <w:tcPr>
            <w:tcW w:w="1676" w:type="dxa"/>
            <w:noWrap/>
            <w:hideMark/>
          </w:tcPr>
          <w:p w14:paraId="56ED4B31" w14:textId="77777777" w:rsidR="00D708F0" w:rsidRPr="003250F9" w:rsidRDefault="00D708F0" w:rsidP="00D708F0">
            <w:pPr>
              <w:jc w:val="right"/>
              <w:cnfStyle w:val="000000010000" w:firstRow="0" w:lastRow="0" w:firstColumn="0" w:lastColumn="0" w:oddVBand="0" w:evenVBand="0" w:oddHBand="0" w:evenHBand="1" w:firstRowFirstColumn="0" w:firstRowLastColumn="0" w:lastRowFirstColumn="0" w:lastRowLastColumn="0"/>
              <w:rPr>
                <w:rFonts w:ascii="Arial Narrow" w:hAnsi="Arial Narrow" w:cstheme="minorHAnsi"/>
                <w:szCs w:val="20"/>
              </w:rPr>
            </w:pPr>
            <w:r w:rsidRPr="003250F9">
              <w:rPr>
                <w:rFonts w:ascii="Arial Narrow" w:hAnsi="Arial Narrow" w:cstheme="minorHAnsi"/>
                <w:szCs w:val="20"/>
              </w:rPr>
              <w:t>20</w:t>
            </w:r>
          </w:p>
        </w:tc>
      </w:tr>
      <w:tr w:rsidR="00D708F0" w:rsidRPr="003250F9" w14:paraId="6949C288" w14:textId="77777777" w:rsidTr="00D708F0">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350" w:type="dxa"/>
            <w:noWrap/>
            <w:hideMark/>
          </w:tcPr>
          <w:p w14:paraId="55FA3A8D" w14:textId="77777777" w:rsidR="00D708F0" w:rsidRPr="003250F9" w:rsidRDefault="00D708F0" w:rsidP="00D708F0">
            <w:pPr>
              <w:rPr>
                <w:rFonts w:ascii="Arial Narrow" w:hAnsi="Arial Narrow" w:cstheme="minorHAnsi"/>
                <w:szCs w:val="20"/>
              </w:rPr>
            </w:pPr>
            <w:r w:rsidRPr="003250F9">
              <w:rPr>
                <w:rFonts w:ascii="Arial Narrow" w:hAnsi="Arial Narrow" w:cstheme="minorHAnsi"/>
                <w:szCs w:val="20"/>
              </w:rPr>
              <w:t>VOC</w:t>
            </w:r>
          </w:p>
        </w:tc>
        <w:tc>
          <w:tcPr>
            <w:tcW w:w="1564" w:type="dxa"/>
            <w:noWrap/>
            <w:hideMark/>
          </w:tcPr>
          <w:p w14:paraId="7BA51C1E" w14:textId="77777777" w:rsidR="00D708F0" w:rsidRPr="003250F9" w:rsidRDefault="00D708F0" w:rsidP="00D708F0">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Cs w:val="20"/>
              </w:rPr>
            </w:pPr>
            <w:r w:rsidRPr="003250F9">
              <w:rPr>
                <w:rFonts w:ascii="Arial Narrow" w:hAnsi="Arial Narrow" w:cstheme="minorHAnsi"/>
                <w:szCs w:val="20"/>
              </w:rPr>
              <w:t>5.5</w:t>
            </w:r>
          </w:p>
        </w:tc>
        <w:tc>
          <w:tcPr>
            <w:tcW w:w="1676" w:type="dxa"/>
            <w:noWrap/>
            <w:hideMark/>
          </w:tcPr>
          <w:p w14:paraId="0834B67E" w14:textId="77777777" w:rsidR="00D708F0" w:rsidRPr="003250F9" w:rsidRDefault="00D708F0" w:rsidP="00D708F0">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Cs w:val="20"/>
              </w:rPr>
            </w:pPr>
            <w:r w:rsidRPr="003250F9">
              <w:rPr>
                <w:rFonts w:ascii="Arial Narrow" w:hAnsi="Arial Narrow" w:cstheme="minorHAnsi"/>
                <w:szCs w:val="20"/>
              </w:rPr>
              <w:t>5.5</w:t>
            </w:r>
          </w:p>
        </w:tc>
      </w:tr>
    </w:tbl>
    <w:p w14:paraId="4DB8D58A" w14:textId="77777777" w:rsidR="00D708F0" w:rsidRPr="00D8461E" w:rsidRDefault="00D708F0" w:rsidP="00D708F0">
      <w:pPr>
        <w:pStyle w:val="Caption"/>
        <w:ind w:left="2250"/>
        <w:rPr>
          <w:color w:val="auto"/>
          <w:sz w:val="16"/>
          <w:szCs w:val="16"/>
        </w:rPr>
      </w:pPr>
      <w:r w:rsidRPr="00D8461E">
        <w:rPr>
          <w:color w:val="auto"/>
          <w:sz w:val="16"/>
          <w:szCs w:val="16"/>
        </w:rPr>
        <w:t xml:space="preserve">Source: </w:t>
      </w:r>
      <w:r>
        <w:rPr>
          <w:color w:val="auto"/>
          <w:sz w:val="16"/>
          <w:szCs w:val="16"/>
        </w:rPr>
        <w:t xml:space="preserve">U.S. EPA reports </w:t>
      </w:r>
      <w:r w:rsidRPr="00D8461E">
        <w:rPr>
          <w:color w:val="auto"/>
          <w:sz w:val="16"/>
          <w:szCs w:val="16"/>
        </w:rPr>
        <w:t>AP-42</w:t>
      </w:r>
      <w:r>
        <w:rPr>
          <w:color w:val="auto"/>
          <w:sz w:val="16"/>
          <w:szCs w:val="16"/>
        </w:rPr>
        <w:t xml:space="preserve">, </w:t>
      </w:r>
      <w:r w:rsidRPr="00D8461E">
        <w:rPr>
          <w:color w:val="auto"/>
          <w:sz w:val="16"/>
          <w:szCs w:val="16"/>
        </w:rPr>
        <w:t>EIIP</w:t>
      </w:r>
      <w:r>
        <w:rPr>
          <w:color w:val="auto"/>
          <w:sz w:val="16"/>
          <w:szCs w:val="16"/>
        </w:rPr>
        <w:t>, and</w:t>
      </w:r>
      <w:r w:rsidRPr="00D8461E">
        <w:rPr>
          <w:color w:val="auto"/>
          <w:sz w:val="16"/>
          <w:szCs w:val="16"/>
        </w:rPr>
        <w:t xml:space="preserve"> NEI</w:t>
      </w:r>
      <w:r>
        <w:rPr>
          <w:color w:val="auto"/>
          <w:sz w:val="16"/>
          <w:szCs w:val="16"/>
        </w:rPr>
        <w:t>.</w:t>
      </w:r>
    </w:p>
    <w:p w14:paraId="46E4EBD2" w14:textId="5AAA861E" w:rsidR="00D708F0" w:rsidRDefault="00D708F0" w:rsidP="00D708F0">
      <w:pPr>
        <w:rPr>
          <w:sz w:val="20"/>
          <w:szCs w:val="20"/>
        </w:rPr>
      </w:pPr>
      <w:r w:rsidRPr="00473420">
        <w:rPr>
          <w:sz w:val="20"/>
          <w:szCs w:val="20"/>
        </w:rPr>
        <w:t>Using emissions factors</w:t>
      </w:r>
      <w:r>
        <w:rPr>
          <w:sz w:val="20"/>
          <w:szCs w:val="20"/>
        </w:rPr>
        <w:t xml:space="preserve"> illustrated above</w:t>
      </w:r>
      <w:r w:rsidRPr="00473420">
        <w:rPr>
          <w:sz w:val="20"/>
          <w:szCs w:val="20"/>
        </w:rPr>
        <w:t xml:space="preserve">, </w:t>
      </w:r>
      <w:r>
        <w:rPr>
          <w:sz w:val="20"/>
          <w:szCs w:val="20"/>
        </w:rPr>
        <w:t xml:space="preserve">Guidehouse calculated the emissions reductions associated with verified savings across the residential and </w:t>
      </w:r>
      <w:r w:rsidR="00CD527A">
        <w:rPr>
          <w:sz w:val="20"/>
          <w:szCs w:val="20"/>
        </w:rPr>
        <w:t>non-residential</w:t>
      </w:r>
      <w:r>
        <w:rPr>
          <w:sz w:val="20"/>
          <w:szCs w:val="20"/>
        </w:rPr>
        <w:t xml:space="preserve"> sectors. As </w:t>
      </w:r>
      <w:r w:rsidR="00363BBB">
        <w:rPr>
          <w:sz w:val="20"/>
          <w:szCs w:val="20"/>
        </w:rPr>
        <w:t>Peoples</w:t>
      </w:r>
      <w:r>
        <w:rPr>
          <w:sz w:val="20"/>
          <w:szCs w:val="20"/>
        </w:rPr>
        <w:t xml:space="preserve"> Gas’ CY2019 measures can accrue savings for up to 25 years, emissions reductions were calculated for each year the portfolio claimed savings via multiplication of each year’s natural gas savings with emissions factors. Table 2 below provides the total calculated emissions reductions associated with </w:t>
      </w:r>
      <w:r w:rsidR="00363BBB">
        <w:rPr>
          <w:sz w:val="20"/>
          <w:szCs w:val="20"/>
        </w:rPr>
        <w:t>Peoples</w:t>
      </w:r>
      <w:r>
        <w:rPr>
          <w:sz w:val="20"/>
          <w:szCs w:val="20"/>
        </w:rPr>
        <w:t xml:space="preserve"> Gas’ CY2019 sectors.</w:t>
      </w:r>
    </w:p>
    <w:p w14:paraId="17FD2C96" w14:textId="77777777" w:rsidR="00E60688" w:rsidRDefault="00E60688" w:rsidP="00D708F0">
      <w:pPr>
        <w:rPr>
          <w:sz w:val="20"/>
          <w:szCs w:val="20"/>
        </w:rPr>
      </w:pPr>
    </w:p>
    <w:p w14:paraId="5737A537" w14:textId="77777777" w:rsidR="00D708F0" w:rsidRPr="004B068E" w:rsidRDefault="00D708F0" w:rsidP="00D708F0">
      <w:pPr>
        <w:pStyle w:val="Caption"/>
        <w:keepNext/>
        <w:spacing w:after="120"/>
        <w:jc w:val="center"/>
        <w:rPr>
          <w:rFonts w:eastAsiaTheme="minorHAnsi" w:cstheme="minorBidi"/>
          <w:b/>
          <w:bCs/>
          <w:i w:val="0"/>
          <w:iCs w:val="0"/>
          <w:color w:val="93D500" w:themeColor="accent1"/>
          <w:sz w:val="20"/>
          <w:szCs w:val="20"/>
        </w:rPr>
      </w:pPr>
      <w:r w:rsidRPr="004B068E">
        <w:rPr>
          <w:rFonts w:eastAsiaTheme="minorHAnsi" w:cstheme="minorBidi"/>
          <w:b/>
          <w:bCs/>
          <w:i w:val="0"/>
          <w:iCs w:val="0"/>
          <w:color w:val="93D500" w:themeColor="accent1"/>
          <w:sz w:val="20"/>
          <w:szCs w:val="20"/>
        </w:rPr>
        <w:t xml:space="preserve">Table </w:t>
      </w:r>
      <w:r>
        <w:rPr>
          <w:rFonts w:eastAsiaTheme="minorHAnsi" w:cstheme="minorBidi"/>
          <w:b/>
          <w:bCs/>
          <w:i w:val="0"/>
          <w:iCs w:val="0"/>
          <w:color w:val="93D500" w:themeColor="accent1"/>
          <w:sz w:val="20"/>
          <w:szCs w:val="20"/>
        </w:rPr>
        <w:fldChar w:fldCharType="begin"/>
      </w:r>
      <w:r>
        <w:rPr>
          <w:rFonts w:eastAsiaTheme="minorHAnsi" w:cstheme="minorBidi"/>
          <w:b/>
          <w:bCs/>
          <w:i w:val="0"/>
          <w:iCs w:val="0"/>
          <w:color w:val="93D500" w:themeColor="accent1"/>
          <w:sz w:val="20"/>
          <w:szCs w:val="20"/>
        </w:rPr>
        <w:instrText xml:space="preserve"> SEQ Table \* ARABIC </w:instrText>
      </w:r>
      <w:r>
        <w:rPr>
          <w:rFonts w:eastAsiaTheme="minorHAnsi" w:cstheme="minorBidi"/>
          <w:b/>
          <w:bCs/>
          <w:i w:val="0"/>
          <w:iCs w:val="0"/>
          <w:color w:val="93D500" w:themeColor="accent1"/>
          <w:sz w:val="20"/>
          <w:szCs w:val="20"/>
        </w:rPr>
        <w:fldChar w:fldCharType="separate"/>
      </w:r>
      <w:r>
        <w:rPr>
          <w:rFonts w:eastAsiaTheme="minorHAnsi" w:cstheme="minorBidi"/>
          <w:b/>
          <w:bCs/>
          <w:i w:val="0"/>
          <w:iCs w:val="0"/>
          <w:noProof/>
          <w:color w:val="93D500" w:themeColor="accent1"/>
          <w:sz w:val="20"/>
          <w:szCs w:val="20"/>
        </w:rPr>
        <w:t>2</w:t>
      </w:r>
      <w:r>
        <w:rPr>
          <w:rFonts w:eastAsiaTheme="minorHAnsi" w:cstheme="minorBidi"/>
          <w:b/>
          <w:bCs/>
          <w:i w:val="0"/>
          <w:iCs w:val="0"/>
          <w:color w:val="93D500" w:themeColor="accent1"/>
          <w:sz w:val="20"/>
          <w:szCs w:val="20"/>
        </w:rPr>
        <w:fldChar w:fldCharType="end"/>
      </w:r>
      <w:r w:rsidRPr="004B068E">
        <w:rPr>
          <w:rFonts w:eastAsiaTheme="minorHAnsi" w:cstheme="minorBidi"/>
          <w:b/>
          <w:bCs/>
          <w:i w:val="0"/>
          <w:iCs w:val="0"/>
          <w:color w:val="93D500" w:themeColor="accent1"/>
          <w:sz w:val="20"/>
          <w:szCs w:val="20"/>
        </w:rPr>
        <w:t>. Emissio</w:t>
      </w:r>
      <w:r>
        <w:rPr>
          <w:rFonts w:eastAsiaTheme="minorHAnsi" w:cstheme="minorBidi"/>
          <w:b/>
          <w:bCs/>
          <w:i w:val="0"/>
          <w:iCs w:val="0"/>
          <w:color w:val="93D500" w:themeColor="accent1"/>
          <w:sz w:val="20"/>
          <w:szCs w:val="20"/>
        </w:rPr>
        <w:t>n Changes</w:t>
      </w:r>
    </w:p>
    <w:tbl>
      <w:tblPr>
        <w:tblStyle w:val="EnergyTable"/>
        <w:tblW w:w="4138" w:type="dxa"/>
        <w:tblLook w:val="04A0" w:firstRow="1" w:lastRow="0" w:firstColumn="1" w:lastColumn="0" w:noHBand="0" w:noVBand="1"/>
      </w:tblPr>
      <w:tblGrid>
        <w:gridCol w:w="1168"/>
        <w:gridCol w:w="1306"/>
        <w:gridCol w:w="1664"/>
      </w:tblGrid>
      <w:tr w:rsidR="00D708F0" w:rsidRPr="003250F9" w14:paraId="6BCA6DF7" w14:textId="77777777" w:rsidTr="00D708F0">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168" w:type="dxa"/>
            <w:tcBorders>
              <w:top w:val="none" w:sz="0" w:space="0" w:color="auto"/>
              <w:left w:val="none" w:sz="0" w:space="0" w:color="auto"/>
              <w:bottom w:val="none" w:sz="0" w:space="0" w:color="auto"/>
              <w:right w:val="none" w:sz="0" w:space="0" w:color="auto"/>
              <w:tl2br w:val="none" w:sz="0" w:space="0" w:color="auto"/>
              <w:tr2bl w:val="none" w:sz="0" w:space="0" w:color="auto"/>
            </w:tcBorders>
            <w:noWrap/>
            <w:hideMark/>
          </w:tcPr>
          <w:p w14:paraId="0CCA053A" w14:textId="77777777" w:rsidR="00D708F0" w:rsidRPr="003250F9" w:rsidRDefault="00D708F0" w:rsidP="00D708F0">
            <w:pPr>
              <w:rPr>
                <w:rFonts w:ascii="Arial Narrow" w:hAnsi="Arial Narrow" w:cstheme="minorHAnsi"/>
                <w:color w:val="FFFFFF" w:themeColor="background2"/>
                <w:szCs w:val="20"/>
              </w:rPr>
            </w:pPr>
            <w:r w:rsidRPr="003250F9">
              <w:rPr>
                <w:rFonts w:ascii="Arial Narrow" w:hAnsi="Arial Narrow" w:cstheme="minorHAnsi"/>
                <w:color w:val="FFFFFF" w:themeColor="background2"/>
                <w:szCs w:val="20"/>
              </w:rPr>
              <w:t>Pollutant</w:t>
            </w:r>
          </w:p>
        </w:tc>
        <w:tc>
          <w:tcPr>
            <w:tcW w:w="1306" w:type="dxa"/>
            <w:tcBorders>
              <w:top w:val="none" w:sz="0" w:space="0" w:color="auto"/>
              <w:left w:val="none" w:sz="0" w:space="0" w:color="auto"/>
              <w:bottom w:val="none" w:sz="0" w:space="0" w:color="auto"/>
              <w:right w:val="none" w:sz="0" w:space="0" w:color="auto"/>
              <w:tl2br w:val="none" w:sz="0" w:space="0" w:color="auto"/>
              <w:tr2bl w:val="none" w:sz="0" w:space="0" w:color="auto"/>
            </w:tcBorders>
            <w:noWrap/>
            <w:hideMark/>
          </w:tcPr>
          <w:p w14:paraId="3D37382B" w14:textId="27FC09ED" w:rsidR="00D708F0" w:rsidRPr="003250F9" w:rsidRDefault="007A2CC0" w:rsidP="00D708F0">
            <w:pPr>
              <w:cnfStyle w:val="100000000000" w:firstRow="1" w:lastRow="0" w:firstColumn="0" w:lastColumn="0" w:oddVBand="0" w:evenVBand="0" w:oddHBand="0" w:evenHBand="0" w:firstRowFirstColumn="0" w:firstRowLastColumn="0" w:lastRowFirstColumn="0" w:lastRowLastColumn="0"/>
              <w:rPr>
                <w:rFonts w:ascii="Arial Narrow" w:hAnsi="Arial Narrow" w:cstheme="minorHAnsi"/>
                <w:color w:val="FFFFFF" w:themeColor="background2"/>
                <w:szCs w:val="20"/>
              </w:rPr>
            </w:pPr>
            <w:r>
              <w:rPr>
                <w:rFonts w:ascii="Arial Narrow" w:hAnsi="Arial Narrow" w:cstheme="minorHAnsi"/>
                <w:color w:val="FFFFFF" w:themeColor="background2"/>
                <w:szCs w:val="20"/>
              </w:rPr>
              <w:t>Residential</w:t>
            </w:r>
            <w:r w:rsidR="00D708F0" w:rsidRPr="003250F9">
              <w:rPr>
                <w:rFonts w:ascii="Arial Narrow" w:hAnsi="Arial Narrow" w:cstheme="minorHAnsi"/>
                <w:color w:val="FFFFFF" w:themeColor="background2"/>
                <w:szCs w:val="20"/>
              </w:rPr>
              <w:t xml:space="preserve"> </w:t>
            </w:r>
            <w:r w:rsidR="00D708F0">
              <w:rPr>
                <w:rFonts w:ascii="Arial Narrow" w:hAnsi="Arial Narrow" w:cstheme="minorHAnsi"/>
                <w:color w:val="FFFFFF" w:themeColor="background2"/>
                <w:szCs w:val="20"/>
              </w:rPr>
              <w:t>Sector (tons)</w:t>
            </w:r>
          </w:p>
        </w:tc>
        <w:tc>
          <w:tcPr>
            <w:tcW w:w="1664" w:type="dxa"/>
            <w:tcBorders>
              <w:top w:val="none" w:sz="0" w:space="0" w:color="auto"/>
              <w:left w:val="none" w:sz="0" w:space="0" w:color="auto"/>
              <w:bottom w:val="none" w:sz="0" w:space="0" w:color="auto"/>
              <w:right w:val="none" w:sz="0" w:space="0" w:color="auto"/>
              <w:tl2br w:val="none" w:sz="0" w:space="0" w:color="auto"/>
              <w:tr2bl w:val="none" w:sz="0" w:space="0" w:color="auto"/>
            </w:tcBorders>
            <w:noWrap/>
            <w:hideMark/>
          </w:tcPr>
          <w:p w14:paraId="0A72A902" w14:textId="4EFE9697" w:rsidR="00D708F0" w:rsidRPr="003250F9" w:rsidRDefault="00984355" w:rsidP="00D708F0">
            <w:pPr>
              <w:cnfStyle w:val="100000000000" w:firstRow="1" w:lastRow="0" w:firstColumn="0" w:lastColumn="0" w:oddVBand="0" w:evenVBand="0" w:oddHBand="0" w:evenHBand="0" w:firstRowFirstColumn="0" w:firstRowLastColumn="0" w:lastRowFirstColumn="0" w:lastRowLastColumn="0"/>
              <w:rPr>
                <w:rFonts w:ascii="Arial Narrow" w:hAnsi="Arial Narrow" w:cstheme="minorHAnsi"/>
                <w:color w:val="FFFFFF" w:themeColor="background2"/>
                <w:szCs w:val="20"/>
              </w:rPr>
            </w:pPr>
            <w:r>
              <w:rPr>
                <w:rFonts w:ascii="Arial Narrow" w:hAnsi="Arial Narrow" w:cstheme="minorHAnsi"/>
                <w:color w:val="FFFFFF" w:themeColor="background2"/>
                <w:szCs w:val="20"/>
              </w:rPr>
              <w:t>Non-</w:t>
            </w:r>
            <w:r w:rsidR="00D708F0" w:rsidRPr="003250F9">
              <w:rPr>
                <w:rFonts w:ascii="Arial Narrow" w:hAnsi="Arial Narrow" w:cstheme="minorHAnsi"/>
                <w:color w:val="FFFFFF" w:themeColor="background2"/>
                <w:szCs w:val="20"/>
              </w:rPr>
              <w:t>Residential</w:t>
            </w:r>
            <w:r w:rsidR="00D708F0">
              <w:rPr>
                <w:rFonts w:ascii="Arial Narrow" w:hAnsi="Arial Narrow" w:cstheme="minorHAnsi"/>
                <w:color w:val="FFFFFF" w:themeColor="background2"/>
                <w:szCs w:val="20"/>
              </w:rPr>
              <w:t xml:space="preserve"> Sector (tons)</w:t>
            </w:r>
          </w:p>
        </w:tc>
      </w:tr>
      <w:tr w:rsidR="00D708F0" w:rsidRPr="003250F9" w14:paraId="2591B237" w14:textId="77777777" w:rsidTr="00D708F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168" w:type="dxa"/>
            <w:noWrap/>
            <w:hideMark/>
          </w:tcPr>
          <w:p w14:paraId="4FE99E6E" w14:textId="77777777" w:rsidR="00D708F0" w:rsidRPr="003250F9" w:rsidRDefault="00D708F0" w:rsidP="00D708F0">
            <w:pPr>
              <w:rPr>
                <w:rFonts w:ascii="Arial Narrow" w:hAnsi="Arial Narrow" w:cstheme="minorHAnsi"/>
                <w:szCs w:val="20"/>
              </w:rPr>
            </w:pPr>
            <w:r w:rsidRPr="003250F9">
              <w:rPr>
                <w:rFonts w:ascii="Arial Narrow" w:hAnsi="Arial Narrow" w:cstheme="minorHAnsi"/>
                <w:szCs w:val="20"/>
              </w:rPr>
              <w:t>PM</w:t>
            </w:r>
            <w:r w:rsidRPr="00473420">
              <w:rPr>
                <w:rFonts w:ascii="Arial Narrow" w:hAnsi="Arial Narrow" w:cstheme="minorHAnsi"/>
                <w:szCs w:val="20"/>
                <w:vertAlign w:val="subscript"/>
              </w:rPr>
              <w:t>2</w:t>
            </w:r>
            <w:r>
              <w:rPr>
                <w:rFonts w:ascii="Arial Narrow" w:hAnsi="Arial Narrow" w:cstheme="minorHAnsi"/>
                <w:szCs w:val="20"/>
                <w:vertAlign w:val="subscript"/>
              </w:rPr>
              <w:t>.</w:t>
            </w:r>
            <w:r w:rsidRPr="00473420">
              <w:rPr>
                <w:rFonts w:ascii="Arial Narrow" w:hAnsi="Arial Narrow" w:cstheme="minorHAnsi"/>
                <w:szCs w:val="20"/>
                <w:vertAlign w:val="subscript"/>
              </w:rPr>
              <w:t>5</w:t>
            </w:r>
          </w:p>
        </w:tc>
        <w:tc>
          <w:tcPr>
            <w:tcW w:w="1306" w:type="dxa"/>
            <w:noWrap/>
            <w:hideMark/>
          </w:tcPr>
          <w:p w14:paraId="506FCBFC" w14:textId="673B819E" w:rsidR="00D708F0" w:rsidRPr="003250F9" w:rsidRDefault="00363BBB" w:rsidP="00D708F0">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Cs w:val="20"/>
              </w:rPr>
            </w:pPr>
            <w:r>
              <w:rPr>
                <w:rFonts w:ascii="Arial Narrow" w:hAnsi="Arial Narrow" w:cstheme="minorHAnsi"/>
                <w:szCs w:val="20"/>
              </w:rPr>
              <w:t>0</w:t>
            </w:r>
            <w:r w:rsidR="00D708F0">
              <w:rPr>
                <w:rFonts w:ascii="Arial Narrow" w:hAnsi="Arial Narrow" w:cstheme="minorHAnsi"/>
                <w:szCs w:val="20"/>
              </w:rPr>
              <w:t>.7</w:t>
            </w:r>
            <w:r>
              <w:rPr>
                <w:rFonts w:ascii="Arial Narrow" w:hAnsi="Arial Narrow" w:cstheme="minorHAnsi"/>
                <w:szCs w:val="20"/>
              </w:rPr>
              <w:t>9</w:t>
            </w:r>
          </w:p>
        </w:tc>
        <w:tc>
          <w:tcPr>
            <w:tcW w:w="1664" w:type="dxa"/>
            <w:noWrap/>
            <w:hideMark/>
          </w:tcPr>
          <w:p w14:paraId="6BF15D35" w14:textId="54442853" w:rsidR="00D708F0" w:rsidRPr="003250F9" w:rsidRDefault="00D708F0" w:rsidP="00D708F0">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Cs w:val="20"/>
              </w:rPr>
            </w:pPr>
            <w:r>
              <w:rPr>
                <w:rFonts w:ascii="Arial Narrow" w:hAnsi="Arial Narrow" w:cstheme="minorHAnsi"/>
                <w:szCs w:val="20"/>
              </w:rPr>
              <w:t>1.</w:t>
            </w:r>
            <w:r w:rsidR="00363BBB">
              <w:rPr>
                <w:rFonts w:ascii="Arial Narrow" w:hAnsi="Arial Narrow" w:cstheme="minorHAnsi"/>
                <w:szCs w:val="20"/>
              </w:rPr>
              <w:t>45</w:t>
            </w:r>
          </w:p>
        </w:tc>
      </w:tr>
      <w:tr w:rsidR="00D708F0" w:rsidRPr="003250F9" w14:paraId="19A260E8" w14:textId="77777777" w:rsidTr="00D708F0">
        <w:trPr>
          <w:cnfStyle w:val="000000010000" w:firstRow="0" w:lastRow="0" w:firstColumn="0" w:lastColumn="0" w:oddVBand="0" w:evenVBand="0" w:oddHBand="0" w:evenHBand="1"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168" w:type="dxa"/>
            <w:noWrap/>
            <w:hideMark/>
          </w:tcPr>
          <w:p w14:paraId="616EBA7A" w14:textId="77777777" w:rsidR="00D708F0" w:rsidRPr="003250F9" w:rsidRDefault="00D708F0" w:rsidP="00D708F0">
            <w:pPr>
              <w:rPr>
                <w:rFonts w:ascii="Arial Narrow" w:hAnsi="Arial Narrow" w:cstheme="minorHAnsi"/>
                <w:szCs w:val="20"/>
              </w:rPr>
            </w:pPr>
            <w:r w:rsidRPr="003250F9">
              <w:rPr>
                <w:rFonts w:ascii="Arial Narrow" w:hAnsi="Arial Narrow" w:cstheme="minorHAnsi"/>
                <w:szCs w:val="20"/>
              </w:rPr>
              <w:t>NOx</w:t>
            </w:r>
          </w:p>
        </w:tc>
        <w:tc>
          <w:tcPr>
            <w:tcW w:w="1306" w:type="dxa"/>
            <w:noWrap/>
            <w:hideMark/>
          </w:tcPr>
          <w:p w14:paraId="6FF4B3A2" w14:textId="626843D3" w:rsidR="00D708F0" w:rsidRPr="003250F9" w:rsidRDefault="00363BBB" w:rsidP="00D708F0">
            <w:pPr>
              <w:jc w:val="right"/>
              <w:cnfStyle w:val="000000010000" w:firstRow="0" w:lastRow="0" w:firstColumn="0" w:lastColumn="0" w:oddVBand="0" w:evenVBand="0" w:oddHBand="0" w:evenHBand="1" w:firstRowFirstColumn="0" w:firstRowLastColumn="0" w:lastRowFirstColumn="0" w:lastRowLastColumn="0"/>
              <w:rPr>
                <w:rFonts w:ascii="Arial Narrow" w:hAnsi="Arial Narrow" w:cstheme="minorHAnsi"/>
                <w:szCs w:val="20"/>
              </w:rPr>
            </w:pPr>
            <w:r>
              <w:rPr>
                <w:rFonts w:ascii="Arial Narrow" w:hAnsi="Arial Narrow" w:cstheme="minorHAnsi"/>
                <w:szCs w:val="20"/>
              </w:rPr>
              <w:t>182</w:t>
            </w:r>
            <w:r w:rsidR="00D708F0">
              <w:rPr>
                <w:rFonts w:ascii="Arial Narrow" w:hAnsi="Arial Narrow" w:cstheme="minorHAnsi"/>
                <w:szCs w:val="20"/>
              </w:rPr>
              <w:t>.</w:t>
            </w:r>
            <w:r>
              <w:rPr>
                <w:rFonts w:ascii="Arial Narrow" w:hAnsi="Arial Narrow" w:cstheme="minorHAnsi"/>
                <w:szCs w:val="20"/>
              </w:rPr>
              <w:t>98</w:t>
            </w:r>
          </w:p>
        </w:tc>
        <w:tc>
          <w:tcPr>
            <w:tcW w:w="1664" w:type="dxa"/>
            <w:noWrap/>
            <w:hideMark/>
          </w:tcPr>
          <w:p w14:paraId="199C3B79" w14:textId="4F2CE480" w:rsidR="00D708F0" w:rsidRPr="003250F9" w:rsidRDefault="00363BBB" w:rsidP="00D708F0">
            <w:pPr>
              <w:jc w:val="right"/>
              <w:cnfStyle w:val="000000010000" w:firstRow="0" w:lastRow="0" w:firstColumn="0" w:lastColumn="0" w:oddVBand="0" w:evenVBand="0" w:oddHBand="0" w:evenHBand="1" w:firstRowFirstColumn="0" w:firstRowLastColumn="0" w:lastRowFirstColumn="0" w:lastRowLastColumn="0"/>
              <w:rPr>
                <w:rFonts w:ascii="Arial Narrow" w:hAnsi="Arial Narrow" w:cstheme="minorHAnsi"/>
                <w:szCs w:val="20"/>
              </w:rPr>
            </w:pPr>
            <w:r>
              <w:rPr>
                <w:rFonts w:ascii="Arial Narrow" w:hAnsi="Arial Narrow" w:cstheme="minorHAnsi"/>
                <w:szCs w:val="20"/>
              </w:rPr>
              <w:t>3</w:t>
            </w:r>
            <w:r w:rsidR="00D708F0">
              <w:rPr>
                <w:rFonts w:ascii="Arial Narrow" w:hAnsi="Arial Narrow" w:cstheme="minorHAnsi"/>
                <w:szCs w:val="20"/>
              </w:rPr>
              <w:t>16.</w:t>
            </w:r>
            <w:r>
              <w:rPr>
                <w:rFonts w:ascii="Arial Narrow" w:hAnsi="Arial Narrow" w:cstheme="minorHAnsi"/>
                <w:szCs w:val="20"/>
              </w:rPr>
              <w:t>44</w:t>
            </w:r>
          </w:p>
        </w:tc>
      </w:tr>
      <w:tr w:rsidR="00D708F0" w:rsidRPr="003250F9" w14:paraId="5B768689" w14:textId="77777777" w:rsidTr="00D708F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168" w:type="dxa"/>
            <w:noWrap/>
            <w:hideMark/>
          </w:tcPr>
          <w:p w14:paraId="056C76DB" w14:textId="77777777" w:rsidR="00D708F0" w:rsidRPr="003250F9" w:rsidRDefault="00D708F0" w:rsidP="00D708F0">
            <w:pPr>
              <w:rPr>
                <w:rFonts w:ascii="Arial Narrow" w:hAnsi="Arial Narrow" w:cstheme="minorHAnsi"/>
                <w:szCs w:val="20"/>
              </w:rPr>
            </w:pPr>
            <w:r w:rsidRPr="003250F9">
              <w:rPr>
                <w:rFonts w:ascii="Arial Narrow" w:hAnsi="Arial Narrow" w:cstheme="minorHAnsi"/>
                <w:szCs w:val="20"/>
              </w:rPr>
              <w:t>SO2</w:t>
            </w:r>
          </w:p>
        </w:tc>
        <w:tc>
          <w:tcPr>
            <w:tcW w:w="1306" w:type="dxa"/>
            <w:noWrap/>
            <w:hideMark/>
          </w:tcPr>
          <w:p w14:paraId="2D18697B" w14:textId="6527AFFE" w:rsidR="00D708F0" w:rsidRPr="003250F9" w:rsidRDefault="00363BBB" w:rsidP="00D708F0">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Cs w:val="20"/>
              </w:rPr>
            </w:pPr>
            <w:r>
              <w:rPr>
                <w:rFonts w:ascii="Arial Narrow" w:hAnsi="Arial Narrow" w:cstheme="minorHAnsi"/>
                <w:szCs w:val="20"/>
              </w:rPr>
              <w:t>1.1</w:t>
            </w:r>
            <w:r w:rsidR="00D708F0">
              <w:rPr>
                <w:rFonts w:ascii="Arial Narrow" w:hAnsi="Arial Narrow" w:cstheme="minorHAnsi"/>
                <w:szCs w:val="20"/>
              </w:rPr>
              <w:t>0</w:t>
            </w:r>
          </w:p>
        </w:tc>
        <w:tc>
          <w:tcPr>
            <w:tcW w:w="1664" w:type="dxa"/>
            <w:noWrap/>
            <w:hideMark/>
          </w:tcPr>
          <w:p w14:paraId="1C9356D2" w14:textId="5AE820D0" w:rsidR="00D708F0" w:rsidRPr="003250F9" w:rsidRDefault="00D708F0" w:rsidP="00D708F0">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Cs w:val="20"/>
              </w:rPr>
            </w:pPr>
            <w:r>
              <w:rPr>
                <w:rFonts w:ascii="Arial Narrow" w:hAnsi="Arial Narrow" w:cstheme="minorHAnsi"/>
                <w:szCs w:val="20"/>
              </w:rPr>
              <w:t>2.</w:t>
            </w:r>
            <w:r w:rsidR="00363BBB">
              <w:rPr>
                <w:rFonts w:ascii="Arial Narrow" w:hAnsi="Arial Narrow" w:cstheme="minorHAnsi"/>
                <w:szCs w:val="20"/>
              </w:rPr>
              <w:t>02</w:t>
            </w:r>
          </w:p>
        </w:tc>
      </w:tr>
      <w:tr w:rsidR="00D708F0" w:rsidRPr="003250F9" w14:paraId="5C547147" w14:textId="77777777" w:rsidTr="00D708F0">
        <w:trPr>
          <w:cnfStyle w:val="000000010000" w:firstRow="0" w:lastRow="0" w:firstColumn="0" w:lastColumn="0" w:oddVBand="0" w:evenVBand="0" w:oddHBand="0" w:evenHBand="1"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168" w:type="dxa"/>
            <w:noWrap/>
            <w:hideMark/>
          </w:tcPr>
          <w:p w14:paraId="6D142436" w14:textId="77777777" w:rsidR="00D708F0" w:rsidRPr="003250F9" w:rsidRDefault="00D708F0" w:rsidP="00D708F0">
            <w:pPr>
              <w:rPr>
                <w:rFonts w:ascii="Arial Narrow" w:hAnsi="Arial Narrow" w:cstheme="minorHAnsi"/>
                <w:szCs w:val="20"/>
              </w:rPr>
            </w:pPr>
            <w:r w:rsidRPr="003250F9">
              <w:rPr>
                <w:rFonts w:ascii="Arial Narrow" w:hAnsi="Arial Narrow" w:cstheme="minorHAnsi"/>
                <w:szCs w:val="20"/>
              </w:rPr>
              <w:t>NH3</w:t>
            </w:r>
          </w:p>
        </w:tc>
        <w:tc>
          <w:tcPr>
            <w:tcW w:w="1306" w:type="dxa"/>
            <w:noWrap/>
            <w:hideMark/>
          </w:tcPr>
          <w:p w14:paraId="38BE21C8" w14:textId="31EA1312" w:rsidR="00D708F0" w:rsidRPr="003250F9" w:rsidRDefault="00363BBB" w:rsidP="00D708F0">
            <w:pPr>
              <w:jc w:val="right"/>
              <w:cnfStyle w:val="000000010000" w:firstRow="0" w:lastRow="0" w:firstColumn="0" w:lastColumn="0" w:oddVBand="0" w:evenVBand="0" w:oddHBand="0" w:evenHBand="1" w:firstRowFirstColumn="0" w:firstRowLastColumn="0" w:lastRowFirstColumn="0" w:lastRowLastColumn="0"/>
              <w:rPr>
                <w:rFonts w:ascii="Arial Narrow" w:hAnsi="Arial Narrow" w:cstheme="minorHAnsi"/>
                <w:szCs w:val="20"/>
              </w:rPr>
            </w:pPr>
            <w:r>
              <w:rPr>
                <w:rFonts w:ascii="Arial Narrow" w:hAnsi="Arial Narrow" w:cstheme="minorHAnsi"/>
                <w:szCs w:val="20"/>
              </w:rPr>
              <w:t>0</w:t>
            </w:r>
            <w:r w:rsidR="00D708F0">
              <w:rPr>
                <w:rFonts w:ascii="Arial Narrow" w:hAnsi="Arial Narrow" w:cstheme="minorHAnsi"/>
                <w:szCs w:val="20"/>
              </w:rPr>
              <w:t>.</w:t>
            </w:r>
            <w:r>
              <w:rPr>
                <w:rFonts w:ascii="Arial Narrow" w:hAnsi="Arial Narrow" w:cstheme="minorHAnsi"/>
                <w:szCs w:val="20"/>
              </w:rPr>
              <w:t>9</w:t>
            </w:r>
            <w:r w:rsidR="00D708F0">
              <w:rPr>
                <w:rFonts w:ascii="Arial Narrow" w:hAnsi="Arial Narrow" w:cstheme="minorHAnsi"/>
                <w:szCs w:val="20"/>
              </w:rPr>
              <w:t>0</w:t>
            </w:r>
          </w:p>
        </w:tc>
        <w:tc>
          <w:tcPr>
            <w:tcW w:w="1664" w:type="dxa"/>
            <w:noWrap/>
            <w:hideMark/>
          </w:tcPr>
          <w:p w14:paraId="7122BA5D" w14:textId="0C0CC0EA" w:rsidR="00D708F0" w:rsidRPr="003250F9" w:rsidRDefault="00363BBB" w:rsidP="00D708F0">
            <w:pPr>
              <w:jc w:val="right"/>
              <w:cnfStyle w:val="000000010000" w:firstRow="0" w:lastRow="0" w:firstColumn="0" w:lastColumn="0" w:oddVBand="0" w:evenVBand="0" w:oddHBand="0" w:evenHBand="1" w:firstRowFirstColumn="0" w:firstRowLastColumn="0" w:lastRowFirstColumn="0" w:lastRowLastColumn="0"/>
              <w:rPr>
                <w:rFonts w:ascii="Arial Narrow" w:hAnsi="Arial Narrow" w:cstheme="minorHAnsi"/>
                <w:szCs w:val="20"/>
              </w:rPr>
            </w:pPr>
            <w:r>
              <w:rPr>
                <w:rFonts w:ascii="Arial Narrow" w:hAnsi="Arial Narrow" w:cstheme="minorHAnsi"/>
                <w:szCs w:val="20"/>
              </w:rPr>
              <w:t>67</w:t>
            </w:r>
            <w:r w:rsidR="00D708F0">
              <w:rPr>
                <w:rFonts w:ascii="Arial Narrow" w:hAnsi="Arial Narrow" w:cstheme="minorHAnsi"/>
                <w:szCs w:val="20"/>
              </w:rPr>
              <w:t>.</w:t>
            </w:r>
            <w:r>
              <w:rPr>
                <w:rFonts w:ascii="Arial Narrow" w:hAnsi="Arial Narrow" w:cstheme="minorHAnsi"/>
                <w:szCs w:val="20"/>
              </w:rPr>
              <w:t>3</w:t>
            </w:r>
            <w:r w:rsidR="00D708F0">
              <w:rPr>
                <w:rFonts w:ascii="Arial Narrow" w:hAnsi="Arial Narrow" w:cstheme="minorHAnsi"/>
                <w:szCs w:val="20"/>
              </w:rPr>
              <w:t>3</w:t>
            </w:r>
          </w:p>
        </w:tc>
      </w:tr>
      <w:tr w:rsidR="00D708F0" w:rsidRPr="003250F9" w14:paraId="31A39DF7" w14:textId="77777777" w:rsidTr="00D708F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168" w:type="dxa"/>
            <w:noWrap/>
            <w:hideMark/>
          </w:tcPr>
          <w:p w14:paraId="2E8A956C" w14:textId="77777777" w:rsidR="00D708F0" w:rsidRPr="003250F9" w:rsidRDefault="00D708F0" w:rsidP="00D708F0">
            <w:pPr>
              <w:rPr>
                <w:rFonts w:ascii="Arial Narrow" w:hAnsi="Arial Narrow" w:cstheme="minorHAnsi"/>
                <w:szCs w:val="20"/>
              </w:rPr>
            </w:pPr>
            <w:r w:rsidRPr="003250F9">
              <w:rPr>
                <w:rFonts w:ascii="Arial Narrow" w:hAnsi="Arial Narrow" w:cstheme="minorHAnsi"/>
                <w:szCs w:val="20"/>
              </w:rPr>
              <w:t>VOC</w:t>
            </w:r>
          </w:p>
        </w:tc>
        <w:tc>
          <w:tcPr>
            <w:tcW w:w="1306" w:type="dxa"/>
            <w:noWrap/>
            <w:hideMark/>
          </w:tcPr>
          <w:p w14:paraId="159327E7" w14:textId="0E53C7F0" w:rsidR="00D708F0" w:rsidRPr="003250F9" w:rsidRDefault="00363BBB" w:rsidP="00D708F0">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Cs w:val="20"/>
              </w:rPr>
            </w:pPr>
            <w:r>
              <w:rPr>
                <w:rFonts w:ascii="Arial Narrow" w:hAnsi="Arial Narrow" w:cstheme="minorHAnsi"/>
                <w:szCs w:val="20"/>
              </w:rPr>
              <w:t>10</w:t>
            </w:r>
            <w:r w:rsidR="00D708F0">
              <w:rPr>
                <w:rFonts w:ascii="Arial Narrow" w:hAnsi="Arial Narrow" w:cstheme="minorHAnsi"/>
                <w:szCs w:val="20"/>
              </w:rPr>
              <w:t>.</w:t>
            </w:r>
            <w:r>
              <w:rPr>
                <w:rFonts w:ascii="Arial Narrow" w:hAnsi="Arial Narrow" w:cstheme="minorHAnsi"/>
                <w:szCs w:val="20"/>
              </w:rPr>
              <w:t>06</w:t>
            </w:r>
          </w:p>
        </w:tc>
        <w:tc>
          <w:tcPr>
            <w:tcW w:w="1664" w:type="dxa"/>
            <w:noWrap/>
            <w:hideMark/>
          </w:tcPr>
          <w:p w14:paraId="496E9053" w14:textId="2F5B8185" w:rsidR="00D708F0" w:rsidRPr="003250F9" w:rsidRDefault="00363BBB" w:rsidP="00D708F0">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Cs w:val="20"/>
              </w:rPr>
            </w:pPr>
            <w:r>
              <w:rPr>
                <w:rFonts w:ascii="Arial Narrow" w:hAnsi="Arial Narrow" w:cstheme="minorHAnsi"/>
                <w:szCs w:val="20"/>
              </w:rPr>
              <w:t>18</w:t>
            </w:r>
            <w:r w:rsidR="00D708F0">
              <w:rPr>
                <w:rFonts w:ascii="Arial Narrow" w:hAnsi="Arial Narrow" w:cstheme="minorHAnsi"/>
                <w:szCs w:val="20"/>
              </w:rPr>
              <w:t>.5</w:t>
            </w:r>
            <w:r>
              <w:rPr>
                <w:rFonts w:ascii="Arial Narrow" w:hAnsi="Arial Narrow" w:cstheme="minorHAnsi"/>
                <w:szCs w:val="20"/>
              </w:rPr>
              <w:t>2</w:t>
            </w:r>
          </w:p>
        </w:tc>
      </w:tr>
    </w:tbl>
    <w:p w14:paraId="6CEFD017" w14:textId="163FA554" w:rsidR="00D708F0" w:rsidRPr="00D8461E" w:rsidRDefault="00D708F0" w:rsidP="00D708F0">
      <w:pPr>
        <w:pStyle w:val="Caption"/>
        <w:jc w:val="center"/>
        <w:rPr>
          <w:color w:val="auto"/>
          <w:sz w:val="16"/>
          <w:szCs w:val="16"/>
        </w:rPr>
      </w:pPr>
      <w:r w:rsidRPr="00D8461E">
        <w:rPr>
          <w:color w:val="auto"/>
          <w:sz w:val="16"/>
          <w:szCs w:val="16"/>
        </w:rPr>
        <w:t xml:space="preserve">Source: </w:t>
      </w:r>
      <w:r w:rsidR="00363BBB">
        <w:rPr>
          <w:color w:val="auto"/>
          <w:sz w:val="16"/>
          <w:szCs w:val="16"/>
        </w:rPr>
        <w:t>Peoples</w:t>
      </w:r>
      <w:r>
        <w:rPr>
          <w:color w:val="auto"/>
          <w:sz w:val="16"/>
          <w:szCs w:val="16"/>
        </w:rPr>
        <w:t xml:space="preserve"> Gas CY2019 Data; Guidehouse Analysis.</w:t>
      </w:r>
    </w:p>
    <w:p w14:paraId="7944BAF9" w14:textId="77777777" w:rsidR="00D708F0" w:rsidRDefault="00D708F0" w:rsidP="00D708F0">
      <w:pPr>
        <w:keepNext/>
        <w:keepLines/>
        <w:rPr>
          <w:sz w:val="20"/>
          <w:szCs w:val="20"/>
        </w:rPr>
      </w:pPr>
    </w:p>
    <w:p w14:paraId="5CC5DAA4" w14:textId="477D0BDB" w:rsidR="00D708F0" w:rsidRDefault="00D708F0" w:rsidP="00D708F0">
      <w:pPr>
        <w:rPr>
          <w:sz w:val="20"/>
          <w:szCs w:val="20"/>
        </w:rPr>
      </w:pPr>
      <w:r w:rsidRPr="00C404B6">
        <w:rPr>
          <w:sz w:val="20"/>
          <w:szCs w:val="20"/>
        </w:rPr>
        <w:t>The COBRA model has t</w:t>
      </w:r>
      <w:r>
        <w:rPr>
          <w:sz w:val="20"/>
          <w:szCs w:val="20"/>
        </w:rPr>
        <w:t>hree</w:t>
      </w:r>
      <w:r w:rsidRPr="00C404B6">
        <w:rPr>
          <w:sz w:val="20"/>
          <w:szCs w:val="20"/>
        </w:rPr>
        <w:t xml:space="preserve"> baseline emission data frames pre-loaded into the software – 201</w:t>
      </w:r>
      <w:r>
        <w:rPr>
          <w:sz w:val="20"/>
          <w:szCs w:val="20"/>
        </w:rPr>
        <w:t>6, 2023</w:t>
      </w:r>
      <w:r w:rsidRPr="00C404B6">
        <w:rPr>
          <w:sz w:val="20"/>
          <w:szCs w:val="20"/>
        </w:rPr>
        <w:t xml:space="preserve"> and 202</w:t>
      </w:r>
      <w:r>
        <w:rPr>
          <w:sz w:val="20"/>
          <w:szCs w:val="20"/>
        </w:rPr>
        <w:t xml:space="preserve">8, and the EPA has estimated population changes and resulting health responses to emission changes in each of these baseline years. Guidehouse conducted the COBRA analysis on an annual basis by inputting the estimated savings from what we expect will be </w:t>
      </w:r>
      <w:r w:rsidR="00363BBB">
        <w:rPr>
          <w:sz w:val="20"/>
          <w:szCs w:val="20"/>
        </w:rPr>
        <w:t>Peoples</w:t>
      </w:r>
      <w:r>
        <w:rPr>
          <w:sz w:val="20"/>
          <w:szCs w:val="20"/>
        </w:rPr>
        <w:t xml:space="preserve"> Gas’ CY2022-2025 program measures for each year ranging from 2022 to 2049. COBRA also accounts for </w:t>
      </w:r>
      <w:r>
        <w:rPr>
          <w:sz w:val="20"/>
          <w:szCs w:val="20"/>
        </w:rPr>
        <w:lastRenderedPageBreak/>
        <w:t>the changes in baseline population and health responses to emissions over time. During this process, Guidehouse carefully aligned the nearest COBRA baseline year to each portfolio year, as shown</w:t>
      </w:r>
      <w:r w:rsidRPr="00E2585A">
        <w:rPr>
          <w:color w:val="auto"/>
          <w:sz w:val="20"/>
          <w:szCs w:val="20"/>
        </w:rPr>
        <w:t xml:space="preserve"> in </w:t>
      </w:r>
      <w:r w:rsidRPr="00E2585A">
        <w:rPr>
          <w:color w:val="auto"/>
          <w:sz w:val="20"/>
          <w:szCs w:val="20"/>
        </w:rPr>
        <w:fldChar w:fldCharType="begin"/>
      </w:r>
      <w:r w:rsidRPr="00E2585A">
        <w:rPr>
          <w:color w:val="auto"/>
          <w:sz w:val="20"/>
          <w:szCs w:val="20"/>
        </w:rPr>
        <w:instrText xml:space="preserve"> REF _Ref48827966 \h  \* MERGEFORMAT </w:instrText>
      </w:r>
      <w:r w:rsidRPr="00E2585A">
        <w:rPr>
          <w:color w:val="auto"/>
          <w:sz w:val="20"/>
          <w:szCs w:val="20"/>
        </w:rPr>
      </w:r>
      <w:r w:rsidRPr="00E2585A">
        <w:rPr>
          <w:color w:val="auto"/>
          <w:sz w:val="20"/>
          <w:szCs w:val="20"/>
        </w:rPr>
        <w:fldChar w:fldCharType="separate"/>
      </w:r>
      <w:r w:rsidRPr="00843FDC">
        <w:rPr>
          <w:rFonts w:eastAsiaTheme="minorHAnsi" w:cstheme="minorBidi"/>
          <w:color w:val="auto"/>
          <w:sz w:val="20"/>
          <w:szCs w:val="20"/>
        </w:rPr>
        <w:t xml:space="preserve">Table </w:t>
      </w:r>
      <w:r w:rsidRPr="00843FDC">
        <w:rPr>
          <w:rFonts w:eastAsiaTheme="minorHAnsi" w:cstheme="minorBidi"/>
          <w:noProof/>
          <w:color w:val="auto"/>
          <w:sz w:val="20"/>
          <w:szCs w:val="20"/>
        </w:rPr>
        <w:t>3</w:t>
      </w:r>
      <w:r w:rsidRPr="00E2585A">
        <w:rPr>
          <w:color w:val="auto"/>
          <w:sz w:val="20"/>
          <w:szCs w:val="20"/>
        </w:rPr>
        <w:fldChar w:fldCharType="end"/>
      </w:r>
      <w:r w:rsidRPr="00E2585A">
        <w:rPr>
          <w:color w:val="auto"/>
          <w:sz w:val="20"/>
          <w:szCs w:val="20"/>
        </w:rPr>
        <w:t>.</w:t>
      </w:r>
    </w:p>
    <w:p w14:paraId="2D61ACE8" w14:textId="77777777" w:rsidR="00D708F0" w:rsidRDefault="00D708F0" w:rsidP="00D708F0">
      <w:pPr>
        <w:rPr>
          <w:sz w:val="20"/>
          <w:szCs w:val="20"/>
        </w:rPr>
      </w:pPr>
    </w:p>
    <w:p w14:paraId="17330644" w14:textId="77777777" w:rsidR="00D708F0" w:rsidRPr="004B068E" w:rsidRDefault="00D708F0" w:rsidP="00D708F0">
      <w:pPr>
        <w:pStyle w:val="Caption"/>
        <w:keepNext/>
        <w:spacing w:after="120"/>
        <w:jc w:val="center"/>
        <w:rPr>
          <w:rFonts w:eastAsiaTheme="minorHAnsi" w:cstheme="minorBidi"/>
          <w:b/>
          <w:bCs/>
          <w:i w:val="0"/>
          <w:iCs w:val="0"/>
          <w:color w:val="93D500" w:themeColor="accent1"/>
          <w:sz w:val="20"/>
          <w:szCs w:val="20"/>
        </w:rPr>
      </w:pPr>
      <w:r w:rsidRPr="004B068E">
        <w:rPr>
          <w:rFonts w:eastAsiaTheme="minorHAnsi" w:cstheme="minorBidi"/>
          <w:b/>
          <w:bCs/>
          <w:i w:val="0"/>
          <w:iCs w:val="0"/>
          <w:color w:val="93D500" w:themeColor="accent1"/>
          <w:sz w:val="20"/>
          <w:szCs w:val="20"/>
        </w:rPr>
        <w:t xml:space="preserve">Table </w:t>
      </w:r>
      <w:r>
        <w:rPr>
          <w:rFonts w:eastAsiaTheme="minorHAnsi" w:cstheme="minorBidi"/>
          <w:b/>
          <w:bCs/>
          <w:i w:val="0"/>
          <w:iCs w:val="0"/>
          <w:color w:val="93D500" w:themeColor="accent1"/>
          <w:sz w:val="20"/>
          <w:szCs w:val="20"/>
        </w:rPr>
        <w:fldChar w:fldCharType="begin"/>
      </w:r>
      <w:r>
        <w:rPr>
          <w:rFonts w:eastAsiaTheme="minorHAnsi" w:cstheme="minorBidi"/>
          <w:b/>
          <w:bCs/>
          <w:i w:val="0"/>
          <w:iCs w:val="0"/>
          <w:color w:val="93D500" w:themeColor="accent1"/>
          <w:sz w:val="20"/>
          <w:szCs w:val="20"/>
        </w:rPr>
        <w:instrText xml:space="preserve"> SEQ Table \* ARABIC </w:instrText>
      </w:r>
      <w:r>
        <w:rPr>
          <w:rFonts w:eastAsiaTheme="minorHAnsi" w:cstheme="minorBidi"/>
          <w:b/>
          <w:bCs/>
          <w:i w:val="0"/>
          <w:iCs w:val="0"/>
          <w:color w:val="93D500" w:themeColor="accent1"/>
          <w:sz w:val="20"/>
          <w:szCs w:val="20"/>
        </w:rPr>
        <w:fldChar w:fldCharType="separate"/>
      </w:r>
      <w:r>
        <w:rPr>
          <w:rFonts w:eastAsiaTheme="minorHAnsi" w:cstheme="minorBidi"/>
          <w:b/>
          <w:bCs/>
          <w:i w:val="0"/>
          <w:iCs w:val="0"/>
          <w:noProof/>
          <w:color w:val="93D500" w:themeColor="accent1"/>
          <w:sz w:val="20"/>
          <w:szCs w:val="20"/>
        </w:rPr>
        <w:t>3</w:t>
      </w:r>
      <w:r>
        <w:rPr>
          <w:rFonts w:eastAsiaTheme="minorHAnsi" w:cstheme="minorBidi"/>
          <w:b/>
          <w:bCs/>
          <w:i w:val="0"/>
          <w:iCs w:val="0"/>
          <w:color w:val="93D500" w:themeColor="accent1"/>
          <w:sz w:val="20"/>
          <w:szCs w:val="20"/>
        </w:rPr>
        <w:fldChar w:fldCharType="end"/>
      </w:r>
      <w:r w:rsidRPr="004B068E">
        <w:rPr>
          <w:rFonts w:eastAsiaTheme="minorHAnsi" w:cstheme="minorBidi"/>
          <w:b/>
          <w:bCs/>
          <w:i w:val="0"/>
          <w:iCs w:val="0"/>
          <w:color w:val="93D500" w:themeColor="accent1"/>
          <w:sz w:val="20"/>
          <w:szCs w:val="20"/>
        </w:rPr>
        <w:t xml:space="preserve">. </w:t>
      </w:r>
      <w:r>
        <w:rPr>
          <w:rFonts w:eastAsiaTheme="minorHAnsi" w:cstheme="minorBidi"/>
          <w:b/>
          <w:bCs/>
          <w:i w:val="0"/>
          <w:iCs w:val="0"/>
          <w:color w:val="93D500" w:themeColor="accent1"/>
          <w:sz w:val="20"/>
          <w:szCs w:val="20"/>
        </w:rPr>
        <w:t>COBRA Baseline and Portfolio Years</w:t>
      </w:r>
    </w:p>
    <w:tbl>
      <w:tblPr>
        <w:tblStyle w:val="EnergyTable"/>
        <w:tblW w:w="3474" w:type="dxa"/>
        <w:tblLook w:val="04A0" w:firstRow="1" w:lastRow="0" w:firstColumn="1" w:lastColumn="0" w:noHBand="0" w:noVBand="1"/>
      </w:tblPr>
      <w:tblGrid>
        <w:gridCol w:w="1917"/>
        <w:gridCol w:w="1557"/>
      </w:tblGrid>
      <w:tr w:rsidR="00D708F0" w:rsidRPr="003250F9" w14:paraId="4822F079" w14:textId="77777777" w:rsidTr="00D708F0">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917" w:type="dxa"/>
          </w:tcPr>
          <w:p w14:paraId="1B842B35" w14:textId="77777777" w:rsidR="00D708F0" w:rsidRDefault="00D708F0" w:rsidP="00D708F0">
            <w:pPr>
              <w:rPr>
                <w:rFonts w:ascii="Arial Narrow" w:hAnsi="Arial Narrow" w:cstheme="minorHAnsi"/>
                <w:color w:val="FFFFFF" w:themeColor="background2"/>
                <w:szCs w:val="20"/>
              </w:rPr>
            </w:pPr>
            <w:r>
              <w:rPr>
                <w:rFonts w:ascii="Arial Narrow" w:hAnsi="Arial Narrow" w:cstheme="minorHAnsi"/>
                <w:color w:val="FFFFFF" w:themeColor="background2"/>
                <w:szCs w:val="20"/>
              </w:rPr>
              <w:t>COBRA Baseline Used</w:t>
            </w:r>
          </w:p>
        </w:tc>
        <w:tc>
          <w:tcPr>
            <w:tcW w:w="1557" w:type="dxa"/>
            <w:noWrap/>
            <w:hideMark/>
          </w:tcPr>
          <w:p w14:paraId="387A5530" w14:textId="77777777" w:rsidR="00D708F0" w:rsidRPr="003250F9" w:rsidRDefault="00D708F0" w:rsidP="00D708F0">
            <w:pPr>
              <w:cnfStyle w:val="100000000000" w:firstRow="1" w:lastRow="0" w:firstColumn="0" w:lastColumn="0" w:oddVBand="0" w:evenVBand="0" w:oddHBand="0" w:evenHBand="0" w:firstRowFirstColumn="0" w:firstRowLastColumn="0" w:lastRowFirstColumn="0" w:lastRowLastColumn="0"/>
              <w:rPr>
                <w:rFonts w:ascii="Arial Narrow" w:hAnsi="Arial Narrow" w:cstheme="minorHAnsi"/>
                <w:color w:val="FFFFFF" w:themeColor="background2"/>
                <w:szCs w:val="20"/>
              </w:rPr>
            </w:pPr>
            <w:r>
              <w:rPr>
                <w:rFonts w:ascii="Arial Narrow" w:hAnsi="Arial Narrow" w:cstheme="minorHAnsi"/>
                <w:color w:val="FFFFFF" w:themeColor="background2"/>
                <w:szCs w:val="20"/>
              </w:rPr>
              <w:t xml:space="preserve">Portfolio Years </w:t>
            </w:r>
          </w:p>
        </w:tc>
      </w:tr>
      <w:tr w:rsidR="00D708F0" w:rsidRPr="003250F9" w14:paraId="52A9DC6A" w14:textId="77777777" w:rsidTr="00D708F0">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917" w:type="dxa"/>
          </w:tcPr>
          <w:p w14:paraId="7F702A38" w14:textId="77777777" w:rsidR="00D708F0" w:rsidRDefault="00D708F0" w:rsidP="00D708F0">
            <w:pPr>
              <w:rPr>
                <w:rFonts w:ascii="Arial Narrow" w:hAnsi="Arial Narrow" w:cstheme="minorHAnsi"/>
                <w:szCs w:val="20"/>
              </w:rPr>
            </w:pPr>
            <w:r>
              <w:rPr>
                <w:rFonts w:ascii="Arial Narrow" w:hAnsi="Arial Narrow" w:cstheme="minorHAnsi"/>
                <w:szCs w:val="20"/>
              </w:rPr>
              <w:t>2016</w:t>
            </w:r>
          </w:p>
        </w:tc>
        <w:tc>
          <w:tcPr>
            <w:tcW w:w="1557" w:type="dxa"/>
            <w:noWrap/>
            <w:hideMark/>
          </w:tcPr>
          <w:p w14:paraId="0D10A580" w14:textId="77777777" w:rsidR="00D708F0" w:rsidRPr="003250F9" w:rsidRDefault="00D708F0" w:rsidP="00D708F0">
            <w:pP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Cs w:val="20"/>
              </w:rPr>
            </w:pPr>
            <w:r>
              <w:rPr>
                <w:rFonts w:ascii="Arial Narrow" w:hAnsi="Arial Narrow" w:cstheme="minorHAnsi"/>
                <w:szCs w:val="20"/>
              </w:rPr>
              <w:t>2022</w:t>
            </w:r>
          </w:p>
        </w:tc>
      </w:tr>
      <w:tr w:rsidR="00D708F0" w:rsidRPr="003250F9" w14:paraId="5BEF2408" w14:textId="77777777" w:rsidTr="00D708F0">
        <w:trPr>
          <w:cnfStyle w:val="000000010000" w:firstRow="0" w:lastRow="0" w:firstColumn="0" w:lastColumn="0" w:oddVBand="0" w:evenVBand="0" w:oddHBand="0" w:evenHBand="1"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917" w:type="dxa"/>
          </w:tcPr>
          <w:p w14:paraId="5979C232" w14:textId="77777777" w:rsidR="00D708F0" w:rsidRDefault="00D708F0" w:rsidP="00D708F0">
            <w:pPr>
              <w:rPr>
                <w:rFonts w:ascii="Arial Narrow" w:hAnsi="Arial Narrow" w:cstheme="minorHAnsi"/>
                <w:szCs w:val="20"/>
              </w:rPr>
            </w:pPr>
            <w:r>
              <w:rPr>
                <w:rFonts w:ascii="Arial Narrow" w:hAnsi="Arial Narrow" w:cstheme="minorHAnsi"/>
                <w:szCs w:val="20"/>
              </w:rPr>
              <w:t>2023</w:t>
            </w:r>
          </w:p>
        </w:tc>
        <w:tc>
          <w:tcPr>
            <w:tcW w:w="1557" w:type="dxa"/>
            <w:noWrap/>
            <w:hideMark/>
          </w:tcPr>
          <w:p w14:paraId="2F1BE363" w14:textId="77777777" w:rsidR="00D708F0" w:rsidRPr="003250F9" w:rsidRDefault="00D708F0" w:rsidP="00D708F0">
            <w:pPr>
              <w:cnfStyle w:val="000000010000" w:firstRow="0" w:lastRow="0" w:firstColumn="0" w:lastColumn="0" w:oddVBand="0" w:evenVBand="0" w:oddHBand="0" w:evenHBand="1" w:firstRowFirstColumn="0" w:firstRowLastColumn="0" w:lastRowFirstColumn="0" w:lastRowLastColumn="0"/>
              <w:rPr>
                <w:rFonts w:ascii="Arial Narrow" w:hAnsi="Arial Narrow" w:cstheme="minorHAnsi"/>
                <w:szCs w:val="20"/>
              </w:rPr>
            </w:pPr>
            <w:r>
              <w:rPr>
                <w:rFonts w:ascii="Arial Narrow" w:hAnsi="Arial Narrow" w:cstheme="minorHAnsi"/>
                <w:szCs w:val="20"/>
              </w:rPr>
              <w:t>2023-2027</w:t>
            </w:r>
          </w:p>
        </w:tc>
      </w:tr>
      <w:tr w:rsidR="00D708F0" w:rsidRPr="003250F9" w14:paraId="21EC5620" w14:textId="77777777" w:rsidTr="00D708F0">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917" w:type="dxa"/>
          </w:tcPr>
          <w:p w14:paraId="0046234C" w14:textId="77777777" w:rsidR="00D708F0" w:rsidRDefault="00D708F0" w:rsidP="00D708F0">
            <w:pPr>
              <w:rPr>
                <w:rFonts w:ascii="Arial Narrow" w:hAnsi="Arial Narrow" w:cstheme="minorHAnsi"/>
                <w:szCs w:val="20"/>
              </w:rPr>
            </w:pPr>
            <w:r>
              <w:rPr>
                <w:rFonts w:ascii="Arial Narrow" w:hAnsi="Arial Narrow" w:cstheme="minorHAnsi"/>
                <w:szCs w:val="20"/>
              </w:rPr>
              <w:t>2028</w:t>
            </w:r>
          </w:p>
        </w:tc>
        <w:tc>
          <w:tcPr>
            <w:tcW w:w="1557" w:type="dxa"/>
            <w:noWrap/>
            <w:hideMark/>
          </w:tcPr>
          <w:p w14:paraId="1DC4CCAA" w14:textId="77777777" w:rsidR="00D708F0" w:rsidRPr="003250F9" w:rsidRDefault="00D708F0" w:rsidP="00D708F0">
            <w:pPr>
              <w:keepNex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Cs w:val="20"/>
              </w:rPr>
            </w:pPr>
            <w:r>
              <w:rPr>
                <w:rFonts w:ascii="Arial Narrow" w:hAnsi="Arial Narrow" w:cstheme="minorHAnsi"/>
                <w:szCs w:val="20"/>
              </w:rPr>
              <w:t>2028-2049</w:t>
            </w:r>
          </w:p>
        </w:tc>
      </w:tr>
    </w:tbl>
    <w:p w14:paraId="02B0CC9D" w14:textId="77777777" w:rsidR="00D708F0" w:rsidRDefault="00D708F0" w:rsidP="00D708F0">
      <w:pPr>
        <w:pStyle w:val="Caption"/>
        <w:ind w:left="2880"/>
        <w:rPr>
          <w:rFonts w:eastAsia="Arial"/>
        </w:rPr>
      </w:pPr>
      <w:r w:rsidRPr="00D8461E">
        <w:rPr>
          <w:color w:val="auto"/>
          <w:sz w:val="16"/>
          <w:szCs w:val="16"/>
        </w:rPr>
        <w:t>Source: Guidehouse</w:t>
      </w:r>
      <w:r>
        <w:rPr>
          <w:color w:val="auto"/>
          <w:sz w:val="16"/>
          <w:szCs w:val="16"/>
        </w:rPr>
        <w:t>.</w:t>
      </w:r>
    </w:p>
    <w:p w14:paraId="53A66559" w14:textId="233C9E69" w:rsidR="00D708F0" w:rsidRDefault="00D708F0" w:rsidP="00D708F0">
      <w:pPr>
        <w:rPr>
          <w:rFonts w:eastAsia="Arial"/>
          <w:sz w:val="20"/>
          <w:szCs w:val="20"/>
        </w:rPr>
      </w:pPr>
      <w:r w:rsidRPr="00C404B6">
        <w:rPr>
          <w:sz w:val="20"/>
          <w:szCs w:val="20"/>
        </w:rPr>
        <w:t xml:space="preserve">The COBRA </w:t>
      </w:r>
      <w:r>
        <w:rPr>
          <w:sz w:val="20"/>
          <w:szCs w:val="20"/>
        </w:rPr>
        <w:t>model</w:t>
      </w:r>
      <w:r w:rsidRPr="00C404B6">
        <w:rPr>
          <w:sz w:val="20"/>
          <w:szCs w:val="20"/>
        </w:rPr>
        <w:t xml:space="preserve"> </w:t>
      </w:r>
      <w:r>
        <w:rPr>
          <w:sz w:val="20"/>
          <w:szCs w:val="20"/>
        </w:rPr>
        <w:t>also allows the user</w:t>
      </w:r>
      <w:r w:rsidRPr="00C404B6">
        <w:rPr>
          <w:sz w:val="20"/>
          <w:szCs w:val="20"/>
        </w:rPr>
        <w:t xml:space="preserve"> to choose </w:t>
      </w:r>
      <w:r>
        <w:rPr>
          <w:sz w:val="20"/>
          <w:szCs w:val="20"/>
        </w:rPr>
        <w:t xml:space="preserve">the location of </w:t>
      </w:r>
      <w:r w:rsidRPr="00C404B6">
        <w:rPr>
          <w:sz w:val="20"/>
          <w:szCs w:val="20"/>
        </w:rPr>
        <w:t>emission</w:t>
      </w:r>
      <w:r>
        <w:rPr>
          <w:sz w:val="20"/>
          <w:szCs w:val="20"/>
        </w:rPr>
        <w:t xml:space="preserve">s </w:t>
      </w:r>
      <w:r w:rsidRPr="00C404B6">
        <w:rPr>
          <w:sz w:val="20"/>
          <w:szCs w:val="20"/>
        </w:rPr>
        <w:t xml:space="preserve">and </w:t>
      </w:r>
      <w:r>
        <w:rPr>
          <w:sz w:val="20"/>
          <w:szCs w:val="20"/>
        </w:rPr>
        <w:t>energy mix</w:t>
      </w:r>
      <w:r w:rsidRPr="00C404B6">
        <w:rPr>
          <w:sz w:val="20"/>
          <w:szCs w:val="20"/>
        </w:rPr>
        <w:t xml:space="preserve">. Guidehouse </w:t>
      </w:r>
      <w:r>
        <w:rPr>
          <w:sz w:val="20"/>
          <w:szCs w:val="20"/>
        </w:rPr>
        <w:t>selected</w:t>
      </w:r>
      <w:r w:rsidRPr="00C404B6">
        <w:rPr>
          <w:sz w:val="20"/>
          <w:szCs w:val="20"/>
        </w:rPr>
        <w:t xml:space="preserve"> </w:t>
      </w:r>
      <w:r>
        <w:rPr>
          <w:sz w:val="20"/>
          <w:szCs w:val="20"/>
        </w:rPr>
        <w:t xml:space="preserve">the </w:t>
      </w:r>
      <w:r w:rsidR="00363BBB">
        <w:rPr>
          <w:sz w:val="20"/>
          <w:szCs w:val="20"/>
        </w:rPr>
        <w:t>Peoples</w:t>
      </w:r>
      <w:r>
        <w:rPr>
          <w:sz w:val="20"/>
          <w:szCs w:val="20"/>
        </w:rPr>
        <w:t xml:space="preserve"> Gas territory’s counties</w:t>
      </w:r>
      <w:r w:rsidRPr="00C404B6">
        <w:rPr>
          <w:sz w:val="20"/>
          <w:szCs w:val="20"/>
        </w:rPr>
        <w:t xml:space="preserve"> for the emissions location</w:t>
      </w:r>
      <w:r>
        <w:rPr>
          <w:sz w:val="20"/>
          <w:szCs w:val="20"/>
        </w:rPr>
        <w:t xml:space="preserve"> and selected residential and </w:t>
      </w:r>
      <w:r w:rsidR="00CD527A">
        <w:rPr>
          <w:sz w:val="20"/>
          <w:szCs w:val="20"/>
        </w:rPr>
        <w:t>non-resident</w:t>
      </w:r>
      <w:r w:rsidR="000D61D6">
        <w:rPr>
          <w:sz w:val="20"/>
          <w:szCs w:val="20"/>
        </w:rPr>
        <w:t>i</w:t>
      </w:r>
      <w:r w:rsidR="00CD527A">
        <w:rPr>
          <w:sz w:val="20"/>
          <w:szCs w:val="20"/>
        </w:rPr>
        <w:t>al</w:t>
      </w:r>
      <w:r>
        <w:rPr>
          <w:sz w:val="20"/>
          <w:szCs w:val="20"/>
        </w:rPr>
        <w:t xml:space="preserve"> natural gas emissions tiers</w:t>
      </w:r>
      <w:r w:rsidRPr="00C404B6">
        <w:rPr>
          <w:sz w:val="20"/>
          <w:szCs w:val="20"/>
        </w:rPr>
        <w:t>.</w:t>
      </w:r>
      <w:r>
        <w:rPr>
          <w:rFonts w:eastAsia="Arial"/>
          <w:sz w:val="20"/>
          <w:szCs w:val="20"/>
        </w:rPr>
        <w:t xml:space="preserve"> As natural gas emissions are created on a local scale relative to electricity, the distinction between residential and </w:t>
      </w:r>
      <w:r w:rsidR="00CD527A">
        <w:rPr>
          <w:rFonts w:eastAsia="Arial"/>
          <w:sz w:val="20"/>
          <w:szCs w:val="20"/>
        </w:rPr>
        <w:t>non-residential</w:t>
      </w:r>
      <w:r>
        <w:rPr>
          <w:rFonts w:eastAsia="Arial"/>
          <w:sz w:val="20"/>
          <w:szCs w:val="20"/>
        </w:rPr>
        <w:t xml:space="preserve"> emissions is essential. Guidehouse evaluated the benefits resulting from these portfolio sectors separately and applied the discounted benefits per therm values annually to each program encompassed in the sectors in CY2019. </w:t>
      </w:r>
    </w:p>
    <w:p w14:paraId="318AD7A9" w14:textId="77777777" w:rsidR="00D708F0" w:rsidRDefault="00D708F0" w:rsidP="00D708F0">
      <w:pPr>
        <w:rPr>
          <w:rFonts w:eastAsia="Arial"/>
          <w:sz w:val="20"/>
          <w:szCs w:val="20"/>
        </w:rPr>
      </w:pPr>
    </w:p>
    <w:p w14:paraId="36802E16" w14:textId="6795F16B" w:rsidR="00D708F0" w:rsidRDefault="00D708F0" w:rsidP="00D708F0">
      <w:pPr>
        <w:rPr>
          <w:rFonts w:eastAsia="Arial"/>
          <w:sz w:val="20"/>
          <w:szCs w:val="20"/>
        </w:rPr>
      </w:pPr>
      <w:r>
        <w:rPr>
          <w:rFonts w:eastAsia="Arial"/>
          <w:sz w:val="20"/>
          <w:szCs w:val="20"/>
        </w:rPr>
        <w:t xml:space="preserve">Furthermore, </w:t>
      </w:r>
      <w:r w:rsidRPr="00C404B6">
        <w:rPr>
          <w:rFonts w:eastAsia="Arial"/>
          <w:sz w:val="20"/>
          <w:szCs w:val="20"/>
        </w:rPr>
        <w:t xml:space="preserve">COBRA </w:t>
      </w:r>
      <w:r>
        <w:rPr>
          <w:rFonts w:eastAsia="Arial"/>
          <w:sz w:val="20"/>
          <w:szCs w:val="20"/>
        </w:rPr>
        <w:t>has an option to input a preferred discount rate. The EPA provided Guidehouse a custom valuation file using a 2.40 percent discount rate, a discount rate deemed by the</w:t>
      </w:r>
      <w:r w:rsidRPr="00C404B6">
        <w:rPr>
          <w:rFonts w:eastAsia="Arial"/>
          <w:sz w:val="20"/>
          <w:szCs w:val="20"/>
        </w:rPr>
        <w:t xml:space="preserve"> Illinois Technical Reference Manual (IL TRM) </w:t>
      </w:r>
      <w:r>
        <w:rPr>
          <w:rFonts w:eastAsia="Arial"/>
          <w:sz w:val="20"/>
          <w:szCs w:val="20"/>
        </w:rPr>
        <w:t xml:space="preserve">beginning in </w:t>
      </w:r>
      <w:r w:rsidRPr="00C404B6">
        <w:rPr>
          <w:rFonts w:eastAsia="Arial"/>
          <w:sz w:val="20"/>
          <w:szCs w:val="20"/>
        </w:rPr>
        <w:t>v</w:t>
      </w:r>
      <w:r>
        <w:rPr>
          <w:rFonts w:eastAsia="Arial"/>
          <w:sz w:val="20"/>
          <w:szCs w:val="20"/>
        </w:rPr>
        <w:t>9</w:t>
      </w:r>
      <w:r w:rsidRPr="00C404B6">
        <w:rPr>
          <w:rFonts w:eastAsia="Arial"/>
          <w:sz w:val="20"/>
          <w:szCs w:val="20"/>
        </w:rPr>
        <w:t>.</w:t>
      </w:r>
      <w:r w:rsidRPr="008E255B">
        <w:rPr>
          <w:rFonts w:eastAsia="Arial"/>
          <w:sz w:val="20"/>
          <w:szCs w:val="20"/>
        </w:rPr>
        <w:t>0.</w:t>
      </w:r>
      <w:r w:rsidRPr="00A256F9">
        <w:rPr>
          <w:rStyle w:val="FootnoteReference"/>
          <w:rFonts w:eastAsia="Arial"/>
          <w:sz w:val="20"/>
          <w:szCs w:val="20"/>
        </w:rPr>
        <w:footnoteReference w:id="13"/>
      </w:r>
      <w:r>
        <w:rPr>
          <w:rFonts w:eastAsia="Arial"/>
          <w:sz w:val="20"/>
          <w:szCs w:val="20"/>
        </w:rPr>
        <w:t xml:space="preserve"> Guidehouse applied this discount rate to evaluate the economic benefits resulting from emissions reductions attributed to </w:t>
      </w:r>
      <w:r w:rsidR="00363BBB">
        <w:rPr>
          <w:rFonts w:eastAsia="Arial"/>
          <w:sz w:val="20"/>
          <w:szCs w:val="20"/>
        </w:rPr>
        <w:t>Peoples</w:t>
      </w:r>
      <w:r>
        <w:rPr>
          <w:rFonts w:eastAsia="Arial"/>
          <w:sz w:val="20"/>
          <w:szCs w:val="20"/>
        </w:rPr>
        <w:t xml:space="preserve"> Gas’ </w:t>
      </w:r>
      <w:r w:rsidRPr="0054298B">
        <w:rPr>
          <w:rFonts w:eastAsia="Arial"/>
          <w:sz w:val="20"/>
          <w:szCs w:val="20"/>
        </w:rPr>
        <w:t>CY201</w:t>
      </w:r>
      <w:r>
        <w:rPr>
          <w:rFonts w:eastAsia="Arial"/>
          <w:sz w:val="20"/>
          <w:szCs w:val="20"/>
        </w:rPr>
        <w:t>9</w:t>
      </w:r>
      <w:r w:rsidRPr="0054298B">
        <w:rPr>
          <w:rFonts w:eastAsia="Arial"/>
          <w:sz w:val="20"/>
          <w:szCs w:val="20"/>
        </w:rPr>
        <w:t xml:space="preserve"> programs.</w:t>
      </w:r>
    </w:p>
    <w:p w14:paraId="4156184E" w14:textId="77777777" w:rsidR="00923113" w:rsidRDefault="00923113" w:rsidP="00D708F0">
      <w:pPr>
        <w:rPr>
          <w:rFonts w:eastAsia="Arial"/>
          <w:sz w:val="20"/>
          <w:szCs w:val="20"/>
        </w:rPr>
      </w:pPr>
    </w:p>
    <w:p w14:paraId="5B9AF272" w14:textId="385667D0" w:rsidR="00D708F0" w:rsidRPr="00C404B6" w:rsidRDefault="004878CE" w:rsidP="00D708F0">
      <w:pPr>
        <w:rPr>
          <w:rFonts w:eastAsia="Arial"/>
          <w:sz w:val="20"/>
          <w:szCs w:val="20"/>
        </w:rPr>
      </w:pPr>
      <w:r w:rsidRPr="000D61D6">
        <w:rPr>
          <w:rFonts w:eastAsia="Arial"/>
          <w:color w:val="auto"/>
          <w:sz w:val="20"/>
          <w:szCs w:val="20"/>
        </w:rPr>
        <w:fldChar w:fldCharType="begin"/>
      </w:r>
      <w:r w:rsidRPr="004878CE">
        <w:rPr>
          <w:rFonts w:eastAsia="Arial"/>
          <w:color w:val="auto"/>
          <w:sz w:val="20"/>
          <w:szCs w:val="20"/>
        </w:rPr>
        <w:instrText xml:space="preserve"> REF _Ref51941248 \h </w:instrText>
      </w:r>
      <w:r w:rsidRPr="00304BF4">
        <w:rPr>
          <w:rFonts w:eastAsia="Arial"/>
          <w:color w:val="auto"/>
          <w:sz w:val="20"/>
          <w:szCs w:val="20"/>
        </w:rPr>
        <w:instrText xml:space="preserve"> \* MERGEFORMAT </w:instrText>
      </w:r>
      <w:r w:rsidRPr="000D61D6">
        <w:rPr>
          <w:rFonts w:eastAsia="Arial"/>
          <w:color w:val="auto"/>
          <w:sz w:val="20"/>
          <w:szCs w:val="20"/>
        </w:rPr>
      </w:r>
      <w:r w:rsidRPr="000D61D6">
        <w:rPr>
          <w:rFonts w:eastAsia="Arial"/>
          <w:color w:val="auto"/>
          <w:sz w:val="20"/>
          <w:szCs w:val="20"/>
        </w:rPr>
        <w:fldChar w:fldCharType="separate"/>
      </w:r>
      <w:r w:rsidRPr="00304BF4">
        <w:rPr>
          <w:rFonts w:eastAsiaTheme="minorHAnsi" w:cstheme="minorBidi"/>
          <w:color w:val="auto"/>
          <w:sz w:val="20"/>
          <w:szCs w:val="20"/>
        </w:rPr>
        <w:t xml:space="preserve">Table </w:t>
      </w:r>
      <w:r w:rsidRPr="00304BF4">
        <w:rPr>
          <w:rFonts w:eastAsiaTheme="minorHAnsi" w:cstheme="minorBidi"/>
          <w:noProof/>
          <w:color w:val="auto"/>
          <w:sz w:val="20"/>
          <w:szCs w:val="20"/>
        </w:rPr>
        <w:t>4</w:t>
      </w:r>
      <w:r w:rsidRPr="000D61D6">
        <w:rPr>
          <w:rFonts w:eastAsia="Arial"/>
          <w:color w:val="auto"/>
          <w:sz w:val="20"/>
          <w:szCs w:val="20"/>
        </w:rPr>
        <w:fldChar w:fldCharType="end"/>
      </w:r>
      <w:r w:rsidR="00D708F0" w:rsidRPr="000D61D6">
        <w:rPr>
          <w:rFonts w:eastAsia="Arial"/>
          <w:color w:val="auto"/>
          <w:sz w:val="20"/>
          <w:szCs w:val="20"/>
        </w:rPr>
        <w:fldChar w:fldCharType="begin"/>
      </w:r>
      <w:r w:rsidR="00D708F0" w:rsidRPr="004878CE">
        <w:rPr>
          <w:rFonts w:eastAsia="Arial"/>
          <w:color w:val="auto"/>
          <w:sz w:val="20"/>
          <w:szCs w:val="20"/>
        </w:rPr>
        <w:instrText xml:space="preserve"> REF _Ref50543298 \h  \* MERGEFORMAT </w:instrText>
      </w:r>
      <w:r w:rsidR="00D708F0" w:rsidRPr="000D61D6">
        <w:rPr>
          <w:rFonts w:eastAsia="Arial"/>
          <w:color w:val="auto"/>
          <w:sz w:val="20"/>
          <w:szCs w:val="20"/>
        </w:rPr>
      </w:r>
      <w:r w:rsidR="00D708F0" w:rsidRPr="000D61D6">
        <w:rPr>
          <w:rFonts w:eastAsia="Arial"/>
          <w:color w:val="auto"/>
          <w:sz w:val="20"/>
          <w:szCs w:val="20"/>
        </w:rPr>
        <w:fldChar w:fldCharType="end"/>
      </w:r>
      <w:r w:rsidR="00D708F0" w:rsidRPr="00304BF4">
        <w:rPr>
          <w:rFonts w:eastAsia="Arial"/>
          <w:color w:val="auto"/>
          <w:sz w:val="20"/>
          <w:szCs w:val="20"/>
        </w:rPr>
        <w:t xml:space="preserve"> </w:t>
      </w:r>
      <w:r w:rsidR="00D708F0" w:rsidRPr="00B75614">
        <w:rPr>
          <w:rFonts w:eastAsia="Arial"/>
          <w:sz w:val="20"/>
          <w:szCs w:val="20"/>
        </w:rPr>
        <w:t>s</w:t>
      </w:r>
      <w:r w:rsidR="00D708F0" w:rsidRPr="002D2C72">
        <w:rPr>
          <w:rFonts w:eastAsia="Arial"/>
          <w:sz w:val="20"/>
          <w:szCs w:val="20"/>
        </w:rPr>
        <w:t>hows the estimated benefits</w:t>
      </w:r>
      <w:r w:rsidR="00D708F0" w:rsidRPr="00A256F9">
        <w:rPr>
          <w:rFonts w:eastAsia="Arial"/>
          <w:sz w:val="20"/>
          <w:szCs w:val="20"/>
        </w:rPr>
        <w:t xml:space="preserve"> per therm </w:t>
      </w:r>
      <w:r w:rsidR="00D708F0" w:rsidRPr="002D2C72">
        <w:rPr>
          <w:rFonts w:eastAsia="Arial"/>
          <w:sz w:val="20"/>
          <w:szCs w:val="20"/>
        </w:rPr>
        <w:t xml:space="preserve">for </w:t>
      </w:r>
      <w:r w:rsidR="00D708F0" w:rsidRPr="00A256F9">
        <w:rPr>
          <w:rFonts w:eastAsia="Arial"/>
          <w:sz w:val="20"/>
          <w:szCs w:val="20"/>
        </w:rPr>
        <w:t xml:space="preserve">the residential and </w:t>
      </w:r>
      <w:r w:rsidR="00CD527A">
        <w:rPr>
          <w:rFonts w:eastAsia="Arial"/>
          <w:sz w:val="20"/>
          <w:szCs w:val="20"/>
        </w:rPr>
        <w:t>non-residential</w:t>
      </w:r>
      <w:r w:rsidR="00D708F0" w:rsidRPr="00A256F9">
        <w:rPr>
          <w:rFonts w:eastAsia="Arial"/>
          <w:sz w:val="20"/>
          <w:szCs w:val="20"/>
        </w:rPr>
        <w:t xml:space="preserve"> sectors for </w:t>
      </w:r>
      <w:r w:rsidR="00D708F0">
        <w:rPr>
          <w:rFonts w:eastAsia="Arial"/>
          <w:sz w:val="20"/>
          <w:szCs w:val="20"/>
        </w:rPr>
        <w:t xml:space="preserve">modeled </w:t>
      </w:r>
      <w:r w:rsidR="00D708F0" w:rsidRPr="00A256F9">
        <w:rPr>
          <w:rFonts w:eastAsia="Arial"/>
          <w:sz w:val="20"/>
          <w:szCs w:val="20"/>
        </w:rPr>
        <w:t>CY2022-2025 portfolios</w:t>
      </w:r>
      <w:r w:rsidR="00D708F0" w:rsidRPr="002D2C72">
        <w:rPr>
          <w:rFonts w:eastAsia="Arial"/>
          <w:sz w:val="20"/>
          <w:szCs w:val="20"/>
        </w:rPr>
        <w:t>.</w:t>
      </w:r>
      <w:r w:rsidR="00D708F0" w:rsidRPr="00C404B6">
        <w:rPr>
          <w:rFonts w:eastAsia="Arial"/>
          <w:sz w:val="20"/>
          <w:szCs w:val="20"/>
        </w:rPr>
        <w:t xml:space="preserve"> </w:t>
      </w:r>
      <w:r w:rsidR="00D708F0">
        <w:rPr>
          <w:rFonts w:eastAsia="Arial"/>
          <w:sz w:val="20"/>
          <w:szCs w:val="20"/>
        </w:rPr>
        <w:t xml:space="preserve">Guidehouse discounted these values back to the program year’s dollar value. So, in this case, CY2025 societal NEI estimates are presented in 2025 dollars. </w:t>
      </w:r>
      <w:r w:rsidR="00D708F0" w:rsidRPr="00C404B6">
        <w:rPr>
          <w:rFonts w:eastAsia="Arial"/>
          <w:sz w:val="20"/>
          <w:szCs w:val="20"/>
        </w:rPr>
        <w:t>Th</w:t>
      </w:r>
      <w:r w:rsidR="00D708F0">
        <w:rPr>
          <w:rFonts w:eastAsia="Arial"/>
          <w:sz w:val="20"/>
          <w:szCs w:val="20"/>
        </w:rPr>
        <w:t>e</w:t>
      </w:r>
      <w:r w:rsidR="00D708F0" w:rsidRPr="00C404B6">
        <w:rPr>
          <w:rFonts w:eastAsia="Arial"/>
          <w:sz w:val="20"/>
          <w:szCs w:val="20"/>
        </w:rPr>
        <w:t xml:space="preserve"> value</w:t>
      </w:r>
      <w:r w:rsidR="00D708F0" w:rsidRPr="2D616FFF">
        <w:rPr>
          <w:rFonts w:eastAsia="Arial"/>
          <w:sz w:val="20"/>
          <w:szCs w:val="20"/>
        </w:rPr>
        <w:t>s</w:t>
      </w:r>
      <w:r w:rsidR="00D708F0" w:rsidRPr="00C404B6">
        <w:rPr>
          <w:rFonts w:eastAsia="Arial"/>
          <w:sz w:val="20"/>
          <w:szCs w:val="20"/>
        </w:rPr>
        <w:t xml:space="preserve"> encompass all monetized health benefit</w:t>
      </w:r>
      <w:r w:rsidR="00D708F0">
        <w:rPr>
          <w:rFonts w:eastAsia="Arial"/>
          <w:sz w:val="20"/>
          <w:szCs w:val="20"/>
        </w:rPr>
        <w:t xml:space="preserve"> categories</w:t>
      </w:r>
      <w:r w:rsidR="00D708F0" w:rsidRPr="00C404B6">
        <w:rPr>
          <w:rFonts w:eastAsia="Arial"/>
          <w:sz w:val="20"/>
          <w:szCs w:val="20"/>
        </w:rPr>
        <w:t xml:space="preserve"> </w:t>
      </w:r>
      <w:r w:rsidR="00D708F0" w:rsidRPr="2D616FFF">
        <w:rPr>
          <w:rFonts w:eastAsia="Arial"/>
          <w:sz w:val="20"/>
          <w:szCs w:val="20"/>
        </w:rPr>
        <w:t xml:space="preserve">within </w:t>
      </w:r>
      <w:r w:rsidR="00D708F0" w:rsidRPr="00C404B6">
        <w:rPr>
          <w:rFonts w:eastAsia="Arial"/>
          <w:sz w:val="20"/>
          <w:szCs w:val="20"/>
        </w:rPr>
        <w:t xml:space="preserve">COBRA </w:t>
      </w:r>
      <w:r w:rsidR="00D708F0">
        <w:rPr>
          <w:rFonts w:eastAsia="Arial"/>
          <w:sz w:val="20"/>
          <w:szCs w:val="20"/>
        </w:rPr>
        <w:t>and cover all years between 2019 and 2</w:t>
      </w:r>
      <w:r w:rsidR="00D708F0" w:rsidRPr="00DC1FE0">
        <w:rPr>
          <w:rFonts w:eastAsia="Arial"/>
          <w:sz w:val="20"/>
          <w:szCs w:val="20"/>
        </w:rPr>
        <w:t>042.</w:t>
      </w:r>
      <w:r w:rsidR="00D708F0" w:rsidRPr="00DC1FE0">
        <w:rPr>
          <w:rStyle w:val="FootnoteReference"/>
          <w:rFonts w:eastAsia="Arial"/>
          <w:sz w:val="20"/>
          <w:szCs w:val="20"/>
        </w:rPr>
        <w:footnoteReference w:id="14"/>
      </w:r>
      <w:r w:rsidR="00D708F0" w:rsidRPr="00DC1FE0">
        <w:rPr>
          <w:rFonts w:eastAsia="Arial"/>
          <w:sz w:val="20"/>
          <w:szCs w:val="20"/>
        </w:rPr>
        <w:t xml:space="preserve"> </w:t>
      </w:r>
      <w:r w:rsidR="00D708F0" w:rsidRPr="009A0475">
        <w:rPr>
          <w:rFonts w:eastAsia="Arial"/>
          <w:sz w:val="20"/>
          <w:szCs w:val="20"/>
        </w:rPr>
        <w:t xml:space="preserve">Appendix A provides </w:t>
      </w:r>
      <w:r w:rsidR="00D708F0">
        <w:rPr>
          <w:rFonts w:eastAsia="Arial"/>
          <w:sz w:val="20"/>
          <w:szCs w:val="20"/>
        </w:rPr>
        <w:t>program-level</w:t>
      </w:r>
      <w:r w:rsidR="00100B4E">
        <w:rPr>
          <w:rFonts w:eastAsia="Arial"/>
          <w:sz w:val="20"/>
          <w:szCs w:val="20"/>
        </w:rPr>
        <w:t xml:space="preserve"> and annual</w:t>
      </w:r>
      <w:r w:rsidR="00D708F0">
        <w:rPr>
          <w:rFonts w:eastAsia="Arial"/>
          <w:sz w:val="20"/>
          <w:szCs w:val="20"/>
        </w:rPr>
        <w:t xml:space="preserve"> benefits</w:t>
      </w:r>
      <w:r w:rsidR="00D708F0" w:rsidRPr="009A0475">
        <w:rPr>
          <w:rFonts w:eastAsia="Arial"/>
          <w:sz w:val="20"/>
          <w:szCs w:val="20"/>
        </w:rPr>
        <w:t xml:space="preserve"> per </w:t>
      </w:r>
      <w:r w:rsidR="00D708F0">
        <w:rPr>
          <w:rFonts w:eastAsia="Arial"/>
          <w:sz w:val="20"/>
          <w:szCs w:val="20"/>
        </w:rPr>
        <w:t>t</w:t>
      </w:r>
      <w:r w:rsidR="00D708F0" w:rsidRPr="009A0475">
        <w:rPr>
          <w:rFonts w:eastAsia="Arial"/>
          <w:sz w:val="20"/>
          <w:szCs w:val="20"/>
        </w:rPr>
        <w:t>herm</w:t>
      </w:r>
      <w:r w:rsidR="00D708F0">
        <w:rPr>
          <w:rFonts w:eastAsia="Arial"/>
          <w:sz w:val="20"/>
          <w:szCs w:val="20"/>
        </w:rPr>
        <w:t xml:space="preserve"> estimates for the </w:t>
      </w:r>
      <w:r w:rsidR="00100B4E">
        <w:rPr>
          <w:rFonts w:eastAsia="Arial"/>
          <w:sz w:val="20"/>
          <w:szCs w:val="20"/>
        </w:rPr>
        <w:t>four program years evaluated from the CY2019</w:t>
      </w:r>
      <w:r w:rsidR="00D708F0">
        <w:rPr>
          <w:rFonts w:eastAsia="Arial"/>
          <w:sz w:val="20"/>
          <w:szCs w:val="20"/>
        </w:rPr>
        <w:t xml:space="preserve"> portfolio</w:t>
      </w:r>
      <w:r w:rsidR="00D708F0" w:rsidRPr="009A0475">
        <w:rPr>
          <w:rFonts w:eastAsia="Arial"/>
          <w:sz w:val="20"/>
          <w:szCs w:val="20"/>
        </w:rPr>
        <w:t>.</w:t>
      </w:r>
    </w:p>
    <w:p w14:paraId="6253F965" w14:textId="77777777" w:rsidR="00D708F0" w:rsidRPr="00C404B6" w:rsidRDefault="00D708F0" w:rsidP="00D708F0">
      <w:pPr>
        <w:rPr>
          <w:rFonts w:eastAsia="Arial"/>
          <w:sz w:val="20"/>
          <w:szCs w:val="20"/>
        </w:rPr>
      </w:pPr>
    </w:p>
    <w:p w14:paraId="4A938CCE" w14:textId="51A6D3B7" w:rsidR="00D708F0" w:rsidRPr="00A256F9" w:rsidRDefault="00D708F0" w:rsidP="00D708F0">
      <w:pPr>
        <w:pStyle w:val="Caption"/>
        <w:keepNext/>
        <w:keepLines/>
        <w:spacing w:after="120"/>
        <w:jc w:val="center"/>
        <w:rPr>
          <w:rFonts w:eastAsiaTheme="minorHAnsi" w:cstheme="minorBidi"/>
          <w:b/>
          <w:bCs/>
          <w:i w:val="0"/>
          <w:iCs w:val="0"/>
          <w:color w:val="93D500" w:themeColor="accent1"/>
          <w:sz w:val="20"/>
          <w:szCs w:val="20"/>
        </w:rPr>
      </w:pPr>
      <w:bookmarkStart w:id="7" w:name="_Ref51941248"/>
      <w:r w:rsidRPr="00A14675">
        <w:rPr>
          <w:rFonts w:eastAsiaTheme="minorHAnsi" w:cstheme="minorBidi"/>
          <w:b/>
          <w:bCs/>
          <w:i w:val="0"/>
          <w:iCs w:val="0"/>
          <w:color w:val="93D500" w:themeColor="accent1"/>
          <w:sz w:val="20"/>
          <w:szCs w:val="20"/>
        </w:rPr>
        <w:lastRenderedPageBreak/>
        <w:t xml:space="preserve">Table </w:t>
      </w:r>
      <w:r w:rsidRPr="00A14675">
        <w:rPr>
          <w:rFonts w:eastAsiaTheme="minorHAnsi" w:cstheme="minorBidi"/>
          <w:b/>
          <w:bCs/>
          <w:i w:val="0"/>
          <w:iCs w:val="0"/>
          <w:color w:val="93D500" w:themeColor="accent1"/>
          <w:sz w:val="20"/>
          <w:szCs w:val="20"/>
        </w:rPr>
        <w:fldChar w:fldCharType="begin"/>
      </w:r>
      <w:r w:rsidRPr="00A14675">
        <w:rPr>
          <w:rFonts w:eastAsiaTheme="minorHAnsi" w:cstheme="minorBidi"/>
          <w:b/>
          <w:bCs/>
          <w:i w:val="0"/>
          <w:iCs w:val="0"/>
          <w:color w:val="93D500" w:themeColor="accent1"/>
          <w:sz w:val="20"/>
          <w:szCs w:val="20"/>
        </w:rPr>
        <w:instrText xml:space="preserve"> SEQ Table \* ARABIC </w:instrText>
      </w:r>
      <w:r w:rsidRPr="00A14675">
        <w:rPr>
          <w:rFonts w:eastAsiaTheme="minorHAnsi" w:cstheme="minorBidi"/>
          <w:b/>
          <w:bCs/>
          <w:i w:val="0"/>
          <w:iCs w:val="0"/>
          <w:color w:val="93D500" w:themeColor="accent1"/>
          <w:sz w:val="20"/>
          <w:szCs w:val="20"/>
        </w:rPr>
        <w:fldChar w:fldCharType="separate"/>
      </w:r>
      <w:r w:rsidR="004878CE">
        <w:rPr>
          <w:rFonts w:eastAsiaTheme="minorHAnsi" w:cstheme="minorBidi"/>
          <w:b/>
          <w:bCs/>
          <w:i w:val="0"/>
          <w:iCs w:val="0"/>
          <w:noProof/>
          <w:color w:val="93D500" w:themeColor="accent1"/>
          <w:sz w:val="20"/>
          <w:szCs w:val="20"/>
        </w:rPr>
        <w:t>4</w:t>
      </w:r>
      <w:r w:rsidRPr="00A14675">
        <w:rPr>
          <w:rFonts w:eastAsiaTheme="minorHAnsi" w:cstheme="minorBidi"/>
          <w:b/>
          <w:bCs/>
          <w:i w:val="0"/>
          <w:iCs w:val="0"/>
          <w:color w:val="93D500" w:themeColor="accent1"/>
          <w:sz w:val="20"/>
          <w:szCs w:val="20"/>
        </w:rPr>
        <w:fldChar w:fldCharType="end"/>
      </w:r>
      <w:bookmarkEnd w:id="7"/>
      <w:r w:rsidRPr="00A14675">
        <w:rPr>
          <w:rFonts w:eastAsiaTheme="minorHAnsi" w:cstheme="minorBidi"/>
          <w:b/>
          <w:bCs/>
          <w:i w:val="0"/>
          <w:iCs w:val="0"/>
          <w:color w:val="93D500" w:themeColor="accent1"/>
          <w:sz w:val="20"/>
          <w:szCs w:val="20"/>
        </w:rPr>
        <w:t xml:space="preserve">. </w:t>
      </w:r>
      <w:r w:rsidRPr="00A256F9">
        <w:rPr>
          <w:rFonts w:eastAsiaTheme="minorHAnsi" w:cstheme="minorBidi"/>
          <w:b/>
          <w:bCs/>
          <w:i w:val="0"/>
          <w:iCs w:val="0"/>
          <w:color w:val="93D500" w:themeColor="accent1"/>
          <w:sz w:val="20"/>
          <w:szCs w:val="20"/>
        </w:rPr>
        <w:t>CY2022-2025 Societal NEI Estimates - By Portfolio</w:t>
      </w:r>
      <w:r w:rsidR="00EB4A7B">
        <w:rPr>
          <w:rFonts w:eastAsiaTheme="minorHAnsi" w:cstheme="minorBidi"/>
          <w:b/>
          <w:bCs/>
          <w:i w:val="0"/>
          <w:iCs w:val="0"/>
          <w:color w:val="93D500" w:themeColor="accent1"/>
          <w:sz w:val="20"/>
          <w:szCs w:val="20"/>
        </w:rPr>
        <w:t xml:space="preserve"> (Nominal </w:t>
      </w:r>
      <w:commentRangeStart w:id="8"/>
      <w:r w:rsidR="00EB4A7B">
        <w:rPr>
          <w:rFonts w:eastAsiaTheme="minorHAnsi" w:cstheme="minorBidi"/>
          <w:b/>
          <w:bCs/>
          <w:i w:val="0"/>
          <w:iCs w:val="0"/>
          <w:color w:val="93D500" w:themeColor="accent1"/>
          <w:sz w:val="20"/>
          <w:szCs w:val="20"/>
        </w:rPr>
        <w:t>Dollars</w:t>
      </w:r>
      <w:commentRangeEnd w:id="8"/>
      <w:r w:rsidR="008A6F51">
        <w:rPr>
          <w:rStyle w:val="CommentReference"/>
          <w:i w:val="0"/>
          <w:iCs w:val="0"/>
          <w:color w:val="000000"/>
        </w:rPr>
        <w:commentReference w:id="8"/>
      </w:r>
      <w:r w:rsidR="00EB4A7B">
        <w:rPr>
          <w:rFonts w:eastAsiaTheme="minorHAnsi" w:cstheme="minorBidi"/>
          <w:b/>
          <w:bCs/>
          <w:i w:val="0"/>
          <w:iCs w:val="0"/>
          <w:color w:val="93D500" w:themeColor="accent1"/>
          <w:sz w:val="20"/>
          <w:szCs w:val="20"/>
        </w:rPr>
        <w:t>)</w:t>
      </w:r>
    </w:p>
    <w:tbl>
      <w:tblPr>
        <w:tblStyle w:val="EnergyTable"/>
        <w:tblW w:w="7360" w:type="dxa"/>
        <w:tblLook w:val="04A0" w:firstRow="1" w:lastRow="0" w:firstColumn="1" w:lastColumn="0" w:noHBand="0" w:noVBand="1"/>
      </w:tblPr>
      <w:tblGrid>
        <w:gridCol w:w="1257"/>
        <w:gridCol w:w="1821"/>
        <w:gridCol w:w="1285"/>
        <w:gridCol w:w="1666"/>
        <w:gridCol w:w="1331"/>
      </w:tblGrid>
      <w:tr w:rsidR="00923113" w:rsidRPr="00C731D9" w14:paraId="1DA0D6E7" w14:textId="77777777" w:rsidTr="00304BF4">
        <w:trPr>
          <w:cnfStyle w:val="100000000000" w:firstRow="1" w:lastRow="0" w:firstColumn="0" w:lastColumn="0" w:oddVBand="0" w:evenVBand="0" w:oddHBand="0" w:evenHBand="0" w:firstRowFirstColumn="0" w:firstRowLastColumn="0" w:lastRowFirstColumn="0" w:lastRowLastColumn="0"/>
          <w:trHeight w:val="999"/>
          <w:tblHeader/>
        </w:trPr>
        <w:tc>
          <w:tcPr>
            <w:cnfStyle w:val="001000000000" w:firstRow="0" w:lastRow="0" w:firstColumn="1" w:lastColumn="0" w:oddVBand="0" w:evenVBand="0" w:oddHBand="0" w:evenHBand="0" w:firstRowFirstColumn="0" w:firstRowLastColumn="0" w:lastRowFirstColumn="0" w:lastRowLastColumn="0"/>
            <w:tcW w:w="1257" w:type="dxa"/>
          </w:tcPr>
          <w:p w14:paraId="198D9102" w14:textId="3FDF3EDB" w:rsidR="00923113" w:rsidRPr="00C731D9" w:rsidRDefault="00923113" w:rsidP="00923113">
            <w:pPr>
              <w:keepNext/>
              <w:keepLines/>
              <w:rPr>
                <w:rFonts w:ascii="Arial Narrow" w:hAnsi="Arial Narrow" w:cs="Arial"/>
                <w:color w:val="FFFFFF" w:themeColor="background2"/>
                <w:szCs w:val="20"/>
              </w:rPr>
            </w:pPr>
            <w:r>
              <w:rPr>
                <w:rFonts w:ascii="Arial Narrow" w:hAnsi="Arial Narrow" w:cs="Arial"/>
                <w:color w:val="FFFFFF" w:themeColor="background2"/>
                <w:szCs w:val="20"/>
              </w:rPr>
              <w:t>Sector</w:t>
            </w:r>
          </w:p>
        </w:tc>
        <w:tc>
          <w:tcPr>
            <w:tcW w:w="1821" w:type="dxa"/>
          </w:tcPr>
          <w:p w14:paraId="1F5ABD11" w14:textId="77777777" w:rsidR="00923113" w:rsidRPr="00C731D9" w:rsidRDefault="00923113" w:rsidP="00923113">
            <w:pPr>
              <w:keepNext/>
              <w:keepLines/>
              <w:cnfStyle w:val="100000000000" w:firstRow="1" w:lastRow="0" w:firstColumn="0" w:lastColumn="0" w:oddVBand="0" w:evenVBand="0" w:oddHBand="0" w:evenHBand="0" w:firstRowFirstColumn="0" w:firstRowLastColumn="0" w:lastRowFirstColumn="0" w:lastRowLastColumn="0"/>
              <w:rPr>
                <w:rFonts w:ascii="Arial Narrow" w:hAnsi="Arial Narrow" w:cs="Arial"/>
                <w:color w:val="FFFFFF" w:themeColor="background2"/>
                <w:szCs w:val="20"/>
              </w:rPr>
            </w:pPr>
            <w:r w:rsidRPr="00C731D9">
              <w:rPr>
                <w:rFonts w:ascii="Arial Narrow" w:hAnsi="Arial Narrow" w:cs="Arial"/>
                <w:color w:val="FFFFFF" w:themeColor="background2"/>
                <w:szCs w:val="20"/>
              </w:rPr>
              <w:t>CY201</w:t>
            </w:r>
            <w:r>
              <w:rPr>
                <w:rFonts w:ascii="Arial Narrow" w:hAnsi="Arial Narrow" w:cs="Arial"/>
                <w:color w:val="FFFFFF" w:themeColor="background2"/>
                <w:szCs w:val="20"/>
              </w:rPr>
              <w:t>9</w:t>
            </w:r>
            <w:r w:rsidRPr="00C731D9">
              <w:rPr>
                <w:rFonts w:ascii="Arial Narrow" w:hAnsi="Arial Narrow" w:cs="Arial"/>
                <w:color w:val="FFFFFF" w:themeColor="background2"/>
                <w:szCs w:val="20"/>
              </w:rPr>
              <w:t xml:space="preserve"> Verified Net Lifetime Savings (Therms)</w:t>
            </w:r>
          </w:p>
        </w:tc>
        <w:tc>
          <w:tcPr>
            <w:tcW w:w="1285" w:type="dxa"/>
          </w:tcPr>
          <w:p w14:paraId="569C6693" w14:textId="2A984005" w:rsidR="00923113" w:rsidRPr="00C731D9" w:rsidRDefault="00923113" w:rsidP="00923113">
            <w:pPr>
              <w:keepNext/>
              <w:keepLines/>
              <w:cnfStyle w:val="100000000000" w:firstRow="1" w:lastRow="0" w:firstColumn="0" w:lastColumn="0" w:oddVBand="0" w:evenVBand="0" w:oddHBand="0" w:evenHBand="0" w:firstRowFirstColumn="0" w:firstRowLastColumn="0" w:lastRowFirstColumn="0" w:lastRowLastColumn="0"/>
              <w:rPr>
                <w:rFonts w:ascii="Arial Narrow" w:hAnsi="Arial Narrow" w:cs="Arial"/>
                <w:color w:val="FFFFFF" w:themeColor="background2"/>
                <w:szCs w:val="20"/>
              </w:rPr>
            </w:pPr>
            <w:r>
              <w:rPr>
                <w:rFonts w:ascii="Arial Narrow" w:hAnsi="Arial Narrow" w:cs="Arial"/>
                <w:color w:val="FFFFFF" w:themeColor="background2"/>
                <w:szCs w:val="20"/>
              </w:rPr>
              <w:t>Program Year</w:t>
            </w:r>
          </w:p>
        </w:tc>
        <w:tc>
          <w:tcPr>
            <w:tcW w:w="1666" w:type="dxa"/>
          </w:tcPr>
          <w:p w14:paraId="7713F10A" w14:textId="060E8B72" w:rsidR="00923113" w:rsidRPr="00C731D9" w:rsidRDefault="00923113" w:rsidP="00923113">
            <w:pPr>
              <w:keepNext/>
              <w:keepLines/>
              <w:cnfStyle w:val="100000000000" w:firstRow="1" w:lastRow="0" w:firstColumn="0" w:lastColumn="0" w:oddVBand="0" w:evenVBand="0" w:oddHBand="0" w:evenHBand="0" w:firstRowFirstColumn="0" w:firstRowLastColumn="0" w:lastRowFirstColumn="0" w:lastRowLastColumn="0"/>
              <w:rPr>
                <w:rFonts w:ascii="Arial Narrow" w:hAnsi="Arial Narrow" w:cs="Arial"/>
                <w:color w:val="FFFFFF" w:themeColor="background2"/>
                <w:szCs w:val="20"/>
              </w:rPr>
            </w:pPr>
            <w:r w:rsidRPr="00C731D9">
              <w:rPr>
                <w:rFonts w:ascii="Arial Narrow" w:hAnsi="Arial Narrow" w:cs="Arial"/>
                <w:color w:val="FFFFFF" w:themeColor="background2"/>
                <w:szCs w:val="20"/>
              </w:rPr>
              <w:t>$ Total Health Benefits</w:t>
            </w:r>
          </w:p>
        </w:tc>
        <w:tc>
          <w:tcPr>
            <w:tcW w:w="1331" w:type="dxa"/>
          </w:tcPr>
          <w:p w14:paraId="531311DB" w14:textId="160AECDD" w:rsidR="00923113" w:rsidRPr="00C731D9" w:rsidRDefault="00923113" w:rsidP="00923113">
            <w:pPr>
              <w:keepNext/>
              <w:keepLines/>
              <w:cnfStyle w:val="100000000000" w:firstRow="1" w:lastRow="0" w:firstColumn="0" w:lastColumn="0" w:oddVBand="0" w:evenVBand="0" w:oddHBand="0" w:evenHBand="0" w:firstRowFirstColumn="0" w:firstRowLastColumn="0" w:lastRowFirstColumn="0" w:lastRowLastColumn="0"/>
              <w:rPr>
                <w:rFonts w:ascii="Arial Narrow" w:hAnsi="Arial Narrow" w:cs="Arial"/>
                <w:color w:val="FFFFFF" w:themeColor="background2"/>
                <w:szCs w:val="20"/>
              </w:rPr>
            </w:pPr>
            <w:r>
              <w:rPr>
                <w:rFonts w:ascii="Arial Narrow" w:hAnsi="Arial Narrow" w:cs="Arial"/>
                <w:color w:val="FFFFFF" w:themeColor="background2"/>
                <w:szCs w:val="20"/>
              </w:rPr>
              <w:t xml:space="preserve">$ </w:t>
            </w:r>
            <w:r w:rsidRPr="00C731D9">
              <w:rPr>
                <w:rFonts w:ascii="Arial Narrow" w:hAnsi="Arial Narrow" w:cs="Arial"/>
                <w:color w:val="FFFFFF" w:themeColor="background2"/>
                <w:szCs w:val="20"/>
              </w:rPr>
              <w:t xml:space="preserve">Total Health Benefits </w:t>
            </w:r>
            <w:r>
              <w:rPr>
                <w:rFonts w:ascii="Arial Narrow" w:hAnsi="Arial Narrow" w:cs="Arial"/>
                <w:color w:val="FFFFFF" w:themeColor="background2"/>
                <w:szCs w:val="20"/>
              </w:rPr>
              <w:t>per Net Therm (Average</w:t>
            </w:r>
            <w:r w:rsidRPr="00C731D9">
              <w:rPr>
                <w:rFonts w:ascii="Arial Narrow" w:hAnsi="Arial Narrow" w:cs="Arial"/>
                <w:color w:val="FFFFFF" w:themeColor="background2"/>
                <w:szCs w:val="20"/>
              </w:rPr>
              <w:t>)</w:t>
            </w:r>
          </w:p>
        </w:tc>
      </w:tr>
      <w:tr w:rsidR="00855A0C" w:rsidRPr="00C731D9" w14:paraId="57BCE6FD" w14:textId="77777777" w:rsidTr="00304BF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57" w:type="dxa"/>
            <w:vMerge w:val="restart"/>
            <w:noWrap/>
          </w:tcPr>
          <w:p w14:paraId="3E611550" w14:textId="245BC693" w:rsidR="00855A0C" w:rsidRPr="00C731D9" w:rsidRDefault="00855A0C" w:rsidP="00855A0C">
            <w:pPr>
              <w:keepNext/>
              <w:keepLines/>
              <w:rPr>
                <w:rFonts w:ascii="Arial Narrow" w:hAnsi="Arial Narrow" w:cstheme="minorHAnsi"/>
                <w:szCs w:val="20"/>
              </w:rPr>
            </w:pPr>
            <w:r>
              <w:rPr>
                <w:rFonts w:ascii="Arial Narrow" w:hAnsi="Arial Narrow" w:cstheme="minorHAnsi"/>
                <w:szCs w:val="20"/>
              </w:rPr>
              <w:t>Residential</w:t>
            </w:r>
          </w:p>
        </w:tc>
        <w:tc>
          <w:tcPr>
            <w:tcW w:w="1821" w:type="dxa"/>
            <w:vMerge w:val="restart"/>
            <w:noWrap/>
          </w:tcPr>
          <w:p w14:paraId="757CE189" w14:textId="76EDF343" w:rsidR="00855A0C" w:rsidRPr="00F16FD4" w:rsidRDefault="00855A0C" w:rsidP="00855A0C">
            <w:pPr>
              <w:keepNext/>
              <w:keepLines/>
              <w:ind w:right="336"/>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Cs w:val="18"/>
              </w:rPr>
            </w:pPr>
            <w:r>
              <w:rPr>
                <w:rFonts w:ascii="Arial Narrow" w:hAnsi="Arial Narrow" w:cs="Calibri"/>
                <w:szCs w:val="18"/>
              </w:rPr>
              <w:t>69,818,663</w:t>
            </w:r>
          </w:p>
        </w:tc>
        <w:tc>
          <w:tcPr>
            <w:tcW w:w="1285" w:type="dxa"/>
          </w:tcPr>
          <w:p w14:paraId="39BFE6FA" w14:textId="6EE9A144" w:rsidR="00855A0C" w:rsidRPr="00A256F9" w:rsidRDefault="00855A0C" w:rsidP="00855A0C">
            <w:pPr>
              <w:keepNext/>
              <w:keepLines/>
              <w:ind w:right="219"/>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18"/>
              </w:rPr>
            </w:pPr>
            <w:r>
              <w:rPr>
                <w:rFonts w:ascii="Arial Narrow" w:hAnsi="Arial Narrow" w:cstheme="minorHAnsi"/>
                <w:szCs w:val="18"/>
              </w:rPr>
              <w:t>CY2022</w:t>
            </w:r>
          </w:p>
        </w:tc>
        <w:tc>
          <w:tcPr>
            <w:tcW w:w="1666" w:type="dxa"/>
            <w:noWrap/>
            <w:vAlign w:val="top"/>
          </w:tcPr>
          <w:p w14:paraId="52E53097" w14:textId="60E1227B" w:rsidR="00855A0C" w:rsidRPr="00855A0C" w:rsidRDefault="00855A0C" w:rsidP="00855A0C">
            <w:pPr>
              <w:keepNext/>
              <w:keepLines/>
              <w:ind w:right="219"/>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Cs w:val="18"/>
                <w:highlight w:val="yellow"/>
              </w:rPr>
            </w:pPr>
            <w:r w:rsidRPr="00855A0C">
              <w:rPr>
                <w:rFonts w:ascii="Arial Narrow" w:hAnsi="Arial Narrow"/>
              </w:rPr>
              <w:t xml:space="preserve"> $13,968,192 </w:t>
            </w:r>
          </w:p>
        </w:tc>
        <w:tc>
          <w:tcPr>
            <w:tcW w:w="1331" w:type="dxa"/>
            <w:vAlign w:val="top"/>
          </w:tcPr>
          <w:p w14:paraId="3D85F962" w14:textId="41088976" w:rsidR="00855A0C" w:rsidRPr="00855A0C" w:rsidRDefault="00855A0C" w:rsidP="00855A0C">
            <w:pPr>
              <w:keepNext/>
              <w:keepLines/>
              <w:ind w:right="253"/>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18"/>
              </w:rPr>
            </w:pPr>
            <w:r w:rsidRPr="00855A0C">
              <w:rPr>
                <w:rFonts w:ascii="Arial Narrow" w:hAnsi="Arial Narrow"/>
              </w:rPr>
              <w:t xml:space="preserve"> $0.2002 </w:t>
            </w:r>
          </w:p>
        </w:tc>
      </w:tr>
      <w:tr w:rsidR="00855A0C" w:rsidRPr="00C731D9" w14:paraId="7AA02AD3" w14:textId="77777777" w:rsidTr="00536559">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57" w:type="dxa"/>
            <w:vMerge/>
            <w:noWrap/>
          </w:tcPr>
          <w:p w14:paraId="04F64F35" w14:textId="36F48968" w:rsidR="00855A0C" w:rsidRDefault="00855A0C" w:rsidP="00855A0C">
            <w:pPr>
              <w:keepNext/>
              <w:keepLines/>
              <w:rPr>
                <w:rFonts w:ascii="Arial Narrow" w:hAnsi="Arial Narrow" w:cstheme="minorHAnsi"/>
                <w:szCs w:val="20"/>
              </w:rPr>
            </w:pPr>
          </w:p>
        </w:tc>
        <w:tc>
          <w:tcPr>
            <w:tcW w:w="1821" w:type="dxa"/>
            <w:vMerge/>
            <w:noWrap/>
          </w:tcPr>
          <w:p w14:paraId="2E7B6C58" w14:textId="39CC7872" w:rsidR="00855A0C" w:rsidRPr="00F16FD4" w:rsidRDefault="00855A0C" w:rsidP="00855A0C">
            <w:pPr>
              <w:keepNext/>
              <w:keepLines/>
              <w:ind w:right="336"/>
              <w:jc w:val="right"/>
              <w:cnfStyle w:val="000000010000" w:firstRow="0" w:lastRow="0" w:firstColumn="0" w:lastColumn="0" w:oddVBand="0" w:evenVBand="0" w:oddHBand="0" w:evenHBand="1" w:firstRowFirstColumn="0" w:firstRowLastColumn="0" w:lastRowFirstColumn="0" w:lastRowLastColumn="0"/>
              <w:rPr>
                <w:rFonts w:ascii="Arial Narrow" w:hAnsi="Arial Narrow" w:cstheme="minorHAnsi"/>
                <w:szCs w:val="18"/>
              </w:rPr>
            </w:pPr>
          </w:p>
        </w:tc>
        <w:tc>
          <w:tcPr>
            <w:tcW w:w="1285" w:type="dxa"/>
          </w:tcPr>
          <w:p w14:paraId="105CC6E0" w14:textId="13DCA8D0" w:rsidR="00855A0C" w:rsidRPr="00A256F9" w:rsidRDefault="00855A0C" w:rsidP="00855A0C">
            <w:pPr>
              <w:keepNext/>
              <w:keepLines/>
              <w:ind w:right="219"/>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18"/>
              </w:rPr>
            </w:pPr>
            <w:r>
              <w:rPr>
                <w:rFonts w:ascii="Arial Narrow" w:hAnsi="Arial Narrow" w:cstheme="minorHAnsi"/>
                <w:szCs w:val="18"/>
              </w:rPr>
              <w:t>CY2023</w:t>
            </w:r>
          </w:p>
        </w:tc>
        <w:tc>
          <w:tcPr>
            <w:tcW w:w="1666" w:type="dxa"/>
            <w:noWrap/>
            <w:vAlign w:val="top"/>
          </w:tcPr>
          <w:p w14:paraId="4FF82D88" w14:textId="11228C1C" w:rsidR="00855A0C" w:rsidRPr="00855A0C" w:rsidRDefault="00855A0C" w:rsidP="00855A0C">
            <w:pPr>
              <w:keepNext/>
              <w:keepLines/>
              <w:ind w:right="219"/>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18"/>
              </w:rPr>
            </w:pPr>
            <w:r w:rsidRPr="00855A0C">
              <w:rPr>
                <w:rFonts w:ascii="Arial Narrow" w:hAnsi="Arial Narrow"/>
              </w:rPr>
              <w:t xml:space="preserve"> $14,009,231 </w:t>
            </w:r>
          </w:p>
        </w:tc>
        <w:tc>
          <w:tcPr>
            <w:tcW w:w="1331" w:type="dxa"/>
            <w:vAlign w:val="top"/>
          </w:tcPr>
          <w:p w14:paraId="7EF791C5" w14:textId="5DFBF55E" w:rsidR="00855A0C" w:rsidRPr="00855A0C" w:rsidRDefault="00855A0C" w:rsidP="00855A0C">
            <w:pPr>
              <w:keepNext/>
              <w:keepLines/>
              <w:ind w:right="253"/>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18"/>
              </w:rPr>
            </w:pPr>
            <w:r w:rsidRPr="00855A0C">
              <w:rPr>
                <w:rFonts w:ascii="Arial Narrow" w:hAnsi="Arial Narrow"/>
              </w:rPr>
              <w:t xml:space="preserve"> $0.2008 </w:t>
            </w:r>
          </w:p>
        </w:tc>
      </w:tr>
      <w:tr w:rsidR="00855A0C" w:rsidRPr="00C731D9" w14:paraId="3090DB79" w14:textId="77777777" w:rsidTr="0053655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57" w:type="dxa"/>
            <w:vMerge/>
            <w:noWrap/>
          </w:tcPr>
          <w:p w14:paraId="75221222" w14:textId="77777777" w:rsidR="00855A0C" w:rsidRPr="00C731D9" w:rsidRDefault="00855A0C" w:rsidP="00855A0C">
            <w:pPr>
              <w:keepNext/>
              <w:keepLines/>
              <w:rPr>
                <w:rFonts w:ascii="Arial Narrow" w:hAnsi="Arial Narrow" w:cstheme="minorHAnsi"/>
                <w:szCs w:val="20"/>
              </w:rPr>
            </w:pPr>
          </w:p>
        </w:tc>
        <w:tc>
          <w:tcPr>
            <w:tcW w:w="1821" w:type="dxa"/>
            <w:vMerge/>
            <w:noWrap/>
          </w:tcPr>
          <w:p w14:paraId="2DA80F66" w14:textId="0B5FE21A" w:rsidR="00855A0C" w:rsidRPr="00A256F9" w:rsidRDefault="00855A0C" w:rsidP="00855A0C">
            <w:pPr>
              <w:keepNext/>
              <w:keepLines/>
              <w:ind w:right="336"/>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18"/>
              </w:rPr>
            </w:pPr>
          </w:p>
        </w:tc>
        <w:tc>
          <w:tcPr>
            <w:tcW w:w="1285" w:type="dxa"/>
          </w:tcPr>
          <w:p w14:paraId="6A95414E" w14:textId="1344F7D3" w:rsidR="00855A0C" w:rsidRPr="00A256F9" w:rsidRDefault="00855A0C" w:rsidP="00855A0C">
            <w:pPr>
              <w:keepNext/>
              <w:keepLines/>
              <w:ind w:right="219"/>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18"/>
              </w:rPr>
            </w:pPr>
            <w:r>
              <w:rPr>
                <w:rFonts w:ascii="Arial Narrow" w:hAnsi="Arial Narrow" w:cstheme="minorHAnsi"/>
                <w:szCs w:val="18"/>
              </w:rPr>
              <w:t>CY2024</w:t>
            </w:r>
          </w:p>
        </w:tc>
        <w:tc>
          <w:tcPr>
            <w:tcW w:w="1666" w:type="dxa"/>
            <w:noWrap/>
            <w:vAlign w:val="top"/>
          </w:tcPr>
          <w:p w14:paraId="236396B8" w14:textId="114BBBFE" w:rsidR="00855A0C" w:rsidRPr="00855A0C" w:rsidRDefault="00855A0C" w:rsidP="00855A0C">
            <w:pPr>
              <w:keepNext/>
              <w:keepLines/>
              <w:ind w:right="219"/>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18"/>
              </w:rPr>
            </w:pPr>
            <w:r w:rsidRPr="00855A0C">
              <w:rPr>
                <w:rFonts w:ascii="Arial Narrow" w:hAnsi="Arial Narrow"/>
              </w:rPr>
              <w:t xml:space="preserve"> $14,049,175 </w:t>
            </w:r>
          </w:p>
        </w:tc>
        <w:tc>
          <w:tcPr>
            <w:tcW w:w="1331" w:type="dxa"/>
            <w:vAlign w:val="top"/>
          </w:tcPr>
          <w:p w14:paraId="3E99E271" w14:textId="0AB1E32A" w:rsidR="00855A0C" w:rsidRPr="00855A0C" w:rsidRDefault="00855A0C" w:rsidP="00855A0C">
            <w:pPr>
              <w:keepNext/>
              <w:keepLines/>
              <w:ind w:right="253"/>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18"/>
              </w:rPr>
            </w:pPr>
            <w:r w:rsidRPr="00855A0C">
              <w:rPr>
                <w:rFonts w:ascii="Arial Narrow" w:hAnsi="Arial Narrow"/>
              </w:rPr>
              <w:t xml:space="preserve"> $0.2014 </w:t>
            </w:r>
          </w:p>
        </w:tc>
      </w:tr>
      <w:tr w:rsidR="00855A0C" w:rsidRPr="00C731D9" w14:paraId="7513517A" w14:textId="77777777" w:rsidTr="00304BF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57" w:type="dxa"/>
            <w:vMerge/>
            <w:noWrap/>
          </w:tcPr>
          <w:p w14:paraId="6D97CF05" w14:textId="15AF8E56" w:rsidR="00855A0C" w:rsidRPr="00C731D9" w:rsidRDefault="00855A0C" w:rsidP="00855A0C">
            <w:pPr>
              <w:keepNext/>
              <w:keepLines/>
              <w:rPr>
                <w:rFonts w:ascii="Arial Narrow" w:hAnsi="Arial Narrow" w:cstheme="minorHAnsi"/>
                <w:szCs w:val="20"/>
              </w:rPr>
            </w:pPr>
          </w:p>
        </w:tc>
        <w:tc>
          <w:tcPr>
            <w:tcW w:w="1821" w:type="dxa"/>
            <w:vMerge/>
            <w:noWrap/>
          </w:tcPr>
          <w:p w14:paraId="080735CB" w14:textId="17F65C3B" w:rsidR="00855A0C" w:rsidRPr="00F16FD4" w:rsidRDefault="00855A0C" w:rsidP="00855A0C">
            <w:pPr>
              <w:keepNext/>
              <w:keepLines/>
              <w:ind w:right="336"/>
              <w:jc w:val="right"/>
              <w:cnfStyle w:val="000000010000" w:firstRow="0" w:lastRow="0" w:firstColumn="0" w:lastColumn="0" w:oddVBand="0" w:evenVBand="0" w:oddHBand="0" w:evenHBand="1" w:firstRowFirstColumn="0" w:firstRowLastColumn="0" w:lastRowFirstColumn="0" w:lastRowLastColumn="0"/>
              <w:rPr>
                <w:rFonts w:ascii="Arial Narrow" w:hAnsi="Arial Narrow" w:cstheme="minorHAnsi"/>
                <w:szCs w:val="18"/>
              </w:rPr>
            </w:pPr>
          </w:p>
        </w:tc>
        <w:tc>
          <w:tcPr>
            <w:tcW w:w="1285" w:type="dxa"/>
          </w:tcPr>
          <w:p w14:paraId="78C60293" w14:textId="57E41F56" w:rsidR="00855A0C" w:rsidRPr="00A14675" w:rsidRDefault="00855A0C" w:rsidP="00855A0C">
            <w:pPr>
              <w:keepNext/>
              <w:keepLines/>
              <w:ind w:right="219"/>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szCs w:val="18"/>
              </w:rPr>
            </w:pPr>
            <w:r>
              <w:rPr>
                <w:rFonts w:ascii="Arial Narrow" w:hAnsi="Arial Narrow" w:cstheme="minorHAnsi"/>
                <w:szCs w:val="18"/>
              </w:rPr>
              <w:t>CY2025</w:t>
            </w:r>
          </w:p>
        </w:tc>
        <w:tc>
          <w:tcPr>
            <w:tcW w:w="1666" w:type="dxa"/>
            <w:noWrap/>
            <w:vAlign w:val="top"/>
          </w:tcPr>
          <w:p w14:paraId="17A77175" w14:textId="592B08CC" w:rsidR="00855A0C" w:rsidRPr="00855A0C" w:rsidRDefault="00855A0C" w:rsidP="00855A0C">
            <w:pPr>
              <w:keepNext/>
              <w:keepLines/>
              <w:ind w:right="219"/>
              <w:jc w:val="right"/>
              <w:cnfStyle w:val="000000010000" w:firstRow="0" w:lastRow="0" w:firstColumn="0" w:lastColumn="0" w:oddVBand="0" w:evenVBand="0" w:oddHBand="0" w:evenHBand="1" w:firstRowFirstColumn="0" w:firstRowLastColumn="0" w:lastRowFirstColumn="0" w:lastRowLastColumn="0"/>
              <w:rPr>
                <w:rFonts w:ascii="Arial Narrow" w:hAnsi="Arial Narrow" w:cstheme="minorHAnsi"/>
                <w:szCs w:val="18"/>
                <w:highlight w:val="yellow"/>
              </w:rPr>
            </w:pPr>
            <w:r w:rsidRPr="00855A0C">
              <w:rPr>
                <w:rFonts w:ascii="Arial Narrow" w:hAnsi="Arial Narrow"/>
              </w:rPr>
              <w:t xml:space="preserve"> $14,089,287 </w:t>
            </w:r>
          </w:p>
        </w:tc>
        <w:tc>
          <w:tcPr>
            <w:tcW w:w="1331" w:type="dxa"/>
            <w:vAlign w:val="top"/>
          </w:tcPr>
          <w:p w14:paraId="0DB85EA3" w14:textId="2C6A98DD" w:rsidR="00855A0C" w:rsidRPr="00855A0C" w:rsidRDefault="00855A0C" w:rsidP="00855A0C">
            <w:pPr>
              <w:keepNext/>
              <w:keepLines/>
              <w:ind w:right="253"/>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18"/>
              </w:rPr>
            </w:pPr>
            <w:r w:rsidRPr="00855A0C">
              <w:rPr>
                <w:rFonts w:ascii="Arial Narrow" w:hAnsi="Arial Narrow"/>
              </w:rPr>
              <w:t xml:space="preserve"> $0.2020 </w:t>
            </w:r>
          </w:p>
        </w:tc>
      </w:tr>
      <w:tr w:rsidR="00855A0C" w:rsidRPr="00C731D9" w14:paraId="09E79E7E" w14:textId="77777777" w:rsidTr="00304BF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57" w:type="dxa"/>
            <w:vMerge w:val="restart"/>
            <w:noWrap/>
          </w:tcPr>
          <w:p w14:paraId="5B0F52B0" w14:textId="1097A148" w:rsidR="00855A0C" w:rsidRPr="00C731D9" w:rsidRDefault="00855A0C" w:rsidP="00855A0C">
            <w:pPr>
              <w:keepNext/>
              <w:keepLines/>
              <w:rPr>
                <w:rFonts w:ascii="Arial Narrow" w:hAnsi="Arial Narrow" w:cstheme="minorHAnsi"/>
                <w:szCs w:val="20"/>
              </w:rPr>
            </w:pPr>
            <w:r>
              <w:rPr>
                <w:rFonts w:ascii="Arial Narrow" w:hAnsi="Arial Narrow" w:cstheme="minorHAnsi"/>
                <w:szCs w:val="20"/>
              </w:rPr>
              <w:t>Non-Residential</w:t>
            </w:r>
          </w:p>
        </w:tc>
        <w:tc>
          <w:tcPr>
            <w:tcW w:w="1821" w:type="dxa"/>
            <w:vMerge w:val="restart"/>
            <w:noWrap/>
          </w:tcPr>
          <w:p w14:paraId="48BC4C18" w14:textId="36A4A559" w:rsidR="00855A0C" w:rsidRPr="00F16FD4" w:rsidRDefault="00855A0C" w:rsidP="00855A0C">
            <w:pPr>
              <w:keepNext/>
              <w:keepLines/>
              <w:ind w:right="336"/>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Cs w:val="18"/>
              </w:rPr>
            </w:pPr>
            <w:r>
              <w:rPr>
                <w:rFonts w:ascii="Arial Narrow" w:hAnsi="Arial Narrow" w:cs="Calibri"/>
                <w:szCs w:val="18"/>
              </w:rPr>
              <w:t>37,949,860</w:t>
            </w:r>
          </w:p>
        </w:tc>
        <w:tc>
          <w:tcPr>
            <w:tcW w:w="1285" w:type="dxa"/>
          </w:tcPr>
          <w:p w14:paraId="290D3DC0" w14:textId="6592FD3B" w:rsidR="00855A0C" w:rsidRPr="00A256F9" w:rsidRDefault="00855A0C" w:rsidP="00855A0C">
            <w:pPr>
              <w:keepNext/>
              <w:keepLines/>
              <w:ind w:right="219"/>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18"/>
              </w:rPr>
            </w:pPr>
            <w:r>
              <w:rPr>
                <w:rFonts w:ascii="Arial Narrow" w:hAnsi="Arial Narrow" w:cstheme="minorHAnsi"/>
                <w:szCs w:val="18"/>
              </w:rPr>
              <w:t>CY2022</w:t>
            </w:r>
          </w:p>
        </w:tc>
        <w:tc>
          <w:tcPr>
            <w:tcW w:w="1666" w:type="dxa"/>
            <w:noWrap/>
            <w:vAlign w:val="top"/>
          </w:tcPr>
          <w:p w14:paraId="7AC0009E" w14:textId="453F2729" w:rsidR="00855A0C" w:rsidRPr="00855A0C" w:rsidRDefault="00855A0C" w:rsidP="00855A0C">
            <w:pPr>
              <w:keepNext/>
              <w:keepLines/>
              <w:ind w:right="219"/>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Cs w:val="18"/>
                <w:highlight w:val="yellow"/>
              </w:rPr>
            </w:pPr>
            <w:r w:rsidRPr="00855A0C">
              <w:rPr>
                <w:rFonts w:ascii="Arial Narrow" w:hAnsi="Arial Narrow"/>
              </w:rPr>
              <w:t xml:space="preserve"> $7,762,767 </w:t>
            </w:r>
          </w:p>
        </w:tc>
        <w:tc>
          <w:tcPr>
            <w:tcW w:w="1331" w:type="dxa"/>
            <w:vAlign w:val="top"/>
          </w:tcPr>
          <w:p w14:paraId="32E4ADAD" w14:textId="5CDB83AC" w:rsidR="00855A0C" w:rsidRPr="00855A0C" w:rsidRDefault="00855A0C" w:rsidP="00855A0C">
            <w:pPr>
              <w:keepNext/>
              <w:keepLines/>
              <w:ind w:right="253"/>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18"/>
              </w:rPr>
            </w:pPr>
            <w:r w:rsidRPr="00855A0C">
              <w:rPr>
                <w:rFonts w:ascii="Arial Narrow" w:hAnsi="Arial Narrow"/>
              </w:rPr>
              <w:t xml:space="preserve"> $0.2050 </w:t>
            </w:r>
          </w:p>
        </w:tc>
      </w:tr>
      <w:tr w:rsidR="00855A0C" w:rsidRPr="00C731D9" w14:paraId="5A549DF6" w14:textId="77777777" w:rsidTr="00304BF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57" w:type="dxa"/>
            <w:vMerge/>
            <w:noWrap/>
          </w:tcPr>
          <w:p w14:paraId="15B7F6AE" w14:textId="4612446D" w:rsidR="00855A0C" w:rsidRDefault="00855A0C" w:rsidP="00855A0C">
            <w:pPr>
              <w:keepNext/>
              <w:keepLines/>
              <w:rPr>
                <w:rFonts w:ascii="Arial Narrow" w:hAnsi="Arial Narrow" w:cstheme="minorHAnsi"/>
                <w:szCs w:val="20"/>
              </w:rPr>
            </w:pPr>
          </w:p>
        </w:tc>
        <w:tc>
          <w:tcPr>
            <w:tcW w:w="1821" w:type="dxa"/>
            <w:vMerge/>
            <w:noWrap/>
            <w:vAlign w:val="top"/>
          </w:tcPr>
          <w:p w14:paraId="25BFD6CC" w14:textId="711D25D0" w:rsidR="00855A0C" w:rsidRPr="00F16FD4" w:rsidRDefault="00855A0C" w:rsidP="00855A0C">
            <w:pPr>
              <w:keepNext/>
              <w:keepLines/>
              <w:ind w:right="336"/>
              <w:jc w:val="right"/>
              <w:cnfStyle w:val="000000010000" w:firstRow="0" w:lastRow="0" w:firstColumn="0" w:lastColumn="0" w:oddVBand="0" w:evenVBand="0" w:oddHBand="0" w:evenHBand="1" w:firstRowFirstColumn="0" w:firstRowLastColumn="0" w:lastRowFirstColumn="0" w:lastRowLastColumn="0"/>
              <w:rPr>
                <w:rFonts w:ascii="Arial Narrow" w:hAnsi="Arial Narrow" w:cstheme="minorHAnsi"/>
                <w:szCs w:val="18"/>
              </w:rPr>
            </w:pPr>
          </w:p>
        </w:tc>
        <w:tc>
          <w:tcPr>
            <w:tcW w:w="1285" w:type="dxa"/>
          </w:tcPr>
          <w:p w14:paraId="27986514" w14:textId="5309BC37" w:rsidR="00855A0C" w:rsidRPr="00A256F9" w:rsidRDefault="00855A0C" w:rsidP="00855A0C">
            <w:pPr>
              <w:keepNext/>
              <w:keepLines/>
              <w:ind w:right="219"/>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18"/>
              </w:rPr>
            </w:pPr>
            <w:r>
              <w:rPr>
                <w:rFonts w:ascii="Arial Narrow" w:hAnsi="Arial Narrow" w:cstheme="minorHAnsi"/>
                <w:szCs w:val="18"/>
              </w:rPr>
              <w:t>CY2023</w:t>
            </w:r>
          </w:p>
        </w:tc>
        <w:tc>
          <w:tcPr>
            <w:tcW w:w="1666" w:type="dxa"/>
            <w:noWrap/>
            <w:vAlign w:val="top"/>
          </w:tcPr>
          <w:p w14:paraId="4BA0077B" w14:textId="68E6BD57" w:rsidR="00855A0C" w:rsidRPr="00855A0C" w:rsidRDefault="00855A0C" w:rsidP="00855A0C">
            <w:pPr>
              <w:keepNext/>
              <w:keepLines/>
              <w:ind w:right="219"/>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18"/>
              </w:rPr>
            </w:pPr>
            <w:r w:rsidRPr="00855A0C">
              <w:rPr>
                <w:rFonts w:ascii="Arial Narrow" w:hAnsi="Arial Narrow"/>
              </w:rPr>
              <w:t xml:space="preserve"> $7,791,305 </w:t>
            </w:r>
          </w:p>
        </w:tc>
        <w:tc>
          <w:tcPr>
            <w:tcW w:w="1331" w:type="dxa"/>
            <w:vAlign w:val="top"/>
          </w:tcPr>
          <w:p w14:paraId="554BDC70" w14:textId="0757A728" w:rsidR="00855A0C" w:rsidRPr="00855A0C" w:rsidRDefault="00855A0C" w:rsidP="00855A0C">
            <w:pPr>
              <w:keepNext/>
              <w:keepLines/>
              <w:ind w:right="253"/>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18"/>
              </w:rPr>
            </w:pPr>
            <w:r w:rsidRPr="00855A0C">
              <w:rPr>
                <w:rFonts w:ascii="Arial Narrow" w:hAnsi="Arial Narrow"/>
              </w:rPr>
              <w:t xml:space="preserve"> $0.2059 </w:t>
            </w:r>
          </w:p>
        </w:tc>
      </w:tr>
      <w:tr w:rsidR="00855A0C" w:rsidRPr="00C731D9" w14:paraId="60049386" w14:textId="77777777" w:rsidTr="00304BF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57" w:type="dxa"/>
            <w:vMerge/>
            <w:noWrap/>
          </w:tcPr>
          <w:p w14:paraId="7B3CC812" w14:textId="4C6F5D56" w:rsidR="00855A0C" w:rsidRPr="00C731D9" w:rsidRDefault="00855A0C" w:rsidP="00855A0C">
            <w:pPr>
              <w:keepNext/>
              <w:keepLines/>
              <w:rPr>
                <w:rFonts w:ascii="Arial Narrow" w:hAnsi="Arial Narrow" w:cstheme="minorHAnsi"/>
                <w:szCs w:val="20"/>
              </w:rPr>
            </w:pPr>
          </w:p>
        </w:tc>
        <w:tc>
          <w:tcPr>
            <w:tcW w:w="1821" w:type="dxa"/>
            <w:vMerge/>
            <w:noWrap/>
          </w:tcPr>
          <w:p w14:paraId="1DDB0616" w14:textId="5554CFB0" w:rsidR="00855A0C" w:rsidRPr="00F16FD4" w:rsidRDefault="00855A0C" w:rsidP="00855A0C">
            <w:pPr>
              <w:keepNext/>
              <w:keepLines/>
              <w:ind w:right="336"/>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Cs w:val="18"/>
              </w:rPr>
            </w:pPr>
          </w:p>
        </w:tc>
        <w:tc>
          <w:tcPr>
            <w:tcW w:w="1285" w:type="dxa"/>
          </w:tcPr>
          <w:p w14:paraId="3A69EBB6" w14:textId="37866685" w:rsidR="00855A0C" w:rsidRPr="00A14675" w:rsidRDefault="00855A0C" w:rsidP="00855A0C">
            <w:pPr>
              <w:keepNext/>
              <w:keepLines/>
              <w:ind w:right="219"/>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Cs w:val="18"/>
              </w:rPr>
            </w:pPr>
            <w:r>
              <w:rPr>
                <w:rFonts w:ascii="Arial Narrow" w:hAnsi="Arial Narrow" w:cstheme="minorHAnsi"/>
                <w:szCs w:val="18"/>
              </w:rPr>
              <w:t>CY2024</w:t>
            </w:r>
          </w:p>
        </w:tc>
        <w:tc>
          <w:tcPr>
            <w:tcW w:w="1666" w:type="dxa"/>
            <w:noWrap/>
            <w:vAlign w:val="top"/>
          </w:tcPr>
          <w:p w14:paraId="768529CB" w14:textId="492A755E" w:rsidR="00855A0C" w:rsidRPr="00855A0C" w:rsidRDefault="00855A0C" w:rsidP="00855A0C">
            <w:pPr>
              <w:keepNext/>
              <w:keepLines/>
              <w:ind w:right="219"/>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Cs w:val="18"/>
                <w:highlight w:val="yellow"/>
              </w:rPr>
            </w:pPr>
            <w:r w:rsidRPr="00855A0C">
              <w:rPr>
                <w:rFonts w:ascii="Arial Narrow" w:hAnsi="Arial Narrow"/>
              </w:rPr>
              <w:t xml:space="preserve"> $7,814,749 </w:t>
            </w:r>
          </w:p>
        </w:tc>
        <w:tc>
          <w:tcPr>
            <w:tcW w:w="1331" w:type="dxa"/>
            <w:vAlign w:val="top"/>
          </w:tcPr>
          <w:p w14:paraId="6DA14C9A" w14:textId="06D0C6BF" w:rsidR="00855A0C" w:rsidRPr="00855A0C" w:rsidRDefault="00855A0C" w:rsidP="00855A0C">
            <w:pPr>
              <w:keepNext/>
              <w:keepLines/>
              <w:ind w:right="253"/>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18"/>
              </w:rPr>
            </w:pPr>
            <w:r w:rsidRPr="00855A0C">
              <w:rPr>
                <w:rFonts w:ascii="Arial Narrow" w:hAnsi="Arial Narrow"/>
              </w:rPr>
              <w:t xml:space="preserve"> $0.2065 </w:t>
            </w:r>
          </w:p>
        </w:tc>
      </w:tr>
      <w:tr w:rsidR="00855A0C" w:rsidRPr="00C731D9" w14:paraId="4694A3DC" w14:textId="77777777" w:rsidTr="00304BF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57" w:type="dxa"/>
            <w:vMerge/>
            <w:noWrap/>
          </w:tcPr>
          <w:p w14:paraId="2A9C64F5" w14:textId="77777777" w:rsidR="00855A0C" w:rsidRDefault="00855A0C" w:rsidP="00855A0C">
            <w:pPr>
              <w:keepNext/>
              <w:keepLines/>
              <w:rPr>
                <w:rFonts w:ascii="Arial Narrow" w:hAnsi="Arial Narrow" w:cstheme="minorHAnsi"/>
                <w:szCs w:val="20"/>
              </w:rPr>
            </w:pPr>
          </w:p>
        </w:tc>
        <w:tc>
          <w:tcPr>
            <w:tcW w:w="1821" w:type="dxa"/>
            <w:vMerge/>
            <w:noWrap/>
          </w:tcPr>
          <w:p w14:paraId="599B18C6" w14:textId="0C02DCCA" w:rsidR="00855A0C" w:rsidRPr="00F16FD4" w:rsidRDefault="00855A0C" w:rsidP="00855A0C">
            <w:pPr>
              <w:keepNext/>
              <w:keepLines/>
              <w:ind w:right="336"/>
              <w:jc w:val="right"/>
              <w:cnfStyle w:val="000000010000" w:firstRow="0" w:lastRow="0" w:firstColumn="0" w:lastColumn="0" w:oddVBand="0" w:evenVBand="0" w:oddHBand="0" w:evenHBand="1" w:firstRowFirstColumn="0" w:firstRowLastColumn="0" w:lastRowFirstColumn="0" w:lastRowLastColumn="0"/>
              <w:rPr>
                <w:rFonts w:ascii="Arial Narrow" w:hAnsi="Arial Narrow" w:cstheme="minorHAnsi"/>
                <w:szCs w:val="18"/>
              </w:rPr>
            </w:pPr>
          </w:p>
        </w:tc>
        <w:tc>
          <w:tcPr>
            <w:tcW w:w="1285" w:type="dxa"/>
          </w:tcPr>
          <w:p w14:paraId="5074E0C8" w14:textId="3A17BC4E" w:rsidR="00855A0C" w:rsidRPr="00A14675" w:rsidRDefault="00855A0C" w:rsidP="00855A0C">
            <w:pPr>
              <w:keepNext/>
              <w:keepLines/>
              <w:ind w:right="219"/>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szCs w:val="18"/>
              </w:rPr>
            </w:pPr>
            <w:r>
              <w:rPr>
                <w:rFonts w:ascii="Arial Narrow" w:hAnsi="Arial Narrow" w:cstheme="minorHAnsi"/>
                <w:szCs w:val="18"/>
              </w:rPr>
              <w:t>CY2025</w:t>
            </w:r>
          </w:p>
        </w:tc>
        <w:tc>
          <w:tcPr>
            <w:tcW w:w="1666" w:type="dxa"/>
            <w:noWrap/>
            <w:vAlign w:val="top"/>
          </w:tcPr>
          <w:p w14:paraId="2E1258F8" w14:textId="4EDB4DF6" w:rsidR="00855A0C" w:rsidRPr="00855A0C" w:rsidRDefault="00855A0C" w:rsidP="00855A0C">
            <w:pPr>
              <w:keepNext/>
              <w:keepLines/>
              <w:ind w:right="219"/>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18"/>
              </w:rPr>
            </w:pPr>
            <w:r w:rsidRPr="00855A0C">
              <w:rPr>
                <w:rFonts w:ascii="Arial Narrow" w:hAnsi="Arial Narrow"/>
              </w:rPr>
              <w:t xml:space="preserve"> $7,838,292 </w:t>
            </w:r>
          </w:p>
        </w:tc>
        <w:tc>
          <w:tcPr>
            <w:tcW w:w="1331" w:type="dxa"/>
            <w:vAlign w:val="top"/>
          </w:tcPr>
          <w:p w14:paraId="10EBF14C" w14:textId="21D278E0" w:rsidR="00855A0C" w:rsidRPr="00855A0C" w:rsidRDefault="00855A0C" w:rsidP="00855A0C">
            <w:pPr>
              <w:keepNext/>
              <w:keepLines/>
              <w:ind w:right="253"/>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18"/>
              </w:rPr>
            </w:pPr>
            <w:r w:rsidRPr="00855A0C">
              <w:rPr>
                <w:rFonts w:ascii="Arial Narrow" w:hAnsi="Arial Narrow"/>
              </w:rPr>
              <w:t xml:space="preserve"> $0.2072 </w:t>
            </w:r>
          </w:p>
        </w:tc>
      </w:tr>
    </w:tbl>
    <w:p w14:paraId="4F5F120D" w14:textId="7E5B7673" w:rsidR="00D708F0" w:rsidRPr="00424B11" w:rsidRDefault="00D708F0" w:rsidP="00D708F0">
      <w:pPr>
        <w:keepNext/>
        <w:keepLines/>
        <w:ind w:left="360"/>
        <w:rPr>
          <w:i/>
          <w:iCs/>
          <w:sz w:val="16"/>
          <w:szCs w:val="20"/>
        </w:rPr>
      </w:pPr>
      <w:r w:rsidRPr="003250F9">
        <w:rPr>
          <w:i/>
          <w:iCs/>
          <w:sz w:val="16"/>
          <w:szCs w:val="20"/>
        </w:rPr>
        <w:t>Source: Guidehouse CY201</w:t>
      </w:r>
      <w:r>
        <w:rPr>
          <w:i/>
          <w:iCs/>
          <w:sz w:val="16"/>
          <w:szCs w:val="20"/>
        </w:rPr>
        <w:t>9</w:t>
      </w:r>
      <w:r w:rsidRPr="003250F9">
        <w:rPr>
          <w:i/>
          <w:iCs/>
          <w:sz w:val="16"/>
          <w:szCs w:val="20"/>
        </w:rPr>
        <w:t xml:space="preserve"> </w:t>
      </w:r>
      <w:r w:rsidR="00363BBB">
        <w:rPr>
          <w:i/>
          <w:iCs/>
          <w:sz w:val="16"/>
          <w:szCs w:val="20"/>
        </w:rPr>
        <w:t>Peoples</w:t>
      </w:r>
      <w:r w:rsidRPr="003250F9">
        <w:rPr>
          <w:i/>
          <w:iCs/>
          <w:sz w:val="16"/>
          <w:szCs w:val="20"/>
        </w:rPr>
        <w:t xml:space="preserve"> Gas Program Savings data and COBRA model</w:t>
      </w:r>
      <w:r>
        <w:rPr>
          <w:i/>
          <w:iCs/>
          <w:sz w:val="16"/>
          <w:szCs w:val="20"/>
        </w:rPr>
        <w:t>. Values shown for CY2019 lifetime net therms may have minor rounding differences for some measures compared with end of year summary reports, related to partial year measure lives.</w:t>
      </w:r>
    </w:p>
    <w:p w14:paraId="0D44627B" w14:textId="77777777" w:rsidR="00D708F0" w:rsidRDefault="00D708F0" w:rsidP="00D708F0">
      <w:pPr>
        <w:ind w:left="720"/>
        <w:rPr>
          <w:i/>
          <w:iCs/>
          <w:szCs w:val="22"/>
        </w:rPr>
      </w:pPr>
    </w:p>
    <w:p w14:paraId="39459D42" w14:textId="170C5564" w:rsidR="00424B11" w:rsidRDefault="00D708F0" w:rsidP="00304BF4">
      <w:pPr>
        <w:rPr>
          <w:rFonts w:eastAsiaTheme="minorHAnsi" w:cstheme="minorBidi"/>
          <w:color w:val="auto"/>
          <w:sz w:val="20"/>
          <w:szCs w:val="22"/>
        </w:rPr>
      </w:pPr>
      <w:r>
        <w:rPr>
          <w:rFonts w:eastAsiaTheme="minorHAnsi" w:cstheme="minorBidi"/>
          <w:color w:val="auto"/>
          <w:sz w:val="20"/>
          <w:szCs w:val="22"/>
        </w:rPr>
        <w:t>Please note that the dollar per therm benefits</w:t>
      </w:r>
      <w:r w:rsidR="00923113">
        <w:rPr>
          <w:rFonts w:eastAsiaTheme="minorHAnsi" w:cstheme="minorBidi"/>
          <w:color w:val="auto"/>
          <w:sz w:val="20"/>
          <w:szCs w:val="22"/>
        </w:rPr>
        <w:t xml:space="preserve"> shown </w:t>
      </w:r>
      <w:r w:rsidR="00923113" w:rsidRPr="00923113">
        <w:rPr>
          <w:rFonts w:eastAsiaTheme="minorHAnsi" w:cstheme="minorBidi"/>
          <w:color w:val="auto"/>
          <w:sz w:val="20"/>
          <w:szCs w:val="22"/>
        </w:rPr>
        <w:t xml:space="preserve">in </w:t>
      </w:r>
      <w:r w:rsidR="00923113" w:rsidRPr="000D61D6">
        <w:rPr>
          <w:rFonts w:eastAsiaTheme="minorHAnsi" w:cstheme="minorBidi"/>
          <w:color w:val="auto"/>
          <w:sz w:val="20"/>
          <w:szCs w:val="22"/>
        </w:rPr>
        <w:fldChar w:fldCharType="begin"/>
      </w:r>
      <w:r w:rsidR="00923113" w:rsidRPr="00923113">
        <w:rPr>
          <w:rFonts w:eastAsiaTheme="minorHAnsi" w:cstheme="minorBidi"/>
          <w:color w:val="auto"/>
          <w:sz w:val="20"/>
          <w:szCs w:val="22"/>
        </w:rPr>
        <w:instrText xml:space="preserve"> REF _Ref51941248 \h </w:instrText>
      </w:r>
      <w:r w:rsidR="00923113" w:rsidRPr="00304BF4">
        <w:rPr>
          <w:rFonts w:eastAsiaTheme="minorHAnsi" w:cstheme="minorBidi"/>
          <w:color w:val="auto"/>
          <w:sz w:val="20"/>
          <w:szCs w:val="22"/>
        </w:rPr>
        <w:instrText xml:space="preserve"> \* MERGEFORMAT </w:instrText>
      </w:r>
      <w:r w:rsidR="00923113" w:rsidRPr="000D61D6">
        <w:rPr>
          <w:rFonts w:eastAsiaTheme="minorHAnsi" w:cstheme="minorBidi"/>
          <w:color w:val="auto"/>
          <w:sz w:val="20"/>
          <w:szCs w:val="22"/>
        </w:rPr>
      </w:r>
      <w:r w:rsidR="00923113" w:rsidRPr="000D61D6">
        <w:rPr>
          <w:rFonts w:eastAsiaTheme="minorHAnsi" w:cstheme="minorBidi"/>
          <w:color w:val="auto"/>
          <w:sz w:val="20"/>
          <w:szCs w:val="22"/>
        </w:rPr>
        <w:fldChar w:fldCharType="separate"/>
      </w:r>
      <w:r w:rsidR="00923113" w:rsidRPr="00304BF4">
        <w:rPr>
          <w:rFonts w:eastAsiaTheme="minorHAnsi" w:cstheme="minorBidi"/>
          <w:color w:val="auto"/>
          <w:sz w:val="20"/>
          <w:szCs w:val="20"/>
        </w:rPr>
        <w:t xml:space="preserve">Table </w:t>
      </w:r>
      <w:r w:rsidR="00923113" w:rsidRPr="00304BF4">
        <w:rPr>
          <w:rFonts w:eastAsiaTheme="minorHAnsi" w:cstheme="minorBidi"/>
          <w:noProof/>
          <w:color w:val="auto"/>
          <w:sz w:val="20"/>
          <w:szCs w:val="20"/>
        </w:rPr>
        <w:t>5</w:t>
      </w:r>
      <w:r w:rsidR="00923113" w:rsidRPr="000D61D6">
        <w:rPr>
          <w:rFonts w:eastAsiaTheme="minorHAnsi" w:cstheme="minorBidi"/>
          <w:color w:val="auto"/>
          <w:sz w:val="20"/>
          <w:szCs w:val="22"/>
        </w:rPr>
        <w:fldChar w:fldCharType="end"/>
      </w:r>
      <w:r w:rsidRPr="00923113">
        <w:rPr>
          <w:rFonts w:eastAsiaTheme="minorHAnsi" w:cstheme="minorBidi"/>
          <w:color w:val="auto"/>
          <w:sz w:val="20"/>
          <w:szCs w:val="22"/>
        </w:rPr>
        <w:t xml:space="preserve"> </w:t>
      </w:r>
      <w:r>
        <w:rPr>
          <w:rFonts w:eastAsiaTheme="minorHAnsi" w:cstheme="minorBidi"/>
          <w:color w:val="auto"/>
          <w:sz w:val="20"/>
          <w:szCs w:val="22"/>
        </w:rPr>
        <w:t>should only be applied to the</w:t>
      </w:r>
      <w:r w:rsidR="00923113">
        <w:rPr>
          <w:rFonts w:eastAsiaTheme="minorHAnsi" w:cstheme="minorBidi"/>
          <w:color w:val="auto"/>
          <w:sz w:val="20"/>
          <w:szCs w:val="22"/>
        </w:rPr>
        <w:t xml:space="preserve"> lifetime</w:t>
      </w:r>
      <w:r>
        <w:rPr>
          <w:rFonts w:eastAsiaTheme="minorHAnsi" w:cstheme="minorBidi"/>
          <w:color w:val="auto"/>
          <w:sz w:val="20"/>
          <w:szCs w:val="22"/>
        </w:rPr>
        <w:t xml:space="preserve"> therms saved from a given implementation year. For example, if a measure was installed in CY2022 and has not reached its end of useful life by</w:t>
      </w:r>
      <w:r w:rsidR="00100B4E">
        <w:rPr>
          <w:rFonts w:eastAsiaTheme="minorHAnsi" w:cstheme="minorBidi"/>
          <w:color w:val="auto"/>
          <w:sz w:val="20"/>
          <w:szCs w:val="22"/>
        </w:rPr>
        <w:t xml:space="preserve"> </w:t>
      </w:r>
      <w:r>
        <w:rPr>
          <w:rFonts w:eastAsiaTheme="minorHAnsi" w:cstheme="minorBidi"/>
          <w:color w:val="auto"/>
          <w:sz w:val="20"/>
          <w:szCs w:val="22"/>
        </w:rPr>
        <w:t xml:space="preserve">2025, the therms saved from that measure in 2025 should not be incorporated in the CY2025 cost-effectiveness tests. This recommended application of dollars per therm benefits would avoid double-counting benefits year after year. </w:t>
      </w:r>
    </w:p>
    <w:p w14:paraId="4F34AAA7" w14:textId="77777777" w:rsidR="00B96858" w:rsidRPr="00F85D69" w:rsidRDefault="00B96858" w:rsidP="00304BF4">
      <w:pPr>
        <w:rPr>
          <w:i/>
          <w:iCs/>
          <w:szCs w:val="22"/>
        </w:rPr>
      </w:pPr>
    </w:p>
    <w:p w14:paraId="70902C0B" w14:textId="012F4A2E" w:rsidR="00702671" w:rsidRDefault="00702671" w:rsidP="00702671">
      <w:pPr>
        <w:keepNext/>
        <w:spacing w:before="360" w:after="240" w:line="240" w:lineRule="auto"/>
        <w:contextualSpacing/>
        <w:outlineLvl w:val="1"/>
        <w:rPr>
          <w:rFonts w:eastAsia="Arial" w:cs="Arial"/>
          <w:b/>
          <w:bCs/>
          <w:iCs/>
          <w:color w:val="0093C9"/>
          <w:sz w:val="26"/>
          <w:szCs w:val="28"/>
        </w:rPr>
      </w:pPr>
      <w:r>
        <w:rPr>
          <w:rFonts w:eastAsia="Arial" w:cs="Arial"/>
          <w:b/>
          <w:bCs/>
          <w:iCs/>
          <w:color w:val="0093C9"/>
          <w:sz w:val="26"/>
          <w:szCs w:val="28"/>
        </w:rPr>
        <w:t xml:space="preserve">Sources of Values for Participant </w:t>
      </w:r>
      <w:r w:rsidRPr="00062AAB">
        <w:rPr>
          <w:rFonts w:eastAsia="Arial" w:cs="Arial"/>
          <w:b/>
          <w:bCs/>
          <w:iCs/>
          <w:color w:val="0093C9"/>
          <w:sz w:val="26"/>
          <w:szCs w:val="28"/>
        </w:rPr>
        <w:t>NEIs</w:t>
      </w:r>
    </w:p>
    <w:p w14:paraId="4CCA5B4A" w14:textId="77777777" w:rsidR="00AD318A" w:rsidRDefault="00AD318A">
      <w:pPr>
        <w:spacing w:line="240" w:lineRule="auto"/>
        <w:rPr>
          <w:rFonts w:eastAsia="Arial" w:cs="Arial"/>
          <w:sz w:val="20"/>
          <w:szCs w:val="20"/>
        </w:rPr>
      </w:pPr>
    </w:p>
    <w:p w14:paraId="0C3A0E0A" w14:textId="38A3DAEF" w:rsidR="00772C28" w:rsidRDefault="00702671" w:rsidP="2D616FFF">
      <w:pPr>
        <w:spacing w:line="240" w:lineRule="auto"/>
        <w:rPr>
          <w:rFonts w:eastAsia="Arial" w:cs="Arial"/>
          <w:b/>
          <w:bCs/>
          <w:color w:val="0093C9"/>
          <w:sz w:val="26"/>
          <w:szCs w:val="26"/>
        </w:rPr>
      </w:pPr>
      <w:r w:rsidRPr="2D616FFF">
        <w:rPr>
          <w:rFonts w:eastAsia="Arial" w:cs="Arial"/>
          <w:sz w:val="20"/>
          <w:szCs w:val="20"/>
        </w:rPr>
        <w:t xml:space="preserve">Guidehouse </w:t>
      </w:r>
      <w:r w:rsidR="004C4979" w:rsidRPr="2D616FFF">
        <w:rPr>
          <w:rFonts w:eastAsia="Arial" w:cs="Arial"/>
          <w:sz w:val="20"/>
          <w:szCs w:val="20"/>
        </w:rPr>
        <w:t>used studies from Massachusetts</w:t>
      </w:r>
      <w:r w:rsidR="004A2B7F">
        <w:rPr>
          <w:rFonts w:eastAsia="Arial" w:cs="Arial"/>
          <w:sz w:val="20"/>
          <w:szCs w:val="20"/>
        </w:rPr>
        <w:t xml:space="preserve"> </w:t>
      </w:r>
      <w:r w:rsidR="004C4979" w:rsidRPr="2D616FFF">
        <w:rPr>
          <w:rFonts w:eastAsia="Arial" w:cs="Arial"/>
          <w:sz w:val="20"/>
          <w:szCs w:val="20"/>
        </w:rPr>
        <w:t xml:space="preserve">to produce </w:t>
      </w:r>
      <w:r w:rsidR="00B625C7" w:rsidRPr="2D616FFF">
        <w:rPr>
          <w:rFonts w:eastAsia="Arial" w:cs="Arial"/>
          <w:sz w:val="20"/>
          <w:szCs w:val="20"/>
        </w:rPr>
        <w:t xml:space="preserve">recommended values for </w:t>
      </w:r>
      <w:r w:rsidR="00363BBB">
        <w:rPr>
          <w:rFonts w:eastAsia="Arial" w:cs="Arial"/>
          <w:sz w:val="20"/>
          <w:szCs w:val="20"/>
        </w:rPr>
        <w:t>Peoples</w:t>
      </w:r>
      <w:r w:rsidR="00A256F9">
        <w:rPr>
          <w:rFonts w:eastAsia="Arial" w:cs="Arial"/>
          <w:sz w:val="20"/>
          <w:szCs w:val="20"/>
        </w:rPr>
        <w:t xml:space="preserve"> Gas’ </w:t>
      </w:r>
      <w:r w:rsidR="00B625C7" w:rsidRPr="2D616FFF">
        <w:rPr>
          <w:rFonts w:eastAsia="Arial" w:cs="Arial"/>
          <w:sz w:val="20"/>
          <w:szCs w:val="20"/>
        </w:rPr>
        <w:t>participant NEIs</w:t>
      </w:r>
      <w:r w:rsidRPr="2D616FFF">
        <w:rPr>
          <w:rFonts w:eastAsia="Arial" w:cs="Arial"/>
          <w:sz w:val="20"/>
          <w:szCs w:val="20"/>
        </w:rPr>
        <w:t>.</w:t>
      </w:r>
      <w:r w:rsidR="00B625C7" w:rsidRPr="2D616FFF">
        <w:rPr>
          <w:rFonts w:eastAsia="Arial" w:cs="Arial"/>
          <w:sz w:val="20"/>
          <w:szCs w:val="20"/>
        </w:rPr>
        <w:t xml:space="preserve"> The table below </w:t>
      </w:r>
      <w:r w:rsidR="0027575A" w:rsidRPr="2D616FFF">
        <w:rPr>
          <w:rFonts w:eastAsia="Arial" w:cs="Arial"/>
          <w:sz w:val="20"/>
          <w:szCs w:val="20"/>
        </w:rPr>
        <w:t xml:space="preserve">lists </w:t>
      </w:r>
      <w:r w:rsidR="00B625C7" w:rsidRPr="2D616FFF">
        <w:rPr>
          <w:rFonts w:eastAsia="Arial" w:cs="Arial"/>
          <w:sz w:val="20"/>
          <w:szCs w:val="20"/>
        </w:rPr>
        <w:t xml:space="preserve">the </w:t>
      </w:r>
      <w:r w:rsidR="00EE63C2" w:rsidRPr="2D616FFF">
        <w:rPr>
          <w:rFonts w:eastAsia="Arial" w:cs="Arial"/>
          <w:sz w:val="20"/>
          <w:szCs w:val="20"/>
        </w:rPr>
        <w:t>NEI types</w:t>
      </w:r>
      <w:r w:rsidR="00B625C7" w:rsidRPr="2D616FFF">
        <w:rPr>
          <w:rFonts w:eastAsia="Arial" w:cs="Arial"/>
          <w:sz w:val="20"/>
          <w:szCs w:val="20"/>
        </w:rPr>
        <w:t xml:space="preserve"> and the source</w:t>
      </w:r>
      <w:r w:rsidR="0027575A" w:rsidRPr="2D616FFF">
        <w:rPr>
          <w:rFonts w:eastAsia="Arial" w:cs="Arial"/>
          <w:sz w:val="20"/>
          <w:szCs w:val="20"/>
        </w:rPr>
        <w:t>s</w:t>
      </w:r>
      <w:r w:rsidR="00B625C7" w:rsidRPr="2D616FFF">
        <w:rPr>
          <w:rFonts w:eastAsia="Arial" w:cs="Arial"/>
          <w:sz w:val="20"/>
          <w:szCs w:val="20"/>
        </w:rPr>
        <w:t xml:space="preserve"> we used to produce</w:t>
      </w:r>
      <w:r w:rsidR="00C57E46" w:rsidRPr="2D616FFF">
        <w:rPr>
          <w:rFonts w:eastAsia="Arial" w:cs="Arial"/>
          <w:sz w:val="20"/>
          <w:szCs w:val="20"/>
        </w:rPr>
        <w:t xml:space="preserve"> </w:t>
      </w:r>
      <w:r w:rsidR="0027575A" w:rsidRPr="2D616FFF">
        <w:rPr>
          <w:rFonts w:eastAsia="Arial" w:cs="Arial"/>
          <w:sz w:val="20"/>
          <w:szCs w:val="20"/>
        </w:rPr>
        <w:t xml:space="preserve">recommendations for </w:t>
      </w:r>
      <w:r w:rsidR="00363BBB">
        <w:rPr>
          <w:rFonts w:eastAsia="Arial" w:cs="Arial"/>
          <w:sz w:val="20"/>
          <w:szCs w:val="20"/>
        </w:rPr>
        <w:t>Peoples</w:t>
      </w:r>
      <w:r w:rsidR="0027575A" w:rsidRPr="2D616FFF">
        <w:rPr>
          <w:rFonts w:eastAsia="Arial" w:cs="Arial"/>
          <w:sz w:val="20"/>
          <w:szCs w:val="20"/>
        </w:rPr>
        <w:t xml:space="preserve"> Gas’ NEI values.</w:t>
      </w:r>
      <w:r w:rsidRPr="2D616FFF">
        <w:rPr>
          <w:rFonts w:eastAsia="Arial" w:cs="Arial"/>
          <w:sz w:val="20"/>
          <w:szCs w:val="20"/>
        </w:rPr>
        <w:t xml:space="preserve"> </w:t>
      </w:r>
    </w:p>
    <w:p w14:paraId="003B2F9E" w14:textId="3D288CFD" w:rsidR="00AD318A" w:rsidRPr="0054298B" w:rsidRDefault="00AD318A" w:rsidP="00AD318A">
      <w:pPr>
        <w:spacing w:line="240" w:lineRule="auto"/>
        <w:rPr>
          <w:rFonts w:eastAsia="Arial" w:cs="Arial"/>
          <w:b/>
          <w:bCs/>
          <w:iCs/>
          <w:color w:val="0093C9"/>
          <w:sz w:val="20"/>
          <w:szCs w:val="20"/>
        </w:rPr>
      </w:pPr>
    </w:p>
    <w:p w14:paraId="6C4E6AF9" w14:textId="03F77E27" w:rsidR="0054298B" w:rsidRPr="004B068E" w:rsidRDefault="0054298B" w:rsidP="0054298B">
      <w:pPr>
        <w:pStyle w:val="Caption"/>
        <w:keepNext/>
        <w:keepLines/>
        <w:spacing w:after="120"/>
        <w:jc w:val="center"/>
        <w:rPr>
          <w:rFonts w:eastAsiaTheme="minorHAnsi" w:cstheme="minorBidi"/>
          <w:b/>
          <w:bCs/>
          <w:i w:val="0"/>
          <w:iCs w:val="0"/>
          <w:color w:val="93D500" w:themeColor="accent1"/>
          <w:sz w:val="20"/>
          <w:szCs w:val="20"/>
        </w:rPr>
      </w:pPr>
      <w:r w:rsidRPr="004B068E">
        <w:rPr>
          <w:rFonts w:eastAsiaTheme="minorHAnsi" w:cstheme="minorBidi"/>
          <w:b/>
          <w:bCs/>
          <w:i w:val="0"/>
          <w:iCs w:val="0"/>
          <w:color w:val="93D500" w:themeColor="accent1"/>
          <w:sz w:val="20"/>
          <w:szCs w:val="20"/>
        </w:rPr>
        <w:lastRenderedPageBreak/>
        <w:t xml:space="preserve">Table </w:t>
      </w:r>
      <w:r>
        <w:rPr>
          <w:rFonts w:eastAsiaTheme="minorHAnsi" w:cstheme="minorBidi"/>
          <w:b/>
          <w:bCs/>
          <w:i w:val="0"/>
          <w:iCs w:val="0"/>
          <w:color w:val="93D500" w:themeColor="accent1"/>
          <w:sz w:val="20"/>
          <w:szCs w:val="20"/>
        </w:rPr>
        <w:fldChar w:fldCharType="begin"/>
      </w:r>
      <w:r>
        <w:rPr>
          <w:rFonts w:eastAsiaTheme="minorHAnsi" w:cstheme="minorBidi"/>
          <w:b/>
          <w:bCs/>
          <w:i w:val="0"/>
          <w:iCs w:val="0"/>
          <w:color w:val="93D500" w:themeColor="accent1"/>
          <w:sz w:val="20"/>
          <w:szCs w:val="20"/>
        </w:rPr>
        <w:instrText xml:space="preserve"> SEQ Table \* ARABIC </w:instrText>
      </w:r>
      <w:r>
        <w:rPr>
          <w:rFonts w:eastAsiaTheme="minorHAnsi" w:cstheme="minorBidi"/>
          <w:b/>
          <w:bCs/>
          <w:i w:val="0"/>
          <w:iCs w:val="0"/>
          <w:color w:val="93D500" w:themeColor="accent1"/>
          <w:sz w:val="20"/>
          <w:szCs w:val="20"/>
        </w:rPr>
        <w:fldChar w:fldCharType="separate"/>
      </w:r>
      <w:r w:rsidR="004878CE">
        <w:rPr>
          <w:rFonts w:eastAsiaTheme="minorHAnsi" w:cstheme="minorBidi"/>
          <w:b/>
          <w:bCs/>
          <w:i w:val="0"/>
          <w:iCs w:val="0"/>
          <w:noProof/>
          <w:color w:val="93D500" w:themeColor="accent1"/>
          <w:sz w:val="20"/>
          <w:szCs w:val="20"/>
        </w:rPr>
        <w:t>5</w:t>
      </w:r>
      <w:r>
        <w:rPr>
          <w:rFonts w:eastAsiaTheme="minorHAnsi" w:cstheme="minorBidi"/>
          <w:b/>
          <w:bCs/>
          <w:i w:val="0"/>
          <w:iCs w:val="0"/>
          <w:color w:val="93D500" w:themeColor="accent1"/>
          <w:sz w:val="20"/>
          <w:szCs w:val="20"/>
        </w:rPr>
        <w:fldChar w:fldCharType="end"/>
      </w:r>
      <w:r w:rsidRPr="004B068E">
        <w:rPr>
          <w:rFonts w:eastAsiaTheme="minorHAnsi" w:cstheme="minorBidi"/>
          <w:b/>
          <w:bCs/>
          <w:i w:val="0"/>
          <w:iCs w:val="0"/>
          <w:color w:val="93D500" w:themeColor="accent1"/>
          <w:sz w:val="20"/>
          <w:szCs w:val="20"/>
        </w:rPr>
        <w:t xml:space="preserve">. </w:t>
      </w:r>
      <w:r>
        <w:rPr>
          <w:rFonts w:eastAsiaTheme="minorHAnsi" w:cstheme="minorBidi"/>
          <w:b/>
          <w:bCs/>
          <w:i w:val="0"/>
          <w:iCs w:val="0"/>
          <w:color w:val="93D500" w:themeColor="accent1"/>
          <w:sz w:val="20"/>
          <w:szCs w:val="20"/>
        </w:rPr>
        <w:t>NEI Types and Sources</w:t>
      </w:r>
    </w:p>
    <w:tbl>
      <w:tblPr>
        <w:tblStyle w:val="EnergyTable"/>
        <w:tblW w:w="9162" w:type="dxa"/>
        <w:tblLook w:val="04A0" w:firstRow="1" w:lastRow="0" w:firstColumn="1" w:lastColumn="0" w:noHBand="0" w:noVBand="1"/>
      </w:tblPr>
      <w:tblGrid>
        <w:gridCol w:w="1337"/>
        <w:gridCol w:w="2249"/>
        <w:gridCol w:w="3074"/>
        <w:gridCol w:w="2502"/>
      </w:tblGrid>
      <w:tr w:rsidR="00217D27" w:rsidRPr="00C731D9" w14:paraId="259F4B49" w14:textId="48C3E957" w:rsidTr="00E01A0C">
        <w:trPr>
          <w:cnfStyle w:val="100000000000" w:firstRow="1" w:lastRow="0" w:firstColumn="0" w:lastColumn="0" w:oddVBand="0" w:evenVBand="0" w:oddHBand="0"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337" w:type="dxa"/>
          </w:tcPr>
          <w:p w14:paraId="1717B2CB" w14:textId="5B9E1786" w:rsidR="00EF46F7" w:rsidRPr="00C731D9" w:rsidRDefault="00EF46F7" w:rsidP="0054298B">
            <w:pPr>
              <w:keepNext/>
              <w:keepLines/>
              <w:jc w:val="left"/>
              <w:rPr>
                <w:rFonts w:ascii="Arial Narrow" w:hAnsi="Arial Narrow" w:cs="Arial"/>
                <w:color w:val="FFFFFF" w:themeColor="background2"/>
                <w:szCs w:val="20"/>
              </w:rPr>
            </w:pPr>
            <w:r>
              <w:rPr>
                <w:rFonts w:ascii="Arial Narrow" w:hAnsi="Arial Narrow" w:cs="Arial"/>
                <w:color w:val="FFFFFF" w:themeColor="background2"/>
                <w:szCs w:val="20"/>
              </w:rPr>
              <w:t>NEI Type</w:t>
            </w:r>
          </w:p>
        </w:tc>
        <w:tc>
          <w:tcPr>
            <w:tcW w:w="2249" w:type="dxa"/>
          </w:tcPr>
          <w:p w14:paraId="0332D746" w14:textId="1DF8C9B0" w:rsidR="00EF46F7" w:rsidRPr="00C731D9" w:rsidRDefault="00EE63C2" w:rsidP="0054298B">
            <w:pPr>
              <w:keepNext/>
              <w:keepLines/>
              <w:jc w:val="left"/>
              <w:cnfStyle w:val="100000000000" w:firstRow="1" w:lastRow="0" w:firstColumn="0" w:lastColumn="0" w:oddVBand="0" w:evenVBand="0" w:oddHBand="0" w:evenHBand="0" w:firstRowFirstColumn="0" w:firstRowLastColumn="0" w:lastRowFirstColumn="0" w:lastRowLastColumn="0"/>
              <w:rPr>
                <w:rFonts w:ascii="Arial Narrow" w:hAnsi="Arial Narrow" w:cs="Arial"/>
                <w:color w:val="FFFFFF" w:themeColor="background2"/>
                <w:szCs w:val="20"/>
              </w:rPr>
            </w:pPr>
            <w:r>
              <w:rPr>
                <w:rFonts w:ascii="Arial Narrow" w:hAnsi="Arial Narrow" w:cs="Arial"/>
                <w:color w:val="FFFFFF" w:themeColor="background2"/>
                <w:szCs w:val="20"/>
              </w:rPr>
              <w:t>State</w:t>
            </w:r>
          </w:p>
        </w:tc>
        <w:tc>
          <w:tcPr>
            <w:tcW w:w="3074" w:type="dxa"/>
          </w:tcPr>
          <w:p w14:paraId="50795921" w14:textId="5A544E19" w:rsidR="00EF46F7" w:rsidRPr="00EF46F7" w:rsidRDefault="00EF46F7" w:rsidP="0054298B">
            <w:pPr>
              <w:keepNext/>
              <w:keepLines/>
              <w:jc w:val="left"/>
              <w:cnfStyle w:val="100000000000" w:firstRow="1" w:lastRow="0" w:firstColumn="0" w:lastColumn="0" w:oddVBand="0" w:evenVBand="0" w:oddHBand="0" w:evenHBand="0" w:firstRowFirstColumn="0" w:firstRowLastColumn="0" w:lastRowFirstColumn="0" w:lastRowLastColumn="0"/>
              <w:rPr>
                <w:rFonts w:ascii="Arial Narrow" w:hAnsi="Arial Narrow" w:cs="Arial"/>
                <w:color w:val="FFFFFF" w:themeColor="background2"/>
                <w:szCs w:val="20"/>
              </w:rPr>
            </w:pPr>
            <w:r w:rsidRPr="00CD230F">
              <w:rPr>
                <w:rFonts w:ascii="Arial Narrow" w:hAnsi="Arial Narrow" w:cs="Arial"/>
                <w:color w:val="FFFFFF" w:themeColor="background2"/>
                <w:szCs w:val="20"/>
              </w:rPr>
              <w:t>Research Study</w:t>
            </w:r>
          </w:p>
        </w:tc>
        <w:tc>
          <w:tcPr>
            <w:tcW w:w="2502" w:type="dxa"/>
          </w:tcPr>
          <w:p w14:paraId="1EDB970F" w14:textId="7DCC0247" w:rsidR="00EF46F7" w:rsidRPr="00CD230F" w:rsidRDefault="00EF46F7" w:rsidP="0054298B">
            <w:pPr>
              <w:keepNext/>
              <w:keepLines/>
              <w:jc w:val="left"/>
              <w:cnfStyle w:val="100000000000" w:firstRow="1" w:lastRow="0" w:firstColumn="0" w:lastColumn="0" w:oddVBand="0" w:evenVBand="0" w:oddHBand="0" w:evenHBand="0" w:firstRowFirstColumn="0" w:firstRowLastColumn="0" w:lastRowFirstColumn="0" w:lastRowLastColumn="0"/>
              <w:rPr>
                <w:rFonts w:ascii="Arial Narrow" w:hAnsi="Arial Narrow" w:cs="Arial"/>
                <w:color w:val="FFFFFF" w:themeColor="background2"/>
                <w:szCs w:val="20"/>
              </w:rPr>
            </w:pPr>
            <w:r>
              <w:rPr>
                <w:rFonts w:ascii="Arial Narrow" w:hAnsi="Arial Narrow" w:cs="Arial"/>
                <w:color w:val="FFFFFF" w:themeColor="background2"/>
                <w:szCs w:val="20"/>
              </w:rPr>
              <w:t>Authors</w:t>
            </w:r>
          </w:p>
        </w:tc>
      </w:tr>
      <w:tr w:rsidR="00BB1B6B" w:rsidRPr="00C731D9" w14:paraId="6BCC520E" w14:textId="0FD892B3" w:rsidTr="00E01A0C">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1337" w:type="dxa"/>
            <w:noWrap/>
          </w:tcPr>
          <w:p w14:paraId="787D28BB" w14:textId="4265BF0C" w:rsidR="00EF46F7" w:rsidRPr="00C731D9" w:rsidRDefault="00EF46F7" w:rsidP="0054298B">
            <w:pPr>
              <w:keepNext/>
              <w:keepLines/>
              <w:jc w:val="left"/>
              <w:rPr>
                <w:rFonts w:ascii="Arial Narrow" w:hAnsi="Arial Narrow" w:cstheme="minorHAnsi"/>
                <w:szCs w:val="20"/>
              </w:rPr>
            </w:pPr>
            <w:r>
              <w:rPr>
                <w:rFonts w:ascii="Arial Narrow" w:hAnsi="Arial Narrow" w:cstheme="minorHAnsi"/>
                <w:szCs w:val="20"/>
              </w:rPr>
              <w:t>Participant</w:t>
            </w:r>
          </w:p>
        </w:tc>
        <w:tc>
          <w:tcPr>
            <w:tcW w:w="2249" w:type="dxa"/>
            <w:noWrap/>
          </w:tcPr>
          <w:p w14:paraId="74908DE9" w14:textId="1B59FFAE" w:rsidR="00EF46F7" w:rsidRPr="00C731D9" w:rsidRDefault="00EF46F7" w:rsidP="0054298B">
            <w:pPr>
              <w:keepNext/>
              <w:keepLines/>
              <w:ind w:right="336"/>
              <w:jc w:val="lef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Cs w:val="20"/>
              </w:rPr>
            </w:pPr>
            <w:r>
              <w:rPr>
                <w:rFonts w:ascii="Arial Narrow" w:hAnsi="Arial Narrow" w:cstheme="minorHAnsi"/>
                <w:szCs w:val="20"/>
              </w:rPr>
              <w:t>Ma</w:t>
            </w:r>
            <w:r w:rsidR="00EE63C2">
              <w:rPr>
                <w:rFonts w:ascii="Arial Narrow" w:hAnsi="Arial Narrow" w:cstheme="minorHAnsi"/>
                <w:szCs w:val="20"/>
              </w:rPr>
              <w:t>ssachusetts</w:t>
            </w:r>
          </w:p>
        </w:tc>
        <w:tc>
          <w:tcPr>
            <w:tcW w:w="3074" w:type="dxa"/>
            <w:noWrap/>
          </w:tcPr>
          <w:p w14:paraId="68A106C6" w14:textId="7179A9A1" w:rsidR="00EF46F7" w:rsidRPr="00E2585A" w:rsidRDefault="00EE63C2" w:rsidP="0054298B">
            <w:pPr>
              <w:keepNext/>
              <w:keepLines/>
              <w:ind w:right="219"/>
              <w:jc w:val="lef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Cs w:val="20"/>
              </w:rPr>
            </w:pPr>
            <w:r>
              <w:rPr>
                <w:rFonts w:ascii="Arial Narrow" w:hAnsi="Arial Narrow" w:cstheme="minorHAnsi"/>
                <w:szCs w:val="20"/>
              </w:rPr>
              <w:t>Massachusetts Special and Cross-Cutting Research Area: Low-Income Single-Family Health- and Safety-Related Non-Energy Impacts (NEIs) Study (2016)</w:t>
            </w:r>
          </w:p>
        </w:tc>
        <w:tc>
          <w:tcPr>
            <w:tcW w:w="2502" w:type="dxa"/>
          </w:tcPr>
          <w:p w14:paraId="0280893D" w14:textId="6CFA4B53" w:rsidR="00EF46F7" w:rsidRPr="00CD230F" w:rsidRDefault="00EE63C2" w:rsidP="0054298B">
            <w:pPr>
              <w:keepNext/>
              <w:keepLines/>
              <w:ind w:right="219"/>
              <w:jc w:val="lef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Cs w:val="20"/>
              </w:rPr>
            </w:pPr>
            <w:r>
              <w:rPr>
                <w:rFonts w:ascii="Arial Narrow" w:hAnsi="Arial Narrow" w:cstheme="minorHAnsi"/>
                <w:szCs w:val="20"/>
              </w:rPr>
              <w:t>Three</w:t>
            </w:r>
            <w:r>
              <w:rPr>
                <w:rFonts w:ascii="Arial Narrow" w:hAnsi="Arial Narrow" w:cstheme="minorHAnsi"/>
                <w:szCs w:val="20"/>
                <w:vertAlign w:val="superscript"/>
              </w:rPr>
              <w:t>3</w:t>
            </w:r>
            <w:r>
              <w:rPr>
                <w:rFonts w:ascii="Arial Narrow" w:hAnsi="Arial Narrow" w:cstheme="minorHAnsi"/>
                <w:szCs w:val="20"/>
              </w:rPr>
              <w:t xml:space="preserve"> Inc. and NMG Group, Inc. </w:t>
            </w:r>
          </w:p>
        </w:tc>
      </w:tr>
      <w:tr w:rsidR="00EF46F7" w:rsidRPr="00C731D9" w14:paraId="6F63AAF8" w14:textId="39FD8974" w:rsidTr="00E01A0C">
        <w:trPr>
          <w:cnfStyle w:val="000000010000" w:firstRow="0" w:lastRow="0" w:firstColumn="0" w:lastColumn="0" w:oddVBand="0" w:evenVBand="0" w:oddHBand="0" w:evenHBand="1"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1337" w:type="dxa"/>
            <w:noWrap/>
          </w:tcPr>
          <w:p w14:paraId="1874C6E5" w14:textId="2A4EDCC2" w:rsidR="00EF46F7" w:rsidRPr="00C731D9" w:rsidRDefault="00EF46F7" w:rsidP="0054298B">
            <w:pPr>
              <w:keepNext/>
              <w:keepLines/>
              <w:jc w:val="left"/>
              <w:rPr>
                <w:rFonts w:ascii="Arial Narrow" w:hAnsi="Arial Narrow" w:cstheme="minorHAnsi"/>
                <w:szCs w:val="20"/>
              </w:rPr>
            </w:pPr>
            <w:r>
              <w:rPr>
                <w:rFonts w:ascii="Arial Narrow" w:hAnsi="Arial Narrow" w:cstheme="minorHAnsi"/>
                <w:szCs w:val="20"/>
              </w:rPr>
              <w:t>Participant</w:t>
            </w:r>
          </w:p>
        </w:tc>
        <w:tc>
          <w:tcPr>
            <w:tcW w:w="2249" w:type="dxa"/>
            <w:noWrap/>
          </w:tcPr>
          <w:p w14:paraId="52FEF091" w14:textId="0B0669E4" w:rsidR="00EF46F7" w:rsidRPr="00C731D9" w:rsidRDefault="00EF46F7" w:rsidP="0054298B">
            <w:pPr>
              <w:keepNext/>
              <w:keepLines/>
              <w:ind w:right="336"/>
              <w:jc w:val="left"/>
              <w:cnfStyle w:val="000000010000" w:firstRow="0" w:lastRow="0" w:firstColumn="0" w:lastColumn="0" w:oddVBand="0" w:evenVBand="0" w:oddHBand="0" w:evenHBand="1" w:firstRowFirstColumn="0" w:firstRowLastColumn="0" w:lastRowFirstColumn="0" w:lastRowLastColumn="0"/>
              <w:rPr>
                <w:rFonts w:ascii="Arial Narrow" w:hAnsi="Arial Narrow" w:cstheme="minorHAnsi"/>
                <w:szCs w:val="20"/>
              </w:rPr>
            </w:pPr>
            <w:r>
              <w:rPr>
                <w:rFonts w:ascii="Arial Narrow" w:hAnsi="Arial Narrow" w:cstheme="minorHAnsi"/>
                <w:szCs w:val="20"/>
              </w:rPr>
              <w:t>Massachusetts</w:t>
            </w:r>
          </w:p>
        </w:tc>
        <w:tc>
          <w:tcPr>
            <w:tcW w:w="3074" w:type="dxa"/>
            <w:noWrap/>
          </w:tcPr>
          <w:p w14:paraId="195FDF6B" w14:textId="620C9A02" w:rsidR="00EF46F7" w:rsidRPr="00E2585A" w:rsidRDefault="00EE63C2" w:rsidP="0054298B">
            <w:pPr>
              <w:keepNext/>
              <w:keepLines/>
              <w:ind w:right="219"/>
              <w:jc w:val="left"/>
              <w:cnfStyle w:val="000000010000" w:firstRow="0" w:lastRow="0" w:firstColumn="0" w:lastColumn="0" w:oddVBand="0" w:evenVBand="0" w:oddHBand="0" w:evenHBand="1" w:firstRowFirstColumn="0" w:firstRowLastColumn="0" w:lastRowFirstColumn="0" w:lastRowLastColumn="0"/>
              <w:rPr>
                <w:rFonts w:ascii="Arial Narrow" w:hAnsi="Arial Narrow" w:cstheme="minorHAnsi"/>
                <w:szCs w:val="20"/>
              </w:rPr>
            </w:pPr>
            <w:r>
              <w:rPr>
                <w:rFonts w:ascii="Arial Narrow" w:hAnsi="Arial Narrow" w:cstheme="minorHAnsi"/>
                <w:szCs w:val="20"/>
              </w:rPr>
              <w:t>Low-Income Multifamily Health- and Safety-Related NEIs Study (TXC 50) Preliminary Findings Report (2018)</w:t>
            </w:r>
          </w:p>
        </w:tc>
        <w:tc>
          <w:tcPr>
            <w:tcW w:w="2502" w:type="dxa"/>
          </w:tcPr>
          <w:p w14:paraId="4E8F0C85" w14:textId="0FD66CF5" w:rsidR="00EF46F7" w:rsidRPr="00CD230F" w:rsidRDefault="00EE63C2" w:rsidP="0054298B">
            <w:pPr>
              <w:keepNext/>
              <w:keepLines/>
              <w:ind w:right="219"/>
              <w:jc w:val="left"/>
              <w:cnfStyle w:val="000000010000" w:firstRow="0" w:lastRow="0" w:firstColumn="0" w:lastColumn="0" w:oddVBand="0" w:evenVBand="0" w:oddHBand="0" w:evenHBand="1" w:firstRowFirstColumn="0" w:firstRowLastColumn="0" w:lastRowFirstColumn="0" w:lastRowLastColumn="0"/>
              <w:rPr>
                <w:rFonts w:ascii="Arial Narrow" w:hAnsi="Arial Narrow" w:cstheme="minorHAnsi"/>
                <w:szCs w:val="20"/>
              </w:rPr>
            </w:pPr>
            <w:r>
              <w:rPr>
                <w:rFonts w:ascii="Arial Narrow" w:hAnsi="Arial Narrow" w:cstheme="minorHAnsi"/>
                <w:szCs w:val="20"/>
              </w:rPr>
              <w:t>Three</w:t>
            </w:r>
            <w:r>
              <w:rPr>
                <w:rFonts w:ascii="Arial Narrow" w:hAnsi="Arial Narrow" w:cstheme="minorHAnsi"/>
                <w:szCs w:val="20"/>
                <w:vertAlign w:val="superscript"/>
              </w:rPr>
              <w:t>3</w:t>
            </w:r>
            <w:r>
              <w:rPr>
                <w:rFonts w:ascii="Arial Narrow" w:hAnsi="Arial Narrow" w:cstheme="minorHAnsi"/>
                <w:szCs w:val="20"/>
              </w:rPr>
              <w:t xml:space="preserve"> Inc. and NMG Group, Inc.</w:t>
            </w:r>
          </w:p>
        </w:tc>
      </w:tr>
    </w:tbl>
    <w:p w14:paraId="5703810A" w14:textId="3283B3E4" w:rsidR="00DD5440" w:rsidRDefault="0054298B" w:rsidP="00F5130F">
      <w:pPr>
        <w:keepNext/>
        <w:keepLines/>
        <w:spacing w:before="360" w:after="240" w:line="240" w:lineRule="auto"/>
        <w:contextualSpacing/>
        <w:outlineLvl w:val="1"/>
        <w:rPr>
          <w:i/>
          <w:iCs/>
          <w:color w:val="auto"/>
          <w:sz w:val="16"/>
          <w:szCs w:val="16"/>
        </w:rPr>
      </w:pPr>
      <w:r w:rsidRPr="0054298B">
        <w:rPr>
          <w:i/>
          <w:iCs/>
          <w:color w:val="auto"/>
          <w:sz w:val="16"/>
          <w:szCs w:val="16"/>
        </w:rPr>
        <w:t>Source: Guidehouse</w:t>
      </w:r>
    </w:p>
    <w:p w14:paraId="3003A72F" w14:textId="77777777" w:rsidR="00B96858" w:rsidRDefault="00B96858" w:rsidP="00F5130F">
      <w:pPr>
        <w:keepNext/>
        <w:keepLines/>
        <w:spacing w:before="360" w:after="240" w:line="240" w:lineRule="auto"/>
        <w:contextualSpacing/>
        <w:outlineLvl w:val="1"/>
        <w:rPr>
          <w:rFonts w:eastAsia="Arial" w:cs="Arial"/>
          <w:b/>
          <w:bCs/>
          <w:iCs/>
          <w:color w:val="0093C9"/>
          <w:sz w:val="26"/>
          <w:szCs w:val="28"/>
        </w:rPr>
      </w:pPr>
    </w:p>
    <w:p w14:paraId="6B905D2D" w14:textId="472AFB9D" w:rsidR="00165445" w:rsidRDefault="00165445" w:rsidP="00F5130F">
      <w:pPr>
        <w:keepNext/>
        <w:keepLines/>
        <w:spacing w:before="360" w:after="240" w:line="240" w:lineRule="auto"/>
        <w:contextualSpacing/>
        <w:outlineLvl w:val="1"/>
        <w:rPr>
          <w:rFonts w:eastAsia="Arial" w:cs="Arial"/>
          <w:b/>
          <w:bCs/>
          <w:iCs/>
          <w:color w:val="0093C9"/>
          <w:sz w:val="26"/>
          <w:szCs w:val="28"/>
        </w:rPr>
      </w:pPr>
      <w:r w:rsidRPr="00165445">
        <w:rPr>
          <w:rFonts w:eastAsia="Arial" w:cs="Arial"/>
          <w:b/>
          <w:bCs/>
          <w:iCs/>
          <w:color w:val="0093C9"/>
          <w:sz w:val="26"/>
          <w:szCs w:val="28"/>
        </w:rPr>
        <w:t>P</w:t>
      </w:r>
      <w:r w:rsidR="00A555D8">
        <w:rPr>
          <w:rFonts w:eastAsia="Arial" w:cs="Arial"/>
          <w:b/>
          <w:bCs/>
          <w:iCs/>
          <w:color w:val="0093C9"/>
          <w:sz w:val="26"/>
          <w:szCs w:val="28"/>
        </w:rPr>
        <w:t>articipant</w:t>
      </w:r>
      <w:r w:rsidRPr="00165445">
        <w:rPr>
          <w:rFonts w:eastAsia="Arial" w:cs="Arial"/>
          <w:b/>
          <w:bCs/>
          <w:iCs/>
          <w:color w:val="0093C9"/>
          <w:sz w:val="26"/>
          <w:szCs w:val="28"/>
        </w:rPr>
        <w:t xml:space="preserve"> NEIs</w:t>
      </w:r>
    </w:p>
    <w:p w14:paraId="3625AC6D" w14:textId="77777777" w:rsidR="00165445" w:rsidRDefault="00165445" w:rsidP="00F5130F">
      <w:pPr>
        <w:keepNext/>
        <w:keepLines/>
        <w:rPr>
          <w:rFonts w:cs="Arial"/>
          <w:sz w:val="20"/>
          <w:szCs w:val="20"/>
        </w:rPr>
      </w:pPr>
    </w:p>
    <w:p w14:paraId="09878A55" w14:textId="06B46617" w:rsidR="008F05EC" w:rsidRDefault="00165445" w:rsidP="00F5130F">
      <w:pPr>
        <w:keepNext/>
        <w:keepLines/>
        <w:rPr>
          <w:rFonts w:cs="Arial"/>
          <w:sz w:val="20"/>
          <w:szCs w:val="20"/>
        </w:rPr>
      </w:pPr>
      <w:r>
        <w:rPr>
          <w:rFonts w:cs="Arial"/>
          <w:sz w:val="20"/>
          <w:szCs w:val="20"/>
        </w:rPr>
        <w:t>P</w:t>
      </w:r>
      <w:r w:rsidRPr="00165445">
        <w:rPr>
          <w:rFonts w:cs="Arial"/>
          <w:sz w:val="20"/>
          <w:szCs w:val="20"/>
        </w:rPr>
        <w:t xml:space="preserve">articipant NEIs </w:t>
      </w:r>
      <w:r>
        <w:rPr>
          <w:rFonts w:cs="Arial"/>
          <w:sz w:val="20"/>
          <w:szCs w:val="20"/>
        </w:rPr>
        <w:t xml:space="preserve">quantify health and safety impacts of energy efficiency programs to participants and their household. These impacts </w:t>
      </w:r>
      <w:r w:rsidR="000E3B11">
        <w:rPr>
          <w:rFonts w:cs="Arial"/>
          <w:sz w:val="20"/>
          <w:szCs w:val="20"/>
        </w:rPr>
        <w:t>include</w:t>
      </w:r>
      <w:r w:rsidRPr="00165445">
        <w:rPr>
          <w:rFonts w:cs="Arial"/>
          <w:sz w:val="20"/>
          <w:szCs w:val="20"/>
        </w:rPr>
        <w:t xml:space="preserve"> reduced medical costs associated with reduced asthma symptoms and thermal stress</w:t>
      </w:r>
      <w:r w:rsidR="008C2201">
        <w:rPr>
          <w:rFonts w:cs="Arial"/>
          <w:sz w:val="20"/>
          <w:szCs w:val="20"/>
        </w:rPr>
        <w:t>,</w:t>
      </w:r>
      <w:r w:rsidRPr="00165445">
        <w:rPr>
          <w:rFonts w:cs="Arial"/>
          <w:sz w:val="20"/>
          <w:szCs w:val="20"/>
        </w:rPr>
        <w:t xml:space="preserve"> as well as reduced missed days of work. </w:t>
      </w:r>
    </w:p>
    <w:p w14:paraId="3AD86F28" w14:textId="77777777" w:rsidR="008F05EC" w:rsidRDefault="008F05EC" w:rsidP="00165445">
      <w:pPr>
        <w:rPr>
          <w:rFonts w:cs="Arial"/>
          <w:sz w:val="20"/>
          <w:szCs w:val="20"/>
        </w:rPr>
      </w:pPr>
    </w:p>
    <w:p w14:paraId="2C015EA0" w14:textId="4BB6789C" w:rsidR="00165445" w:rsidRDefault="008C2201" w:rsidP="00165445">
      <w:pPr>
        <w:rPr>
          <w:rFonts w:cs="Arial"/>
          <w:sz w:val="20"/>
          <w:szCs w:val="20"/>
        </w:rPr>
      </w:pPr>
      <w:r>
        <w:rPr>
          <w:rFonts w:cs="Arial"/>
          <w:sz w:val="20"/>
          <w:szCs w:val="20"/>
        </w:rPr>
        <w:t>In 2014, t</w:t>
      </w:r>
      <w:r w:rsidR="00165445" w:rsidRPr="00165445">
        <w:rPr>
          <w:rFonts w:cs="Arial"/>
          <w:sz w:val="20"/>
          <w:szCs w:val="20"/>
        </w:rPr>
        <w:t>he U.S. Department of Energy’s (DOE) conducted a national assessment of the participant NEIs associated with its Weatherization Assistance Program (WAP).</w:t>
      </w:r>
      <w:r w:rsidR="008F05EC">
        <w:rPr>
          <w:rFonts w:cs="Arial"/>
          <w:sz w:val="20"/>
          <w:szCs w:val="20"/>
        </w:rPr>
        <w:t xml:space="preserve"> </w:t>
      </w:r>
      <w:r w:rsidR="008F05EC" w:rsidRPr="008F05EC">
        <w:rPr>
          <w:rFonts w:cs="Arial"/>
          <w:sz w:val="20"/>
          <w:szCs w:val="20"/>
        </w:rPr>
        <w:t>The DOE WAP assessment included a comprehensive participant survey which participants completed before participation and one year following participation</w:t>
      </w:r>
      <w:r w:rsidR="003244A7">
        <w:rPr>
          <w:rFonts w:cs="Arial"/>
          <w:sz w:val="20"/>
          <w:szCs w:val="20"/>
        </w:rPr>
        <w:t>.</w:t>
      </w:r>
      <w:r w:rsidR="008F05EC" w:rsidRPr="008F05EC">
        <w:rPr>
          <w:rFonts w:cs="Arial"/>
          <w:sz w:val="20"/>
          <w:szCs w:val="20"/>
          <w:vertAlign w:val="superscript"/>
        </w:rPr>
        <w:footnoteReference w:id="15"/>
      </w:r>
      <w:r w:rsidR="00B35051">
        <w:rPr>
          <w:rFonts w:cs="Arial"/>
          <w:sz w:val="20"/>
          <w:szCs w:val="20"/>
        </w:rPr>
        <w:t xml:space="preserve"> </w:t>
      </w:r>
    </w:p>
    <w:p w14:paraId="2C07210A" w14:textId="00615D1C" w:rsidR="008F05EC" w:rsidRDefault="008F05EC" w:rsidP="00165445">
      <w:pPr>
        <w:rPr>
          <w:rFonts w:cs="Arial"/>
          <w:sz w:val="20"/>
          <w:szCs w:val="20"/>
        </w:rPr>
      </w:pPr>
    </w:p>
    <w:p w14:paraId="607D8F18" w14:textId="47DC4896" w:rsidR="00DD4A5F" w:rsidRPr="002B11B5" w:rsidRDefault="008F05EC" w:rsidP="002B11B5">
      <w:pPr>
        <w:spacing w:line="240" w:lineRule="auto"/>
        <w:rPr>
          <w:rFonts w:eastAsia="Arial" w:cs="Arial"/>
          <w:sz w:val="20"/>
          <w:szCs w:val="20"/>
        </w:rPr>
      </w:pPr>
      <w:r w:rsidRPr="008F05EC">
        <w:rPr>
          <w:rFonts w:cs="Arial"/>
          <w:sz w:val="20"/>
          <w:szCs w:val="20"/>
        </w:rPr>
        <w:t>Massachusetts</w:t>
      </w:r>
      <w:r w:rsidR="002B11B5">
        <w:rPr>
          <w:rFonts w:cs="Arial"/>
          <w:sz w:val="20"/>
          <w:szCs w:val="20"/>
        </w:rPr>
        <w:t xml:space="preserve"> </w:t>
      </w:r>
      <w:r w:rsidRPr="008F05EC">
        <w:rPr>
          <w:rFonts w:cs="Arial"/>
          <w:sz w:val="20"/>
          <w:szCs w:val="20"/>
        </w:rPr>
        <w:t>used the same methodology to conduct participant NEI studies which quantified and monetized values used in cost-effectiveness tests</w:t>
      </w:r>
      <w:r w:rsidR="00547B32">
        <w:rPr>
          <w:rFonts w:cs="Arial"/>
          <w:sz w:val="20"/>
          <w:szCs w:val="20"/>
        </w:rPr>
        <w:t>.</w:t>
      </w:r>
      <w:r w:rsidR="008A79A5" w:rsidRPr="008A79A5">
        <w:rPr>
          <w:rFonts w:cs="Arial"/>
          <w:sz w:val="20"/>
          <w:szCs w:val="20"/>
          <w:vertAlign w:val="superscript"/>
        </w:rPr>
        <w:fldChar w:fldCharType="begin"/>
      </w:r>
      <w:r w:rsidR="008A79A5" w:rsidRPr="008A79A5">
        <w:rPr>
          <w:rFonts w:cs="Arial"/>
          <w:sz w:val="20"/>
          <w:szCs w:val="20"/>
          <w:vertAlign w:val="superscript"/>
        </w:rPr>
        <w:instrText xml:space="preserve"> NOTEREF _Ref44919102 \f \h  \* MERGEFORMAT </w:instrText>
      </w:r>
      <w:r w:rsidR="008A79A5" w:rsidRPr="008A79A5">
        <w:rPr>
          <w:rFonts w:cs="Arial"/>
          <w:sz w:val="20"/>
          <w:szCs w:val="20"/>
          <w:vertAlign w:val="superscript"/>
        </w:rPr>
      </w:r>
      <w:r w:rsidR="008A79A5" w:rsidRPr="008A79A5">
        <w:rPr>
          <w:rFonts w:cs="Arial"/>
          <w:sz w:val="20"/>
          <w:szCs w:val="20"/>
          <w:vertAlign w:val="superscript"/>
        </w:rPr>
        <w:fldChar w:fldCharType="separate"/>
      </w:r>
      <w:r w:rsidR="008547B5" w:rsidRPr="00304BF4">
        <w:rPr>
          <w:rStyle w:val="FootnoteReference"/>
        </w:rPr>
        <w:t>22</w:t>
      </w:r>
      <w:r w:rsidR="008A79A5" w:rsidRPr="008A79A5">
        <w:rPr>
          <w:rFonts w:cs="Arial"/>
          <w:sz w:val="20"/>
          <w:szCs w:val="20"/>
          <w:vertAlign w:val="superscript"/>
        </w:rPr>
        <w:fldChar w:fldCharType="end"/>
      </w:r>
      <w:bookmarkStart w:id="10" w:name="_Ref44921634"/>
      <w:r w:rsidR="00547B32">
        <w:rPr>
          <w:rFonts w:cs="Arial"/>
          <w:sz w:val="20"/>
          <w:szCs w:val="20"/>
          <w:vertAlign w:val="superscript"/>
        </w:rPr>
        <w:t xml:space="preserve">, </w:t>
      </w:r>
      <w:bookmarkStart w:id="11" w:name="_Ref51830104"/>
      <w:r w:rsidR="000F6C15" w:rsidRPr="00304BF4">
        <w:rPr>
          <w:rFonts w:cs="Arial"/>
          <w:szCs w:val="18"/>
          <w:vertAlign w:val="superscript"/>
        </w:rPr>
        <w:fldChar w:fldCharType="begin"/>
      </w:r>
      <w:r w:rsidR="000F6C15" w:rsidRPr="00304BF4">
        <w:rPr>
          <w:rFonts w:cs="Arial"/>
          <w:szCs w:val="18"/>
          <w:vertAlign w:val="superscript"/>
        </w:rPr>
        <w:instrText xml:space="preserve"> NOTEREF _Ref51830104 \h </w:instrText>
      </w:r>
      <w:r w:rsidR="000F6C15">
        <w:rPr>
          <w:rFonts w:cs="Arial"/>
          <w:szCs w:val="18"/>
          <w:vertAlign w:val="superscript"/>
        </w:rPr>
        <w:instrText xml:space="preserve"> \* MERGEFORMAT </w:instrText>
      </w:r>
      <w:r w:rsidR="000F6C15" w:rsidRPr="00304BF4">
        <w:rPr>
          <w:rFonts w:cs="Arial"/>
          <w:szCs w:val="18"/>
          <w:vertAlign w:val="superscript"/>
        </w:rPr>
      </w:r>
      <w:r w:rsidR="000F6C15" w:rsidRPr="00304BF4">
        <w:rPr>
          <w:rFonts w:cs="Arial"/>
          <w:szCs w:val="18"/>
          <w:vertAlign w:val="superscript"/>
        </w:rPr>
        <w:fldChar w:fldCharType="separate"/>
      </w:r>
      <w:r w:rsidR="008547B5">
        <w:rPr>
          <w:rFonts w:cs="Arial"/>
          <w:szCs w:val="18"/>
          <w:vertAlign w:val="superscript"/>
        </w:rPr>
        <w:t>25</w:t>
      </w:r>
      <w:r w:rsidR="000F6C15" w:rsidRPr="00304BF4">
        <w:rPr>
          <w:rFonts w:cs="Arial"/>
          <w:szCs w:val="18"/>
          <w:vertAlign w:val="superscript"/>
        </w:rPr>
        <w:fldChar w:fldCharType="end"/>
      </w:r>
      <w:bookmarkEnd w:id="10"/>
      <w:bookmarkEnd w:id="11"/>
      <w:r w:rsidR="00887BE3" w:rsidRPr="00304BF4">
        <w:rPr>
          <w:rFonts w:cs="Arial"/>
          <w:szCs w:val="18"/>
        </w:rPr>
        <w:t xml:space="preserve"> </w:t>
      </w:r>
      <w:bookmarkStart w:id="12" w:name="_Hlk44923433"/>
      <w:r w:rsidR="002B11B5">
        <w:rPr>
          <w:rFonts w:eastAsia="Arial" w:cs="Arial"/>
          <w:sz w:val="20"/>
          <w:szCs w:val="20"/>
        </w:rPr>
        <w:t xml:space="preserve">The state performed studies in varying years and the reported values do not represent the current value of the dollar. </w:t>
      </w:r>
      <w:bookmarkEnd w:id="12"/>
    </w:p>
    <w:p w14:paraId="0AA268EC" w14:textId="77777777" w:rsidR="00DD4A5F" w:rsidRDefault="00DD4A5F" w:rsidP="00165445">
      <w:pPr>
        <w:rPr>
          <w:rFonts w:cs="Arial"/>
          <w:sz w:val="20"/>
          <w:szCs w:val="20"/>
        </w:rPr>
      </w:pPr>
    </w:p>
    <w:p w14:paraId="5F52C55C" w14:textId="5D92EA36" w:rsidR="00950FF6" w:rsidRDefault="00887BE3" w:rsidP="00165445">
      <w:pPr>
        <w:rPr>
          <w:rFonts w:cs="Arial"/>
          <w:sz w:val="20"/>
          <w:szCs w:val="20"/>
        </w:rPr>
      </w:pPr>
      <w:r>
        <w:rPr>
          <w:rFonts w:cs="Arial"/>
          <w:sz w:val="20"/>
          <w:szCs w:val="20"/>
        </w:rPr>
        <w:t xml:space="preserve">Guidehouse compiled the participant NEI values from these studies </w:t>
      </w:r>
      <w:r w:rsidR="00DD4A5F">
        <w:rPr>
          <w:rFonts w:cs="Arial"/>
          <w:sz w:val="20"/>
          <w:szCs w:val="20"/>
        </w:rPr>
        <w:t>to</w:t>
      </w:r>
      <w:r>
        <w:rPr>
          <w:rFonts w:cs="Arial"/>
          <w:sz w:val="20"/>
          <w:szCs w:val="20"/>
        </w:rPr>
        <w:t xml:space="preserve"> determine estimate</w:t>
      </w:r>
      <w:r w:rsidR="00044858">
        <w:rPr>
          <w:rFonts w:cs="Arial"/>
          <w:sz w:val="20"/>
          <w:szCs w:val="20"/>
        </w:rPr>
        <w:t>s</w:t>
      </w:r>
      <w:r>
        <w:rPr>
          <w:rFonts w:cs="Arial"/>
          <w:sz w:val="20"/>
          <w:szCs w:val="20"/>
        </w:rPr>
        <w:t xml:space="preserve"> in </w:t>
      </w:r>
      <w:r w:rsidR="00044858">
        <w:rPr>
          <w:rFonts w:cs="Arial"/>
          <w:sz w:val="20"/>
          <w:szCs w:val="20"/>
        </w:rPr>
        <w:t>2022 to 2025</w:t>
      </w:r>
      <w:r>
        <w:rPr>
          <w:rFonts w:cs="Arial"/>
          <w:sz w:val="20"/>
          <w:szCs w:val="20"/>
        </w:rPr>
        <w:t xml:space="preserve"> dollars, </w:t>
      </w:r>
      <w:r w:rsidR="002B11B5">
        <w:rPr>
          <w:rFonts w:cs="Arial"/>
          <w:sz w:val="20"/>
          <w:szCs w:val="20"/>
        </w:rPr>
        <w:t>shown</w:t>
      </w:r>
      <w:r>
        <w:rPr>
          <w:rFonts w:cs="Arial"/>
          <w:sz w:val="20"/>
          <w:szCs w:val="20"/>
        </w:rPr>
        <w:t xml:space="preserve"> in </w:t>
      </w:r>
      <w:r w:rsidRPr="00B35051">
        <w:rPr>
          <w:rFonts w:cs="Arial"/>
          <w:color w:val="auto"/>
          <w:sz w:val="20"/>
          <w:szCs w:val="20"/>
        </w:rPr>
        <w:fldChar w:fldCharType="begin"/>
      </w:r>
      <w:r w:rsidRPr="00B35051">
        <w:rPr>
          <w:rFonts w:cs="Arial"/>
          <w:color w:val="auto"/>
          <w:sz w:val="20"/>
          <w:szCs w:val="20"/>
        </w:rPr>
        <w:instrText xml:space="preserve"> REF _Ref44319944 \h  \* MERGEFORMAT </w:instrText>
      </w:r>
      <w:r w:rsidRPr="00B35051">
        <w:rPr>
          <w:rFonts w:cs="Arial"/>
          <w:color w:val="auto"/>
          <w:sz w:val="20"/>
          <w:szCs w:val="20"/>
        </w:rPr>
      </w:r>
      <w:r w:rsidRPr="00B35051">
        <w:rPr>
          <w:rFonts w:cs="Arial"/>
          <w:color w:val="auto"/>
          <w:sz w:val="20"/>
          <w:szCs w:val="20"/>
        </w:rPr>
        <w:fldChar w:fldCharType="separate"/>
      </w:r>
      <w:r w:rsidR="00DD5440" w:rsidRPr="00304BF4">
        <w:rPr>
          <w:rFonts w:eastAsiaTheme="minorHAnsi" w:cstheme="minorBidi"/>
          <w:color w:val="auto"/>
          <w:sz w:val="20"/>
          <w:szCs w:val="20"/>
        </w:rPr>
        <w:t>Table 6</w:t>
      </w:r>
      <w:r w:rsidRPr="00B35051">
        <w:rPr>
          <w:rFonts w:cs="Arial"/>
          <w:color w:val="auto"/>
          <w:sz w:val="20"/>
          <w:szCs w:val="20"/>
        </w:rPr>
        <w:fldChar w:fldCharType="end"/>
      </w:r>
      <w:r>
        <w:rPr>
          <w:rFonts w:cs="Arial"/>
          <w:sz w:val="20"/>
          <w:szCs w:val="20"/>
        </w:rPr>
        <w:t xml:space="preserve">. </w:t>
      </w:r>
      <w:r w:rsidR="000F6C15">
        <w:rPr>
          <w:rFonts w:cs="Arial"/>
          <w:sz w:val="20"/>
          <w:szCs w:val="20"/>
        </w:rPr>
        <w:t xml:space="preserve">Multifamily and single-family building types are shown separately in the below tables to reflect the differing measure mixes and resulting impacts on the participants in those households. </w:t>
      </w:r>
      <w:r w:rsidR="002B11B5">
        <w:rPr>
          <w:rFonts w:cs="Arial"/>
          <w:sz w:val="20"/>
          <w:szCs w:val="20"/>
        </w:rPr>
        <w:t xml:space="preserve">Appendix C provides the </w:t>
      </w:r>
      <w:r w:rsidR="003244A7">
        <w:rPr>
          <w:rFonts w:cs="Arial"/>
          <w:sz w:val="20"/>
          <w:szCs w:val="20"/>
        </w:rPr>
        <w:t xml:space="preserve">unadjusted </w:t>
      </w:r>
      <w:r w:rsidR="002B11B5">
        <w:rPr>
          <w:rFonts w:cs="Arial"/>
          <w:sz w:val="20"/>
          <w:szCs w:val="20"/>
        </w:rPr>
        <w:t>values from the state’s studies.</w:t>
      </w:r>
    </w:p>
    <w:p w14:paraId="4409E9B2" w14:textId="77777777" w:rsidR="00950FF6" w:rsidRDefault="00950FF6" w:rsidP="00165445">
      <w:pPr>
        <w:rPr>
          <w:rFonts w:cs="Arial"/>
          <w:sz w:val="20"/>
          <w:szCs w:val="20"/>
        </w:rPr>
      </w:pPr>
    </w:p>
    <w:p w14:paraId="02D3B547" w14:textId="036AC6B3" w:rsidR="00B35051" w:rsidRDefault="00B35051" w:rsidP="00B35051">
      <w:pPr>
        <w:pStyle w:val="Caption"/>
        <w:keepNext/>
        <w:spacing w:after="120"/>
        <w:jc w:val="center"/>
        <w:rPr>
          <w:rFonts w:eastAsiaTheme="minorHAnsi" w:cstheme="minorBidi"/>
          <w:b/>
          <w:bCs/>
          <w:i w:val="0"/>
          <w:iCs w:val="0"/>
          <w:color w:val="93D500" w:themeColor="accent1"/>
          <w:sz w:val="20"/>
          <w:szCs w:val="20"/>
        </w:rPr>
      </w:pPr>
      <w:bookmarkStart w:id="13" w:name="_Ref44319944"/>
      <w:r w:rsidRPr="00B35051">
        <w:rPr>
          <w:rFonts w:eastAsiaTheme="minorHAnsi" w:cstheme="minorBidi"/>
          <w:b/>
          <w:bCs/>
          <w:i w:val="0"/>
          <w:iCs w:val="0"/>
          <w:color w:val="93D500" w:themeColor="accent1"/>
          <w:sz w:val="20"/>
          <w:szCs w:val="20"/>
        </w:rPr>
        <w:t xml:space="preserve">Table </w:t>
      </w:r>
      <w:r w:rsidR="000E3B11">
        <w:rPr>
          <w:rFonts w:eastAsiaTheme="minorHAnsi" w:cstheme="minorBidi"/>
          <w:b/>
          <w:bCs/>
          <w:i w:val="0"/>
          <w:iCs w:val="0"/>
          <w:color w:val="93D500" w:themeColor="accent1"/>
          <w:sz w:val="20"/>
          <w:szCs w:val="20"/>
        </w:rPr>
        <w:fldChar w:fldCharType="begin"/>
      </w:r>
      <w:r w:rsidR="000E3B11">
        <w:rPr>
          <w:rFonts w:eastAsiaTheme="minorHAnsi" w:cstheme="minorBidi"/>
          <w:b/>
          <w:bCs/>
          <w:i w:val="0"/>
          <w:iCs w:val="0"/>
          <w:color w:val="93D500" w:themeColor="accent1"/>
          <w:sz w:val="20"/>
          <w:szCs w:val="20"/>
        </w:rPr>
        <w:instrText xml:space="preserve"> SEQ Table \* ARABIC </w:instrText>
      </w:r>
      <w:r w:rsidR="000E3B11">
        <w:rPr>
          <w:rFonts w:eastAsiaTheme="minorHAnsi" w:cstheme="minorBidi"/>
          <w:b/>
          <w:bCs/>
          <w:i w:val="0"/>
          <w:iCs w:val="0"/>
          <w:color w:val="93D500" w:themeColor="accent1"/>
          <w:sz w:val="20"/>
          <w:szCs w:val="20"/>
        </w:rPr>
        <w:fldChar w:fldCharType="separate"/>
      </w:r>
      <w:r w:rsidR="00DD5440">
        <w:rPr>
          <w:rFonts w:eastAsiaTheme="minorHAnsi" w:cstheme="minorBidi"/>
          <w:b/>
          <w:bCs/>
          <w:i w:val="0"/>
          <w:iCs w:val="0"/>
          <w:noProof/>
          <w:color w:val="93D500" w:themeColor="accent1"/>
          <w:sz w:val="20"/>
          <w:szCs w:val="20"/>
        </w:rPr>
        <w:t>6</w:t>
      </w:r>
      <w:r w:rsidR="000E3B11">
        <w:rPr>
          <w:rFonts w:eastAsiaTheme="minorHAnsi" w:cstheme="minorBidi"/>
          <w:b/>
          <w:bCs/>
          <w:i w:val="0"/>
          <w:iCs w:val="0"/>
          <w:color w:val="93D500" w:themeColor="accent1"/>
          <w:sz w:val="20"/>
          <w:szCs w:val="20"/>
        </w:rPr>
        <w:fldChar w:fldCharType="end"/>
      </w:r>
      <w:bookmarkEnd w:id="13"/>
      <w:r w:rsidRPr="00B35051">
        <w:rPr>
          <w:rFonts w:eastAsiaTheme="minorHAnsi" w:cstheme="minorBidi"/>
          <w:b/>
          <w:bCs/>
          <w:i w:val="0"/>
          <w:iCs w:val="0"/>
          <w:color w:val="93D500" w:themeColor="accent1"/>
          <w:sz w:val="20"/>
          <w:szCs w:val="20"/>
        </w:rPr>
        <w:t xml:space="preserve">. </w:t>
      </w:r>
      <w:r w:rsidR="000F6C15">
        <w:rPr>
          <w:rFonts w:eastAsiaTheme="minorHAnsi" w:cstheme="minorBidi"/>
          <w:b/>
          <w:bCs/>
          <w:i w:val="0"/>
          <w:iCs w:val="0"/>
          <w:color w:val="93D500" w:themeColor="accent1"/>
          <w:sz w:val="20"/>
          <w:szCs w:val="20"/>
        </w:rPr>
        <w:t xml:space="preserve">Multifamily </w:t>
      </w:r>
      <w:r w:rsidRPr="00B35051">
        <w:rPr>
          <w:rFonts w:eastAsiaTheme="minorHAnsi" w:cstheme="minorBidi"/>
          <w:b/>
          <w:bCs/>
          <w:i w:val="0"/>
          <w:iCs w:val="0"/>
          <w:color w:val="93D500" w:themeColor="accent1"/>
          <w:sz w:val="20"/>
          <w:szCs w:val="20"/>
        </w:rPr>
        <w:t>Monetized Participant NEI</w:t>
      </w:r>
      <w:r w:rsidR="00217D27">
        <w:rPr>
          <w:rFonts w:eastAsiaTheme="minorHAnsi" w:cstheme="minorBidi"/>
          <w:b/>
          <w:bCs/>
          <w:i w:val="0"/>
          <w:iCs w:val="0"/>
          <w:color w:val="93D500" w:themeColor="accent1"/>
          <w:sz w:val="20"/>
          <w:szCs w:val="20"/>
        </w:rPr>
        <w:t xml:space="preserve"> Proxys</w:t>
      </w:r>
      <w:r w:rsidRPr="00B35051">
        <w:rPr>
          <w:rFonts w:eastAsiaTheme="minorHAnsi" w:cstheme="minorBidi"/>
          <w:b/>
          <w:bCs/>
          <w:i w:val="0"/>
          <w:iCs w:val="0"/>
          <w:color w:val="93D500" w:themeColor="accent1"/>
          <w:sz w:val="20"/>
          <w:szCs w:val="20"/>
        </w:rPr>
        <w:t xml:space="preserve"> – Per</w:t>
      </w:r>
      <w:r w:rsidR="000F6C15">
        <w:rPr>
          <w:rFonts w:eastAsiaTheme="minorHAnsi" w:cstheme="minorBidi"/>
          <w:b/>
          <w:bCs/>
          <w:i w:val="0"/>
          <w:iCs w:val="0"/>
          <w:color w:val="93D500" w:themeColor="accent1"/>
          <w:sz w:val="20"/>
          <w:szCs w:val="20"/>
        </w:rPr>
        <w:t xml:space="preserve"> </w:t>
      </w:r>
      <w:r w:rsidRPr="00B35051">
        <w:rPr>
          <w:rFonts w:eastAsiaTheme="minorHAnsi" w:cstheme="minorBidi"/>
          <w:b/>
          <w:bCs/>
          <w:i w:val="0"/>
          <w:iCs w:val="0"/>
          <w:color w:val="93D500" w:themeColor="accent1"/>
          <w:sz w:val="20"/>
          <w:szCs w:val="20"/>
        </w:rPr>
        <w:t>Household</w:t>
      </w:r>
      <w:r w:rsidR="00C7727C">
        <w:rPr>
          <w:rFonts w:eastAsiaTheme="minorHAnsi" w:cstheme="minorBidi"/>
          <w:b/>
          <w:bCs/>
          <w:i w:val="0"/>
          <w:iCs w:val="0"/>
          <w:color w:val="93D500" w:themeColor="accent1"/>
          <w:sz w:val="20"/>
          <w:szCs w:val="20"/>
        </w:rPr>
        <w:t xml:space="preserve"> </w:t>
      </w:r>
      <w:commentRangeStart w:id="14"/>
      <w:commentRangeStart w:id="15"/>
      <w:r w:rsidR="00C7727C">
        <w:rPr>
          <w:rFonts w:eastAsiaTheme="minorHAnsi" w:cstheme="minorBidi"/>
          <w:b/>
          <w:bCs/>
          <w:i w:val="0"/>
          <w:iCs w:val="0"/>
          <w:color w:val="93D500" w:themeColor="accent1"/>
          <w:sz w:val="20"/>
          <w:szCs w:val="20"/>
        </w:rPr>
        <w:t>Annually</w:t>
      </w:r>
      <w:commentRangeEnd w:id="14"/>
      <w:r w:rsidR="008A6F51">
        <w:rPr>
          <w:rStyle w:val="CommentReference"/>
          <w:i w:val="0"/>
          <w:iCs w:val="0"/>
          <w:color w:val="000000"/>
        </w:rPr>
        <w:commentReference w:id="14"/>
      </w:r>
      <w:commentRangeEnd w:id="15"/>
      <w:r w:rsidR="008A6F51">
        <w:rPr>
          <w:rStyle w:val="CommentReference"/>
          <w:i w:val="0"/>
          <w:iCs w:val="0"/>
          <w:color w:val="000000"/>
        </w:rPr>
        <w:commentReference w:id="15"/>
      </w:r>
      <w:r w:rsidR="00C7727C">
        <w:rPr>
          <w:rFonts w:eastAsiaTheme="minorHAnsi" w:cstheme="minorBidi"/>
          <w:b/>
          <w:bCs/>
          <w:i w:val="0"/>
          <w:iCs w:val="0"/>
          <w:color w:val="93D500" w:themeColor="accent1"/>
          <w:sz w:val="20"/>
          <w:szCs w:val="20"/>
        </w:rPr>
        <w:t xml:space="preserve"> </w:t>
      </w:r>
    </w:p>
    <w:tbl>
      <w:tblPr>
        <w:tblW w:w="8580" w:type="dxa"/>
        <w:jc w:val="center"/>
        <w:tblLook w:val="04A0" w:firstRow="1" w:lastRow="0" w:firstColumn="1" w:lastColumn="0" w:noHBand="0" w:noVBand="1"/>
      </w:tblPr>
      <w:tblGrid>
        <w:gridCol w:w="3460"/>
        <w:gridCol w:w="1480"/>
        <w:gridCol w:w="1340"/>
        <w:gridCol w:w="1180"/>
        <w:gridCol w:w="1120"/>
      </w:tblGrid>
      <w:tr w:rsidR="00217D27" w:rsidRPr="00B53935" w14:paraId="72276268" w14:textId="77777777" w:rsidTr="00304BF4">
        <w:trPr>
          <w:trHeight w:val="1215"/>
          <w:tblHeader/>
          <w:jc w:val="center"/>
        </w:trPr>
        <w:tc>
          <w:tcPr>
            <w:tcW w:w="3460" w:type="dxa"/>
            <w:tcBorders>
              <w:top w:val="nil"/>
              <w:left w:val="nil"/>
              <w:bottom w:val="single" w:sz="12" w:space="0" w:color="93D500"/>
              <w:right w:val="nil"/>
            </w:tcBorders>
            <w:shd w:val="clear" w:color="000000" w:fill="53575A"/>
            <w:noWrap/>
            <w:vAlign w:val="center"/>
            <w:hideMark/>
          </w:tcPr>
          <w:p w14:paraId="33A6C661" w14:textId="77777777" w:rsidR="00217D27" w:rsidRPr="00B53935" w:rsidRDefault="00217D27" w:rsidP="003921E2">
            <w:pPr>
              <w:spacing w:line="240" w:lineRule="auto"/>
              <w:rPr>
                <w:rFonts w:ascii="Arial Narrow" w:hAnsi="Arial Narrow" w:cs="Calibri"/>
                <w:b/>
                <w:bCs/>
                <w:color w:val="F2F2F2"/>
                <w:szCs w:val="18"/>
              </w:rPr>
            </w:pPr>
            <w:bookmarkStart w:id="16" w:name="_Hlk44923292"/>
            <w:r w:rsidRPr="00B53935">
              <w:rPr>
                <w:rFonts w:ascii="Arial Narrow" w:hAnsi="Arial Narrow" w:cs="Calibri"/>
                <w:b/>
                <w:bCs/>
                <w:color w:val="F2F2F2"/>
                <w:szCs w:val="18"/>
              </w:rPr>
              <w:t>Participant NEI type</w:t>
            </w:r>
          </w:p>
        </w:tc>
        <w:tc>
          <w:tcPr>
            <w:tcW w:w="1480" w:type="dxa"/>
            <w:tcBorders>
              <w:top w:val="nil"/>
              <w:left w:val="nil"/>
              <w:bottom w:val="single" w:sz="12" w:space="0" w:color="93D500"/>
              <w:right w:val="nil"/>
            </w:tcBorders>
            <w:shd w:val="clear" w:color="000000" w:fill="53575A"/>
            <w:vAlign w:val="center"/>
            <w:hideMark/>
          </w:tcPr>
          <w:p w14:paraId="20153E46" w14:textId="77777777" w:rsidR="00217D27" w:rsidRPr="00B53935" w:rsidRDefault="00217D27" w:rsidP="003921E2">
            <w:pPr>
              <w:spacing w:line="240" w:lineRule="auto"/>
              <w:rPr>
                <w:rFonts w:ascii="Arial Narrow" w:hAnsi="Arial Narrow" w:cs="Calibri"/>
                <w:b/>
                <w:bCs/>
                <w:color w:val="FFFFFF"/>
                <w:szCs w:val="18"/>
              </w:rPr>
            </w:pPr>
            <w:r w:rsidRPr="00B53935">
              <w:rPr>
                <w:rFonts w:ascii="Arial Narrow" w:hAnsi="Arial Narrow" w:cs="Calibri"/>
                <w:b/>
                <w:bCs/>
                <w:color w:val="FFFFFF"/>
                <w:szCs w:val="18"/>
              </w:rPr>
              <w:t>Guidehouse Adjusted Values ($2022)</w:t>
            </w:r>
          </w:p>
        </w:tc>
        <w:tc>
          <w:tcPr>
            <w:tcW w:w="1340" w:type="dxa"/>
            <w:tcBorders>
              <w:top w:val="nil"/>
              <w:left w:val="nil"/>
              <w:bottom w:val="single" w:sz="12" w:space="0" w:color="93D500"/>
              <w:right w:val="nil"/>
            </w:tcBorders>
            <w:shd w:val="clear" w:color="000000" w:fill="53575A"/>
            <w:vAlign w:val="center"/>
            <w:hideMark/>
          </w:tcPr>
          <w:p w14:paraId="6A02BE65" w14:textId="77777777" w:rsidR="00217D27" w:rsidRPr="00B53935" w:rsidRDefault="00217D27" w:rsidP="003921E2">
            <w:pPr>
              <w:spacing w:line="240" w:lineRule="auto"/>
              <w:rPr>
                <w:rFonts w:ascii="Arial Narrow" w:hAnsi="Arial Narrow" w:cs="Calibri"/>
                <w:b/>
                <w:bCs/>
                <w:color w:val="FFFFFF"/>
                <w:szCs w:val="18"/>
              </w:rPr>
            </w:pPr>
            <w:r w:rsidRPr="00B53935">
              <w:rPr>
                <w:rFonts w:ascii="Arial Narrow" w:hAnsi="Arial Narrow" w:cs="Calibri"/>
                <w:b/>
                <w:bCs/>
                <w:color w:val="FFFFFF"/>
                <w:szCs w:val="18"/>
              </w:rPr>
              <w:t>Guidehouse Adjusted Values ($2023)</w:t>
            </w:r>
          </w:p>
        </w:tc>
        <w:tc>
          <w:tcPr>
            <w:tcW w:w="1180" w:type="dxa"/>
            <w:tcBorders>
              <w:top w:val="nil"/>
              <w:left w:val="nil"/>
              <w:bottom w:val="single" w:sz="12" w:space="0" w:color="93D500"/>
              <w:right w:val="nil"/>
            </w:tcBorders>
            <w:shd w:val="clear" w:color="000000" w:fill="53575A"/>
            <w:vAlign w:val="center"/>
            <w:hideMark/>
          </w:tcPr>
          <w:p w14:paraId="064F2706" w14:textId="77777777" w:rsidR="00217D27" w:rsidRPr="00B53935" w:rsidRDefault="00217D27" w:rsidP="003921E2">
            <w:pPr>
              <w:spacing w:line="240" w:lineRule="auto"/>
              <w:rPr>
                <w:rFonts w:ascii="Arial Narrow" w:hAnsi="Arial Narrow" w:cs="Calibri"/>
                <w:b/>
                <w:bCs/>
                <w:color w:val="FFFFFF"/>
                <w:szCs w:val="18"/>
              </w:rPr>
            </w:pPr>
            <w:r w:rsidRPr="00B53935">
              <w:rPr>
                <w:rFonts w:ascii="Arial Narrow" w:hAnsi="Arial Narrow" w:cs="Calibri"/>
                <w:b/>
                <w:bCs/>
                <w:color w:val="FFFFFF"/>
                <w:szCs w:val="18"/>
              </w:rPr>
              <w:t>Guidehouse Adjusted Values ($2024)</w:t>
            </w:r>
          </w:p>
        </w:tc>
        <w:tc>
          <w:tcPr>
            <w:tcW w:w="1120" w:type="dxa"/>
            <w:tcBorders>
              <w:top w:val="nil"/>
              <w:left w:val="nil"/>
              <w:bottom w:val="single" w:sz="12" w:space="0" w:color="93D500"/>
              <w:right w:val="nil"/>
            </w:tcBorders>
            <w:shd w:val="clear" w:color="000000" w:fill="53575A"/>
            <w:vAlign w:val="center"/>
            <w:hideMark/>
          </w:tcPr>
          <w:p w14:paraId="2598CE19" w14:textId="77777777" w:rsidR="00217D27" w:rsidRPr="00B53935" w:rsidRDefault="00217D27" w:rsidP="003921E2">
            <w:pPr>
              <w:spacing w:line="240" w:lineRule="auto"/>
              <w:rPr>
                <w:rFonts w:ascii="Arial Narrow" w:hAnsi="Arial Narrow" w:cs="Calibri"/>
                <w:b/>
                <w:bCs/>
                <w:color w:val="FFFFFF"/>
                <w:szCs w:val="18"/>
              </w:rPr>
            </w:pPr>
            <w:r w:rsidRPr="00B53935">
              <w:rPr>
                <w:rFonts w:ascii="Arial Narrow" w:hAnsi="Arial Narrow" w:cs="Calibri"/>
                <w:b/>
                <w:bCs/>
                <w:color w:val="FFFFFF"/>
                <w:szCs w:val="18"/>
              </w:rPr>
              <w:t>Guidehouse Adjusted Values ($2025)</w:t>
            </w:r>
          </w:p>
        </w:tc>
      </w:tr>
      <w:tr w:rsidR="00217D27" w:rsidRPr="00B53935" w14:paraId="4F3EE35E" w14:textId="77777777" w:rsidTr="003921E2">
        <w:trPr>
          <w:trHeight w:val="280"/>
          <w:jc w:val="center"/>
        </w:trPr>
        <w:tc>
          <w:tcPr>
            <w:tcW w:w="3460" w:type="dxa"/>
            <w:tcBorders>
              <w:top w:val="nil"/>
              <w:left w:val="nil"/>
              <w:bottom w:val="single" w:sz="8" w:space="0" w:color="DBDDDE"/>
              <w:right w:val="nil"/>
            </w:tcBorders>
            <w:shd w:val="clear" w:color="auto" w:fill="auto"/>
            <w:noWrap/>
            <w:vAlign w:val="center"/>
            <w:hideMark/>
          </w:tcPr>
          <w:p w14:paraId="6BF71B00" w14:textId="77777777" w:rsidR="00217D27" w:rsidRPr="00B53935" w:rsidRDefault="00217D27" w:rsidP="00217D27">
            <w:pPr>
              <w:spacing w:line="240" w:lineRule="auto"/>
              <w:rPr>
                <w:rFonts w:ascii="Arial Narrow" w:hAnsi="Arial Narrow" w:cs="Calibri"/>
                <w:szCs w:val="18"/>
              </w:rPr>
            </w:pPr>
            <w:r w:rsidRPr="00B53935">
              <w:rPr>
                <w:rFonts w:ascii="Arial Narrow" w:hAnsi="Arial Narrow" w:cs="Calibri"/>
                <w:szCs w:val="18"/>
              </w:rPr>
              <w:t>Thermal Comfort</w:t>
            </w:r>
          </w:p>
        </w:tc>
        <w:tc>
          <w:tcPr>
            <w:tcW w:w="1480" w:type="dxa"/>
            <w:tcBorders>
              <w:top w:val="nil"/>
              <w:left w:val="nil"/>
              <w:bottom w:val="single" w:sz="8" w:space="0" w:color="DBDDDE"/>
              <w:right w:val="nil"/>
            </w:tcBorders>
            <w:shd w:val="clear" w:color="auto" w:fill="auto"/>
            <w:vAlign w:val="center"/>
            <w:hideMark/>
          </w:tcPr>
          <w:p w14:paraId="01D3CC82" w14:textId="54084FBC" w:rsidR="00217D27" w:rsidRPr="00217D27" w:rsidRDefault="00217D27" w:rsidP="00217D27">
            <w:pPr>
              <w:spacing w:line="240" w:lineRule="auto"/>
              <w:jc w:val="right"/>
              <w:rPr>
                <w:rFonts w:ascii="Arial Narrow" w:hAnsi="Arial Narrow" w:cs="Calibri"/>
                <w:szCs w:val="18"/>
              </w:rPr>
            </w:pPr>
            <w:r w:rsidRPr="00304BF4">
              <w:rPr>
                <w:rFonts w:ascii="Arial Narrow" w:hAnsi="Arial Narrow" w:cs="Calibri"/>
                <w:szCs w:val="18"/>
              </w:rPr>
              <w:t>29.20</w:t>
            </w:r>
          </w:p>
        </w:tc>
        <w:tc>
          <w:tcPr>
            <w:tcW w:w="1340" w:type="dxa"/>
            <w:tcBorders>
              <w:top w:val="nil"/>
              <w:left w:val="nil"/>
              <w:bottom w:val="single" w:sz="8" w:space="0" w:color="DBDDDE"/>
              <w:right w:val="nil"/>
            </w:tcBorders>
            <w:shd w:val="clear" w:color="auto" w:fill="auto"/>
            <w:vAlign w:val="center"/>
            <w:hideMark/>
          </w:tcPr>
          <w:p w14:paraId="3559544B" w14:textId="219318E7" w:rsidR="00217D27" w:rsidRPr="00217D27" w:rsidRDefault="00217D27" w:rsidP="00217D27">
            <w:pPr>
              <w:spacing w:line="240" w:lineRule="auto"/>
              <w:jc w:val="right"/>
              <w:rPr>
                <w:rFonts w:ascii="Arial Narrow" w:hAnsi="Arial Narrow" w:cs="Calibri"/>
                <w:szCs w:val="18"/>
              </w:rPr>
            </w:pPr>
            <w:r w:rsidRPr="00304BF4">
              <w:rPr>
                <w:rFonts w:ascii="Arial Narrow" w:hAnsi="Arial Narrow" w:cs="Calibri"/>
                <w:szCs w:val="18"/>
              </w:rPr>
              <w:t>29.80</w:t>
            </w:r>
          </w:p>
        </w:tc>
        <w:tc>
          <w:tcPr>
            <w:tcW w:w="1180" w:type="dxa"/>
            <w:tcBorders>
              <w:top w:val="nil"/>
              <w:left w:val="nil"/>
              <w:bottom w:val="single" w:sz="8" w:space="0" w:color="DBDDDE"/>
              <w:right w:val="nil"/>
            </w:tcBorders>
            <w:shd w:val="clear" w:color="auto" w:fill="auto"/>
            <w:vAlign w:val="center"/>
            <w:hideMark/>
          </w:tcPr>
          <w:p w14:paraId="3F039C83" w14:textId="5EBBF709" w:rsidR="00217D27" w:rsidRPr="00217D27" w:rsidRDefault="00217D27" w:rsidP="00217D27">
            <w:pPr>
              <w:spacing w:line="240" w:lineRule="auto"/>
              <w:jc w:val="right"/>
              <w:rPr>
                <w:rFonts w:ascii="Arial Narrow" w:hAnsi="Arial Narrow" w:cs="Calibri"/>
                <w:szCs w:val="18"/>
              </w:rPr>
            </w:pPr>
            <w:r w:rsidRPr="00304BF4">
              <w:rPr>
                <w:rFonts w:ascii="Arial Narrow" w:hAnsi="Arial Narrow" w:cs="Calibri"/>
                <w:szCs w:val="18"/>
              </w:rPr>
              <w:t>30.39</w:t>
            </w:r>
          </w:p>
        </w:tc>
        <w:tc>
          <w:tcPr>
            <w:tcW w:w="1120" w:type="dxa"/>
            <w:tcBorders>
              <w:top w:val="nil"/>
              <w:left w:val="nil"/>
              <w:bottom w:val="single" w:sz="8" w:space="0" w:color="DBDDDE"/>
              <w:right w:val="nil"/>
            </w:tcBorders>
            <w:shd w:val="clear" w:color="auto" w:fill="auto"/>
            <w:vAlign w:val="center"/>
            <w:hideMark/>
          </w:tcPr>
          <w:p w14:paraId="08982137" w14:textId="7B0BF638" w:rsidR="00217D27" w:rsidRPr="00217D27" w:rsidRDefault="00217D27" w:rsidP="00217D27">
            <w:pPr>
              <w:spacing w:line="240" w:lineRule="auto"/>
              <w:jc w:val="right"/>
              <w:rPr>
                <w:rFonts w:ascii="Arial Narrow" w:hAnsi="Arial Narrow" w:cs="Calibri"/>
                <w:szCs w:val="18"/>
              </w:rPr>
            </w:pPr>
            <w:r w:rsidRPr="00304BF4">
              <w:rPr>
                <w:rFonts w:ascii="Arial Narrow" w:hAnsi="Arial Narrow" w:cs="Calibri"/>
                <w:szCs w:val="18"/>
              </w:rPr>
              <w:t>30.96</w:t>
            </w:r>
          </w:p>
        </w:tc>
      </w:tr>
      <w:tr w:rsidR="00217D27" w:rsidRPr="00B53935" w14:paraId="01814AD1" w14:textId="77777777" w:rsidTr="003921E2">
        <w:trPr>
          <w:trHeight w:val="270"/>
          <w:jc w:val="center"/>
        </w:trPr>
        <w:tc>
          <w:tcPr>
            <w:tcW w:w="3460" w:type="dxa"/>
            <w:tcBorders>
              <w:top w:val="nil"/>
              <w:left w:val="nil"/>
              <w:bottom w:val="single" w:sz="8" w:space="0" w:color="DBDDDE"/>
              <w:right w:val="nil"/>
            </w:tcBorders>
            <w:shd w:val="clear" w:color="000000" w:fill="FFFFFF"/>
            <w:noWrap/>
            <w:vAlign w:val="center"/>
            <w:hideMark/>
          </w:tcPr>
          <w:p w14:paraId="3AA56351" w14:textId="77777777" w:rsidR="00217D27" w:rsidRPr="00B53935" w:rsidRDefault="00217D27" w:rsidP="00217D27">
            <w:pPr>
              <w:spacing w:line="240" w:lineRule="auto"/>
              <w:rPr>
                <w:rFonts w:ascii="Arial Narrow" w:hAnsi="Arial Narrow" w:cs="Calibri"/>
                <w:szCs w:val="18"/>
              </w:rPr>
            </w:pPr>
            <w:r w:rsidRPr="00B53935">
              <w:rPr>
                <w:rFonts w:ascii="Arial Narrow" w:hAnsi="Arial Narrow" w:cs="Calibri"/>
                <w:szCs w:val="18"/>
              </w:rPr>
              <w:t>Health &amp; Safety (including Asthma Reduction)</w:t>
            </w:r>
          </w:p>
        </w:tc>
        <w:tc>
          <w:tcPr>
            <w:tcW w:w="1480" w:type="dxa"/>
            <w:tcBorders>
              <w:top w:val="nil"/>
              <w:left w:val="nil"/>
              <w:bottom w:val="single" w:sz="8" w:space="0" w:color="DBDDDE"/>
              <w:right w:val="nil"/>
            </w:tcBorders>
            <w:shd w:val="clear" w:color="auto" w:fill="auto"/>
            <w:vAlign w:val="center"/>
            <w:hideMark/>
          </w:tcPr>
          <w:p w14:paraId="75DFEFEA" w14:textId="19AA47A5" w:rsidR="00217D27" w:rsidRPr="00217D27" w:rsidRDefault="00217D27" w:rsidP="00217D27">
            <w:pPr>
              <w:spacing w:line="240" w:lineRule="auto"/>
              <w:jc w:val="right"/>
              <w:rPr>
                <w:rFonts w:ascii="Arial Narrow" w:hAnsi="Arial Narrow" w:cs="Calibri"/>
                <w:szCs w:val="18"/>
              </w:rPr>
            </w:pPr>
            <w:r w:rsidRPr="00304BF4">
              <w:rPr>
                <w:rFonts w:ascii="Arial Narrow" w:hAnsi="Arial Narrow" w:cs="Calibri"/>
                <w:szCs w:val="18"/>
              </w:rPr>
              <w:t>38.17</w:t>
            </w:r>
          </w:p>
        </w:tc>
        <w:tc>
          <w:tcPr>
            <w:tcW w:w="1340" w:type="dxa"/>
            <w:tcBorders>
              <w:top w:val="nil"/>
              <w:left w:val="nil"/>
              <w:bottom w:val="single" w:sz="8" w:space="0" w:color="DBDDDE"/>
              <w:right w:val="nil"/>
            </w:tcBorders>
            <w:shd w:val="clear" w:color="auto" w:fill="auto"/>
            <w:vAlign w:val="center"/>
            <w:hideMark/>
          </w:tcPr>
          <w:p w14:paraId="2B03EDE1" w14:textId="5C2B509A" w:rsidR="00217D27" w:rsidRPr="00217D27" w:rsidRDefault="00217D27" w:rsidP="00217D27">
            <w:pPr>
              <w:spacing w:line="240" w:lineRule="auto"/>
              <w:jc w:val="right"/>
              <w:rPr>
                <w:rFonts w:ascii="Arial Narrow" w:hAnsi="Arial Narrow" w:cs="Calibri"/>
                <w:szCs w:val="18"/>
              </w:rPr>
            </w:pPr>
            <w:r w:rsidRPr="00304BF4">
              <w:rPr>
                <w:rFonts w:ascii="Arial Narrow" w:hAnsi="Arial Narrow" w:cs="Calibri"/>
                <w:szCs w:val="18"/>
              </w:rPr>
              <w:t>38.96</w:t>
            </w:r>
          </w:p>
        </w:tc>
        <w:tc>
          <w:tcPr>
            <w:tcW w:w="1180" w:type="dxa"/>
            <w:tcBorders>
              <w:top w:val="nil"/>
              <w:left w:val="nil"/>
              <w:bottom w:val="single" w:sz="8" w:space="0" w:color="DBDDDE"/>
              <w:right w:val="nil"/>
            </w:tcBorders>
            <w:shd w:val="clear" w:color="auto" w:fill="auto"/>
            <w:vAlign w:val="center"/>
            <w:hideMark/>
          </w:tcPr>
          <w:p w14:paraId="50C98C9B" w14:textId="56A2A0BB" w:rsidR="00217D27" w:rsidRPr="00217D27" w:rsidRDefault="00217D27" w:rsidP="00217D27">
            <w:pPr>
              <w:spacing w:line="240" w:lineRule="auto"/>
              <w:jc w:val="right"/>
              <w:rPr>
                <w:rFonts w:ascii="Arial Narrow" w:hAnsi="Arial Narrow" w:cs="Calibri"/>
                <w:szCs w:val="18"/>
              </w:rPr>
            </w:pPr>
            <w:r w:rsidRPr="00304BF4">
              <w:rPr>
                <w:rFonts w:ascii="Arial Narrow" w:hAnsi="Arial Narrow" w:cs="Calibri"/>
                <w:szCs w:val="18"/>
              </w:rPr>
              <w:t>39.74</w:t>
            </w:r>
          </w:p>
        </w:tc>
        <w:tc>
          <w:tcPr>
            <w:tcW w:w="1120" w:type="dxa"/>
            <w:tcBorders>
              <w:top w:val="nil"/>
              <w:left w:val="nil"/>
              <w:bottom w:val="single" w:sz="8" w:space="0" w:color="DBDDDE"/>
              <w:right w:val="nil"/>
            </w:tcBorders>
            <w:shd w:val="clear" w:color="auto" w:fill="auto"/>
            <w:vAlign w:val="center"/>
            <w:hideMark/>
          </w:tcPr>
          <w:p w14:paraId="5F23F52B" w14:textId="0165AFAA" w:rsidR="00217D27" w:rsidRPr="00217D27" w:rsidRDefault="00217D27" w:rsidP="00217D27">
            <w:pPr>
              <w:spacing w:line="240" w:lineRule="auto"/>
              <w:jc w:val="right"/>
              <w:rPr>
                <w:rFonts w:ascii="Arial Narrow" w:hAnsi="Arial Narrow" w:cs="Calibri"/>
                <w:szCs w:val="18"/>
              </w:rPr>
            </w:pPr>
            <w:r w:rsidRPr="00304BF4">
              <w:rPr>
                <w:rFonts w:ascii="Arial Narrow" w:hAnsi="Arial Narrow" w:cs="Calibri"/>
                <w:szCs w:val="18"/>
              </w:rPr>
              <w:t>40.49</w:t>
            </w:r>
          </w:p>
        </w:tc>
      </w:tr>
      <w:tr w:rsidR="00217D27" w:rsidRPr="00B53935" w14:paraId="05B4CB66" w14:textId="77777777" w:rsidTr="003921E2">
        <w:trPr>
          <w:trHeight w:val="270"/>
          <w:jc w:val="center"/>
        </w:trPr>
        <w:tc>
          <w:tcPr>
            <w:tcW w:w="3460" w:type="dxa"/>
            <w:tcBorders>
              <w:top w:val="nil"/>
              <w:left w:val="nil"/>
              <w:bottom w:val="nil"/>
              <w:right w:val="nil"/>
            </w:tcBorders>
            <w:shd w:val="clear" w:color="auto" w:fill="auto"/>
            <w:noWrap/>
            <w:vAlign w:val="center"/>
            <w:hideMark/>
          </w:tcPr>
          <w:p w14:paraId="581FDF62" w14:textId="77777777" w:rsidR="00217D27" w:rsidRPr="00B53935" w:rsidRDefault="00217D27" w:rsidP="00217D27">
            <w:pPr>
              <w:spacing w:line="240" w:lineRule="auto"/>
              <w:rPr>
                <w:rFonts w:ascii="Arial Narrow" w:hAnsi="Arial Narrow" w:cs="Calibri"/>
                <w:szCs w:val="18"/>
              </w:rPr>
            </w:pPr>
            <w:r w:rsidRPr="00B53935">
              <w:rPr>
                <w:rFonts w:ascii="Arial Narrow" w:hAnsi="Arial Narrow" w:cs="Calibri"/>
                <w:szCs w:val="18"/>
              </w:rPr>
              <w:t>Reduced missed days of work</w:t>
            </w:r>
          </w:p>
        </w:tc>
        <w:tc>
          <w:tcPr>
            <w:tcW w:w="1480" w:type="dxa"/>
            <w:tcBorders>
              <w:top w:val="nil"/>
              <w:left w:val="nil"/>
              <w:bottom w:val="nil"/>
              <w:right w:val="nil"/>
            </w:tcBorders>
            <w:shd w:val="clear" w:color="auto" w:fill="auto"/>
            <w:vAlign w:val="center"/>
            <w:hideMark/>
          </w:tcPr>
          <w:p w14:paraId="59C999ED" w14:textId="5E2FF508" w:rsidR="00217D27" w:rsidRPr="00217D27" w:rsidRDefault="00217D27" w:rsidP="00217D27">
            <w:pPr>
              <w:spacing w:line="240" w:lineRule="auto"/>
              <w:jc w:val="right"/>
              <w:rPr>
                <w:rFonts w:ascii="Arial Narrow" w:hAnsi="Arial Narrow" w:cs="Calibri"/>
                <w:szCs w:val="18"/>
              </w:rPr>
            </w:pPr>
            <w:r w:rsidRPr="00304BF4">
              <w:rPr>
                <w:rFonts w:ascii="Arial Narrow" w:hAnsi="Arial Narrow" w:cs="Calibri"/>
                <w:szCs w:val="18"/>
              </w:rPr>
              <w:t>67.79</w:t>
            </w:r>
          </w:p>
        </w:tc>
        <w:tc>
          <w:tcPr>
            <w:tcW w:w="1340" w:type="dxa"/>
            <w:tcBorders>
              <w:top w:val="nil"/>
              <w:left w:val="nil"/>
              <w:bottom w:val="nil"/>
              <w:right w:val="nil"/>
            </w:tcBorders>
            <w:shd w:val="clear" w:color="auto" w:fill="auto"/>
            <w:vAlign w:val="center"/>
            <w:hideMark/>
          </w:tcPr>
          <w:p w14:paraId="262310E9" w14:textId="2B0BA02A" w:rsidR="00217D27" w:rsidRPr="00217D27" w:rsidRDefault="00217D27" w:rsidP="00217D27">
            <w:pPr>
              <w:spacing w:line="240" w:lineRule="auto"/>
              <w:jc w:val="right"/>
              <w:rPr>
                <w:rFonts w:ascii="Arial Narrow" w:hAnsi="Arial Narrow" w:cs="Calibri"/>
                <w:szCs w:val="18"/>
              </w:rPr>
            </w:pPr>
            <w:r w:rsidRPr="00304BF4">
              <w:rPr>
                <w:rFonts w:ascii="Arial Narrow" w:hAnsi="Arial Narrow" w:cs="Calibri"/>
                <w:szCs w:val="18"/>
              </w:rPr>
              <w:t>69.18</w:t>
            </w:r>
          </w:p>
        </w:tc>
        <w:tc>
          <w:tcPr>
            <w:tcW w:w="1180" w:type="dxa"/>
            <w:tcBorders>
              <w:top w:val="nil"/>
              <w:left w:val="nil"/>
              <w:bottom w:val="nil"/>
              <w:right w:val="nil"/>
            </w:tcBorders>
            <w:shd w:val="clear" w:color="auto" w:fill="auto"/>
            <w:vAlign w:val="center"/>
            <w:hideMark/>
          </w:tcPr>
          <w:p w14:paraId="2A4C7F21" w14:textId="09C3A1C2" w:rsidR="00217D27" w:rsidRPr="00217D27" w:rsidRDefault="00217D27" w:rsidP="00217D27">
            <w:pPr>
              <w:spacing w:line="240" w:lineRule="auto"/>
              <w:jc w:val="right"/>
              <w:rPr>
                <w:rFonts w:ascii="Arial Narrow" w:hAnsi="Arial Narrow" w:cs="Calibri"/>
                <w:szCs w:val="18"/>
              </w:rPr>
            </w:pPr>
            <w:r w:rsidRPr="00304BF4">
              <w:rPr>
                <w:rFonts w:ascii="Arial Narrow" w:hAnsi="Arial Narrow" w:cs="Calibri"/>
                <w:szCs w:val="18"/>
              </w:rPr>
              <w:t>70.57</w:t>
            </w:r>
          </w:p>
        </w:tc>
        <w:tc>
          <w:tcPr>
            <w:tcW w:w="1120" w:type="dxa"/>
            <w:tcBorders>
              <w:top w:val="nil"/>
              <w:left w:val="nil"/>
              <w:bottom w:val="nil"/>
              <w:right w:val="nil"/>
            </w:tcBorders>
            <w:shd w:val="clear" w:color="auto" w:fill="auto"/>
            <w:vAlign w:val="center"/>
            <w:hideMark/>
          </w:tcPr>
          <w:p w14:paraId="53B5EF93" w14:textId="6406DCD4" w:rsidR="00217D27" w:rsidRPr="00217D27" w:rsidRDefault="00217D27" w:rsidP="00217D27">
            <w:pPr>
              <w:spacing w:line="240" w:lineRule="auto"/>
              <w:jc w:val="right"/>
              <w:rPr>
                <w:rFonts w:ascii="Arial Narrow" w:hAnsi="Arial Narrow" w:cs="Calibri"/>
                <w:szCs w:val="18"/>
              </w:rPr>
            </w:pPr>
            <w:r w:rsidRPr="00304BF4">
              <w:rPr>
                <w:rFonts w:ascii="Arial Narrow" w:hAnsi="Arial Narrow" w:cs="Calibri"/>
                <w:szCs w:val="18"/>
              </w:rPr>
              <w:t>71.89</w:t>
            </w:r>
          </w:p>
        </w:tc>
      </w:tr>
      <w:tr w:rsidR="00217D27" w:rsidRPr="00B53935" w14:paraId="292CF21B" w14:textId="77777777" w:rsidTr="003921E2">
        <w:trPr>
          <w:trHeight w:val="270"/>
          <w:jc w:val="center"/>
        </w:trPr>
        <w:tc>
          <w:tcPr>
            <w:tcW w:w="3460" w:type="dxa"/>
            <w:tcBorders>
              <w:top w:val="single" w:sz="8" w:space="0" w:color="D9D9D9"/>
              <w:left w:val="nil"/>
              <w:bottom w:val="single" w:sz="8" w:space="0" w:color="53575A"/>
              <w:right w:val="nil"/>
            </w:tcBorders>
            <w:shd w:val="clear" w:color="auto" w:fill="auto"/>
            <w:noWrap/>
            <w:vAlign w:val="center"/>
            <w:hideMark/>
          </w:tcPr>
          <w:p w14:paraId="03EBB83D" w14:textId="77777777" w:rsidR="00217D27" w:rsidRPr="00B53935" w:rsidRDefault="00217D27" w:rsidP="00217D27">
            <w:pPr>
              <w:spacing w:line="240" w:lineRule="auto"/>
              <w:rPr>
                <w:rFonts w:ascii="Arial Narrow" w:hAnsi="Arial Narrow" w:cs="Calibri"/>
                <w:szCs w:val="18"/>
              </w:rPr>
            </w:pPr>
            <w:r w:rsidRPr="00B53935">
              <w:rPr>
                <w:rFonts w:ascii="Arial Narrow" w:hAnsi="Arial Narrow" w:cs="Calibri"/>
                <w:szCs w:val="18"/>
              </w:rPr>
              <w:t>Total</w:t>
            </w:r>
          </w:p>
        </w:tc>
        <w:tc>
          <w:tcPr>
            <w:tcW w:w="1480" w:type="dxa"/>
            <w:tcBorders>
              <w:top w:val="single" w:sz="8" w:space="0" w:color="D9D9D9"/>
              <w:left w:val="nil"/>
              <w:bottom w:val="single" w:sz="8" w:space="0" w:color="53575A"/>
              <w:right w:val="nil"/>
            </w:tcBorders>
            <w:shd w:val="clear" w:color="auto" w:fill="auto"/>
            <w:vAlign w:val="center"/>
            <w:hideMark/>
          </w:tcPr>
          <w:p w14:paraId="0507A7C6" w14:textId="5A0CE98E" w:rsidR="00217D27" w:rsidRPr="00217D27" w:rsidRDefault="00217D27" w:rsidP="00217D27">
            <w:pPr>
              <w:spacing w:line="240" w:lineRule="auto"/>
              <w:jc w:val="right"/>
              <w:rPr>
                <w:rFonts w:ascii="Arial Narrow" w:hAnsi="Arial Narrow" w:cs="Calibri"/>
                <w:szCs w:val="18"/>
              </w:rPr>
            </w:pPr>
            <w:r w:rsidRPr="00304BF4">
              <w:rPr>
                <w:rFonts w:ascii="Arial Narrow" w:hAnsi="Arial Narrow" w:cs="Calibri"/>
                <w:szCs w:val="18"/>
              </w:rPr>
              <w:t>128.15</w:t>
            </w:r>
          </w:p>
        </w:tc>
        <w:tc>
          <w:tcPr>
            <w:tcW w:w="1340" w:type="dxa"/>
            <w:tcBorders>
              <w:top w:val="single" w:sz="8" w:space="0" w:color="D9D9D9"/>
              <w:left w:val="nil"/>
              <w:bottom w:val="single" w:sz="8" w:space="0" w:color="53575A"/>
              <w:right w:val="nil"/>
            </w:tcBorders>
            <w:shd w:val="clear" w:color="auto" w:fill="auto"/>
            <w:vAlign w:val="center"/>
            <w:hideMark/>
          </w:tcPr>
          <w:p w14:paraId="11BBFF78" w14:textId="1A911546" w:rsidR="00217D27" w:rsidRPr="00217D27" w:rsidRDefault="00217D27" w:rsidP="00217D27">
            <w:pPr>
              <w:spacing w:line="240" w:lineRule="auto"/>
              <w:jc w:val="right"/>
              <w:rPr>
                <w:rFonts w:ascii="Arial Narrow" w:hAnsi="Arial Narrow" w:cs="Calibri"/>
                <w:szCs w:val="18"/>
              </w:rPr>
            </w:pPr>
            <w:r w:rsidRPr="00304BF4">
              <w:rPr>
                <w:rFonts w:ascii="Arial Narrow" w:hAnsi="Arial Narrow" w:cs="Calibri"/>
                <w:szCs w:val="18"/>
              </w:rPr>
              <w:t>135.16</w:t>
            </w:r>
          </w:p>
        </w:tc>
        <w:tc>
          <w:tcPr>
            <w:tcW w:w="1180" w:type="dxa"/>
            <w:tcBorders>
              <w:top w:val="single" w:sz="8" w:space="0" w:color="D9D9D9"/>
              <w:left w:val="nil"/>
              <w:bottom w:val="single" w:sz="8" w:space="0" w:color="53575A"/>
              <w:right w:val="nil"/>
            </w:tcBorders>
            <w:shd w:val="clear" w:color="auto" w:fill="auto"/>
            <w:vAlign w:val="center"/>
            <w:hideMark/>
          </w:tcPr>
          <w:p w14:paraId="74445C55" w14:textId="071543BC" w:rsidR="00217D27" w:rsidRPr="00217D27" w:rsidRDefault="00217D27" w:rsidP="00217D27">
            <w:pPr>
              <w:spacing w:line="240" w:lineRule="auto"/>
              <w:jc w:val="right"/>
              <w:rPr>
                <w:rFonts w:ascii="Arial Narrow" w:hAnsi="Arial Narrow" w:cs="Calibri"/>
                <w:szCs w:val="18"/>
              </w:rPr>
            </w:pPr>
            <w:r w:rsidRPr="00304BF4">
              <w:rPr>
                <w:rFonts w:ascii="Arial Narrow" w:hAnsi="Arial Narrow" w:cs="Calibri"/>
                <w:szCs w:val="18"/>
              </w:rPr>
              <w:t>137.93</w:t>
            </w:r>
          </w:p>
        </w:tc>
        <w:tc>
          <w:tcPr>
            <w:tcW w:w="1120" w:type="dxa"/>
            <w:tcBorders>
              <w:top w:val="single" w:sz="8" w:space="0" w:color="D9D9D9"/>
              <w:left w:val="nil"/>
              <w:bottom w:val="single" w:sz="8" w:space="0" w:color="53575A"/>
              <w:right w:val="nil"/>
            </w:tcBorders>
            <w:shd w:val="clear" w:color="auto" w:fill="auto"/>
            <w:vAlign w:val="center"/>
            <w:hideMark/>
          </w:tcPr>
          <w:p w14:paraId="7D971C7D" w14:textId="4729B3EA" w:rsidR="00217D27" w:rsidRPr="00217D27" w:rsidRDefault="00217D27" w:rsidP="00217D27">
            <w:pPr>
              <w:spacing w:line="240" w:lineRule="auto"/>
              <w:jc w:val="right"/>
              <w:rPr>
                <w:rFonts w:ascii="Arial Narrow" w:hAnsi="Arial Narrow" w:cs="Calibri"/>
                <w:szCs w:val="18"/>
              </w:rPr>
            </w:pPr>
            <w:r w:rsidRPr="00304BF4">
              <w:rPr>
                <w:rFonts w:ascii="Arial Narrow" w:hAnsi="Arial Narrow" w:cs="Calibri"/>
                <w:szCs w:val="18"/>
              </w:rPr>
              <w:t>140.70</w:t>
            </w:r>
          </w:p>
        </w:tc>
      </w:tr>
    </w:tbl>
    <w:p w14:paraId="0E5FBE7E" w14:textId="11FBD840" w:rsidR="000E3B11" w:rsidRDefault="000E3B11" w:rsidP="00547B32">
      <w:pPr>
        <w:pStyle w:val="Caption"/>
        <w:ind w:firstLine="720"/>
        <w:rPr>
          <w:color w:val="auto"/>
          <w:sz w:val="16"/>
          <w:szCs w:val="16"/>
        </w:rPr>
      </w:pPr>
      <w:r w:rsidRPr="000E3B11">
        <w:rPr>
          <w:color w:val="auto"/>
          <w:sz w:val="16"/>
          <w:szCs w:val="16"/>
        </w:rPr>
        <w:t xml:space="preserve">Sources: </w:t>
      </w:r>
      <w:r w:rsidR="00CB6BC1" w:rsidRPr="000E3B11">
        <w:rPr>
          <w:color w:val="auto"/>
          <w:sz w:val="16"/>
          <w:szCs w:val="16"/>
        </w:rPr>
        <w:t xml:space="preserve">Skumatz, 2014; </w:t>
      </w:r>
      <w:r w:rsidRPr="000E3B11">
        <w:rPr>
          <w:color w:val="auto"/>
          <w:sz w:val="16"/>
          <w:szCs w:val="16"/>
        </w:rPr>
        <w:t>Three</w:t>
      </w:r>
      <w:r>
        <w:rPr>
          <w:color w:val="auto"/>
          <w:sz w:val="16"/>
          <w:szCs w:val="16"/>
          <w:vertAlign w:val="superscript"/>
        </w:rPr>
        <w:t>3</w:t>
      </w:r>
      <w:r w:rsidRPr="000E3B11">
        <w:rPr>
          <w:color w:val="auto"/>
          <w:sz w:val="16"/>
          <w:szCs w:val="16"/>
        </w:rPr>
        <w:t xml:space="preserve"> and NMR Group 2018</w:t>
      </w:r>
      <w:r w:rsidR="00CB6BC1">
        <w:rPr>
          <w:color w:val="auto"/>
          <w:sz w:val="16"/>
          <w:szCs w:val="16"/>
        </w:rPr>
        <w:t>;</w:t>
      </w:r>
      <w:r w:rsidRPr="000E3B11">
        <w:rPr>
          <w:color w:val="auto"/>
          <w:sz w:val="16"/>
          <w:szCs w:val="16"/>
        </w:rPr>
        <w:t xml:space="preserve"> </w:t>
      </w:r>
      <w:r>
        <w:rPr>
          <w:color w:val="auto"/>
          <w:sz w:val="16"/>
          <w:szCs w:val="16"/>
        </w:rPr>
        <w:t>Guidehouse</w:t>
      </w:r>
      <w:r w:rsidR="00AB69BD">
        <w:rPr>
          <w:color w:val="auto"/>
          <w:sz w:val="16"/>
          <w:szCs w:val="16"/>
        </w:rPr>
        <w:t xml:space="preserve"> analysis</w:t>
      </w:r>
      <w:r>
        <w:rPr>
          <w:color w:val="auto"/>
          <w:sz w:val="16"/>
          <w:szCs w:val="16"/>
        </w:rPr>
        <w:t>.</w:t>
      </w:r>
    </w:p>
    <w:p w14:paraId="70845A0F" w14:textId="05A3D0D1" w:rsidR="008547B5" w:rsidRDefault="000F6C15" w:rsidP="000F6C15">
      <w:pPr>
        <w:pStyle w:val="Caption"/>
        <w:keepNext/>
        <w:spacing w:after="120"/>
        <w:jc w:val="center"/>
        <w:rPr>
          <w:rFonts w:eastAsiaTheme="minorHAnsi" w:cstheme="minorBidi"/>
          <w:b/>
          <w:bCs/>
          <w:i w:val="0"/>
          <w:iCs w:val="0"/>
          <w:color w:val="93D500" w:themeColor="accent1"/>
          <w:sz w:val="20"/>
          <w:szCs w:val="20"/>
        </w:rPr>
      </w:pPr>
      <w:r w:rsidRPr="00B35051">
        <w:rPr>
          <w:rFonts w:eastAsiaTheme="minorHAnsi" w:cstheme="minorBidi"/>
          <w:b/>
          <w:bCs/>
          <w:i w:val="0"/>
          <w:iCs w:val="0"/>
          <w:color w:val="93D500" w:themeColor="accent1"/>
          <w:sz w:val="20"/>
          <w:szCs w:val="20"/>
        </w:rPr>
        <w:lastRenderedPageBreak/>
        <w:t xml:space="preserve">Table </w:t>
      </w:r>
      <w:r>
        <w:rPr>
          <w:rFonts w:eastAsiaTheme="minorHAnsi" w:cstheme="minorBidi"/>
          <w:b/>
          <w:bCs/>
          <w:i w:val="0"/>
          <w:iCs w:val="0"/>
          <w:color w:val="93D500" w:themeColor="accent1"/>
          <w:sz w:val="20"/>
          <w:szCs w:val="20"/>
        </w:rPr>
        <w:fldChar w:fldCharType="begin"/>
      </w:r>
      <w:r>
        <w:rPr>
          <w:rFonts w:eastAsiaTheme="minorHAnsi" w:cstheme="minorBidi"/>
          <w:b/>
          <w:bCs/>
          <w:i w:val="0"/>
          <w:iCs w:val="0"/>
          <w:color w:val="93D500" w:themeColor="accent1"/>
          <w:sz w:val="20"/>
          <w:szCs w:val="20"/>
        </w:rPr>
        <w:instrText xml:space="preserve"> SEQ Table \* ARABIC </w:instrText>
      </w:r>
      <w:r>
        <w:rPr>
          <w:rFonts w:eastAsiaTheme="minorHAnsi" w:cstheme="minorBidi"/>
          <w:b/>
          <w:bCs/>
          <w:i w:val="0"/>
          <w:iCs w:val="0"/>
          <w:color w:val="93D500" w:themeColor="accent1"/>
          <w:sz w:val="20"/>
          <w:szCs w:val="20"/>
        </w:rPr>
        <w:fldChar w:fldCharType="separate"/>
      </w:r>
      <w:r w:rsidR="00DD5440">
        <w:rPr>
          <w:rFonts w:eastAsiaTheme="minorHAnsi" w:cstheme="minorBidi"/>
          <w:b/>
          <w:bCs/>
          <w:i w:val="0"/>
          <w:iCs w:val="0"/>
          <w:noProof/>
          <w:color w:val="93D500" w:themeColor="accent1"/>
          <w:sz w:val="20"/>
          <w:szCs w:val="20"/>
        </w:rPr>
        <w:t>7</w:t>
      </w:r>
      <w:r>
        <w:rPr>
          <w:rFonts w:eastAsiaTheme="minorHAnsi" w:cstheme="minorBidi"/>
          <w:b/>
          <w:bCs/>
          <w:i w:val="0"/>
          <w:iCs w:val="0"/>
          <w:color w:val="93D500" w:themeColor="accent1"/>
          <w:sz w:val="20"/>
          <w:szCs w:val="20"/>
        </w:rPr>
        <w:fldChar w:fldCharType="end"/>
      </w:r>
      <w:r w:rsidRPr="00B35051">
        <w:rPr>
          <w:rFonts w:eastAsiaTheme="minorHAnsi" w:cstheme="minorBidi"/>
          <w:b/>
          <w:bCs/>
          <w:i w:val="0"/>
          <w:iCs w:val="0"/>
          <w:color w:val="93D500" w:themeColor="accent1"/>
          <w:sz w:val="20"/>
          <w:szCs w:val="20"/>
        </w:rPr>
        <w:t xml:space="preserve">. </w:t>
      </w:r>
      <w:r>
        <w:rPr>
          <w:rFonts w:eastAsiaTheme="minorHAnsi" w:cstheme="minorBidi"/>
          <w:b/>
          <w:bCs/>
          <w:i w:val="0"/>
          <w:iCs w:val="0"/>
          <w:color w:val="93D500" w:themeColor="accent1"/>
          <w:sz w:val="20"/>
          <w:szCs w:val="20"/>
        </w:rPr>
        <w:t xml:space="preserve">Single-family </w:t>
      </w:r>
      <w:r w:rsidRPr="00B35051">
        <w:rPr>
          <w:rFonts w:eastAsiaTheme="minorHAnsi" w:cstheme="minorBidi"/>
          <w:b/>
          <w:bCs/>
          <w:i w:val="0"/>
          <w:iCs w:val="0"/>
          <w:color w:val="93D500" w:themeColor="accent1"/>
          <w:sz w:val="20"/>
          <w:szCs w:val="20"/>
        </w:rPr>
        <w:t>Monetized Participant NEI</w:t>
      </w:r>
      <w:r w:rsidR="00217D27">
        <w:rPr>
          <w:rFonts w:eastAsiaTheme="minorHAnsi" w:cstheme="minorBidi"/>
          <w:b/>
          <w:bCs/>
          <w:i w:val="0"/>
          <w:iCs w:val="0"/>
          <w:color w:val="93D500" w:themeColor="accent1"/>
          <w:sz w:val="20"/>
          <w:szCs w:val="20"/>
        </w:rPr>
        <w:t xml:space="preserve"> Proxys</w:t>
      </w:r>
      <w:r w:rsidRPr="00B35051">
        <w:rPr>
          <w:rFonts w:eastAsiaTheme="minorHAnsi" w:cstheme="minorBidi"/>
          <w:b/>
          <w:bCs/>
          <w:i w:val="0"/>
          <w:iCs w:val="0"/>
          <w:color w:val="93D500" w:themeColor="accent1"/>
          <w:sz w:val="20"/>
          <w:szCs w:val="20"/>
        </w:rPr>
        <w:t xml:space="preserve"> – Per</w:t>
      </w:r>
      <w:r>
        <w:rPr>
          <w:rFonts w:eastAsiaTheme="minorHAnsi" w:cstheme="minorBidi"/>
          <w:b/>
          <w:bCs/>
          <w:i w:val="0"/>
          <w:iCs w:val="0"/>
          <w:color w:val="93D500" w:themeColor="accent1"/>
          <w:sz w:val="20"/>
          <w:szCs w:val="20"/>
        </w:rPr>
        <w:t xml:space="preserve"> </w:t>
      </w:r>
      <w:r w:rsidRPr="00B35051">
        <w:rPr>
          <w:rFonts w:eastAsiaTheme="minorHAnsi" w:cstheme="minorBidi"/>
          <w:b/>
          <w:bCs/>
          <w:i w:val="0"/>
          <w:iCs w:val="0"/>
          <w:color w:val="93D500" w:themeColor="accent1"/>
          <w:sz w:val="20"/>
          <w:szCs w:val="20"/>
        </w:rPr>
        <w:t>Household</w:t>
      </w:r>
      <w:r>
        <w:rPr>
          <w:rFonts w:eastAsiaTheme="minorHAnsi" w:cstheme="minorBidi"/>
          <w:b/>
          <w:bCs/>
          <w:i w:val="0"/>
          <w:iCs w:val="0"/>
          <w:color w:val="93D500" w:themeColor="accent1"/>
          <w:sz w:val="20"/>
          <w:szCs w:val="20"/>
        </w:rPr>
        <w:t xml:space="preserve"> Annually</w:t>
      </w:r>
    </w:p>
    <w:tbl>
      <w:tblPr>
        <w:tblW w:w="8580" w:type="dxa"/>
        <w:jc w:val="center"/>
        <w:tblLook w:val="04A0" w:firstRow="1" w:lastRow="0" w:firstColumn="1" w:lastColumn="0" w:noHBand="0" w:noVBand="1"/>
      </w:tblPr>
      <w:tblGrid>
        <w:gridCol w:w="3460"/>
        <w:gridCol w:w="1480"/>
        <w:gridCol w:w="1340"/>
        <w:gridCol w:w="1180"/>
        <w:gridCol w:w="1120"/>
      </w:tblGrid>
      <w:tr w:rsidR="008547B5" w:rsidRPr="00217D27" w14:paraId="1EEE7534" w14:textId="77777777" w:rsidTr="00304BF4">
        <w:trPr>
          <w:trHeight w:val="1215"/>
          <w:jc w:val="center"/>
        </w:trPr>
        <w:tc>
          <w:tcPr>
            <w:tcW w:w="3460" w:type="dxa"/>
            <w:tcBorders>
              <w:top w:val="nil"/>
              <w:left w:val="nil"/>
              <w:bottom w:val="single" w:sz="12" w:space="0" w:color="93D500"/>
              <w:right w:val="nil"/>
            </w:tcBorders>
            <w:shd w:val="clear" w:color="000000" w:fill="53575A"/>
            <w:noWrap/>
            <w:vAlign w:val="center"/>
            <w:hideMark/>
          </w:tcPr>
          <w:p w14:paraId="15B4F3B4" w14:textId="77777777" w:rsidR="008547B5" w:rsidRPr="00304BF4" w:rsidRDefault="008547B5" w:rsidP="008547B5">
            <w:pPr>
              <w:spacing w:line="240" w:lineRule="auto"/>
              <w:rPr>
                <w:rFonts w:ascii="Arial Narrow" w:hAnsi="Arial Narrow" w:cs="Calibri"/>
                <w:b/>
                <w:bCs/>
                <w:color w:val="F2F2F2"/>
                <w:szCs w:val="18"/>
              </w:rPr>
            </w:pPr>
            <w:r w:rsidRPr="00304BF4">
              <w:rPr>
                <w:rFonts w:ascii="Arial Narrow" w:hAnsi="Arial Narrow" w:cs="Calibri"/>
                <w:b/>
                <w:bCs/>
                <w:color w:val="F2F2F2"/>
                <w:szCs w:val="18"/>
              </w:rPr>
              <w:t>Participant NEI type</w:t>
            </w:r>
          </w:p>
        </w:tc>
        <w:tc>
          <w:tcPr>
            <w:tcW w:w="1480" w:type="dxa"/>
            <w:tcBorders>
              <w:top w:val="nil"/>
              <w:left w:val="nil"/>
              <w:bottom w:val="single" w:sz="12" w:space="0" w:color="93D500"/>
              <w:right w:val="nil"/>
            </w:tcBorders>
            <w:shd w:val="clear" w:color="000000" w:fill="53575A"/>
            <w:vAlign w:val="center"/>
            <w:hideMark/>
          </w:tcPr>
          <w:p w14:paraId="59F60C11" w14:textId="77777777" w:rsidR="008547B5" w:rsidRPr="00304BF4" w:rsidRDefault="008547B5" w:rsidP="008547B5">
            <w:pPr>
              <w:spacing w:line="240" w:lineRule="auto"/>
              <w:rPr>
                <w:rFonts w:ascii="Arial Narrow" w:hAnsi="Arial Narrow" w:cs="Calibri"/>
                <w:b/>
                <w:bCs/>
                <w:color w:val="FFFFFF"/>
                <w:szCs w:val="18"/>
              </w:rPr>
            </w:pPr>
            <w:r w:rsidRPr="00304BF4">
              <w:rPr>
                <w:rFonts w:ascii="Arial Narrow" w:hAnsi="Arial Narrow" w:cs="Calibri"/>
                <w:b/>
                <w:bCs/>
                <w:color w:val="FFFFFF"/>
                <w:szCs w:val="18"/>
              </w:rPr>
              <w:t>Guidehouse Adjusted Values ($2022)</w:t>
            </w:r>
          </w:p>
        </w:tc>
        <w:tc>
          <w:tcPr>
            <w:tcW w:w="1340" w:type="dxa"/>
            <w:tcBorders>
              <w:top w:val="nil"/>
              <w:left w:val="nil"/>
              <w:bottom w:val="single" w:sz="12" w:space="0" w:color="93D500"/>
              <w:right w:val="nil"/>
            </w:tcBorders>
            <w:shd w:val="clear" w:color="000000" w:fill="53575A"/>
            <w:vAlign w:val="center"/>
            <w:hideMark/>
          </w:tcPr>
          <w:p w14:paraId="4F39D38C" w14:textId="77777777" w:rsidR="008547B5" w:rsidRPr="00304BF4" w:rsidRDefault="008547B5" w:rsidP="008547B5">
            <w:pPr>
              <w:spacing w:line="240" w:lineRule="auto"/>
              <w:rPr>
                <w:rFonts w:ascii="Arial Narrow" w:hAnsi="Arial Narrow" w:cs="Calibri"/>
                <w:b/>
                <w:bCs/>
                <w:color w:val="FFFFFF"/>
                <w:szCs w:val="18"/>
              </w:rPr>
            </w:pPr>
            <w:r w:rsidRPr="00304BF4">
              <w:rPr>
                <w:rFonts w:ascii="Arial Narrow" w:hAnsi="Arial Narrow" w:cs="Calibri"/>
                <w:b/>
                <w:bCs/>
                <w:color w:val="FFFFFF"/>
                <w:szCs w:val="18"/>
              </w:rPr>
              <w:t>Guidehouse Adjusted Values ($2023)</w:t>
            </w:r>
          </w:p>
        </w:tc>
        <w:tc>
          <w:tcPr>
            <w:tcW w:w="1180" w:type="dxa"/>
            <w:tcBorders>
              <w:top w:val="nil"/>
              <w:left w:val="nil"/>
              <w:bottom w:val="single" w:sz="12" w:space="0" w:color="93D500"/>
              <w:right w:val="nil"/>
            </w:tcBorders>
            <w:shd w:val="clear" w:color="000000" w:fill="53575A"/>
            <w:vAlign w:val="center"/>
            <w:hideMark/>
          </w:tcPr>
          <w:p w14:paraId="787586DC" w14:textId="77777777" w:rsidR="008547B5" w:rsidRPr="00304BF4" w:rsidRDefault="008547B5" w:rsidP="008547B5">
            <w:pPr>
              <w:spacing w:line="240" w:lineRule="auto"/>
              <w:rPr>
                <w:rFonts w:ascii="Arial Narrow" w:hAnsi="Arial Narrow" w:cs="Calibri"/>
                <w:b/>
                <w:bCs/>
                <w:color w:val="FFFFFF"/>
                <w:szCs w:val="18"/>
              </w:rPr>
            </w:pPr>
            <w:r w:rsidRPr="00304BF4">
              <w:rPr>
                <w:rFonts w:ascii="Arial Narrow" w:hAnsi="Arial Narrow" w:cs="Calibri"/>
                <w:b/>
                <w:bCs/>
                <w:color w:val="FFFFFF"/>
                <w:szCs w:val="18"/>
              </w:rPr>
              <w:t>Guidehouse Adjusted Values ($2024)</w:t>
            </w:r>
          </w:p>
        </w:tc>
        <w:tc>
          <w:tcPr>
            <w:tcW w:w="1120" w:type="dxa"/>
            <w:tcBorders>
              <w:top w:val="nil"/>
              <w:left w:val="nil"/>
              <w:bottom w:val="single" w:sz="12" w:space="0" w:color="93D500"/>
              <w:right w:val="nil"/>
            </w:tcBorders>
            <w:shd w:val="clear" w:color="000000" w:fill="53575A"/>
            <w:vAlign w:val="center"/>
            <w:hideMark/>
          </w:tcPr>
          <w:p w14:paraId="4FC3A06E" w14:textId="77777777" w:rsidR="008547B5" w:rsidRPr="00304BF4" w:rsidRDefault="008547B5" w:rsidP="008547B5">
            <w:pPr>
              <w:spacing w:line="240" w:lineRule="auto"/>
              <w:rPr>
                <w:rFonts w:ascii="Arial Narrow" w:hAnsi="Arial Narrow" w:cs="Calibri"/>
                <w:b/>
                <w:bCs/>
                <w:color w:val="FFFFFF"/>
                <w:szCs w:val="18"/>
              </w:rPr>
            </w:pPr>
            <w:r w:rsidRPr="00304BF4">
              <w:rPr>
                <w:rFonts w:ascii="Arial Narrow" w:hAnsi="Arial Narrow" w:cs="Calibri"/>
                <w:b/>
                <w:bCs/>
                <w:color w:val="FFFFFF"/>
                <w:szCs w:val="18"/>
              </w:rPr>
              <w:t>Guidehouse Adjusted Values ($2025)</w:t>
            </w:r>
          </w:p>
        </w:tc>
      </w:tr>
      <w:tr w:rsidR="00217D27" w:rsidRPr="00217D27" w14:paraId="27AE182E" w14:textId="77777777" w:rsidTr="00304BF4">
        <w:trPr>
          <w:trHeight w:val="280"/>
          <w:jc w:val="center"/>
        </w:trPr>
        <w:tc>
          <w:tcPr>
            <w:tcW w:w="3460" w:type="dxa"/>
            <w:tcBorders>
              <w:top w:val="nil"/>
              <w:left w:val="nil"/>
              <w:bottom w:val="single" w:sz="8" w:space="0" w:color="DBDDDE"/>
              <w:right w:val="nil"/>
            </w:tcBorders>
            <w:shd w:val="clear" w:color="auto" w:fill="auto"/>
            <w:noWrap/>
            <w:vAlign w:val="center"/>
            <w:hideMark/>
          </w:tcPr>
          <w:p w14:paraId="3D130C2E" w14:textId="77777777" w:rsidR="00217D27" w:rsidRPr="00304BF4" w:rsidRDefault="00217D27" w:rsidP="00217D27">
            <w:pPr>
              <w:spacing w:line="240" w:lineRule="auto"/>
              <w:rPr>
                <w:rFonts w:ascii="Arial Narrow" w:hAnsi="Arial Narrow" w:cs="Calibri"/>
                <w:szCs w:val="18"/>
              </w:rPr>
            </w:pPr>
            <w:r w:rsidRPr="00304BF4">
              <w:rPr>
                <w:rFonts w:ascii="Arial Narrow" w:hAnsi="Arial Narrow" w:cs="Calibri"/>
                <w:szCs w:val="18"/>
              </w:rPr>
              <w:t>Thermal Comfort</w:t>
            </w:r>
          </w:p>
        </w:tc>
        <w:tc>
          <w:tcPr>
            <w:tcW w:w="1480" w:type="dxa"/>
            <w:tcBorders>
              <w:top w:val="nil"/>
              <w:left w:val="nil"/>
              <w:bottom w:val="single" w:sz="8" w:space="0" w:color="DBDDDE"/>
              <w:right w:val="nil"/>
            </w:tcBorders>
            <w:shd w:val="clear" w:color="auto" w:fill="auto"/>
            <w:vAlign w:val="center"/>
            <w:hideMark/>
          </w:tcPr>
          <w:p w14:paraId="1EC714B5" w14:textId="4E9BF867" w:rsidR="00217D27" w:rsidRPr="00304BF4" w:rsidRDefault="00217D27" w:rsidP="00217D27">
            <w:pPr>
              <w:spacing w:line="240" w:lineRule="auto"/>
              <w:jc w:val="right"/>
              <w:rPr>
                <w:rFonts w:ascii="Arial Narrow" w:hAnsi="Arial Narrow" w:cs="Calibri"/>
                <w:szCs w:val="18"/>
              </w:rPr>
            </w:pPr>
            <w:r w:rsidRPr="00304BF4">
              <w:rPr>
                <w:rFonts w:ascii="Arial Narrow" w:hAnsi="Arial Narrow" w:cs="Calibri"/>
                <w:szCs w:val="18"/>
              </w:rPr>
              <w:t>82.64</w:t>
            </w:r>
          </w:p>
        </w:tc>
        <w:tc>
          <w:tcPr>
            <w:tcW w:w="1340" w:type="dxa"/>
            <w:tcBorders>
              <w:top w:val="nil"/>
              <w:left w:val="nil"/>
              <w:bottom w:val="single" w:sz="8" w:space="0" w:color="DBDDDE"/>
              <w:right w:val="nil"/>
            </w:tcBorders>
            <w:shd w:val="clear" w:color="auto" w:fill="auto"/>
            <w:vAlign w:val="center"/>
            <w:hideMark/>
          </w:tcPr>
          <w:p w14:paraId="56722EFB" w14:textId="0D763604" w:rsidR="00217D27" w:rsidRPr="00304BF4" w:rsidRDefault="00217D27" w:rsidP="00217D27">
            <w:pPr>
              <w:spacing w:line="240" w:lineRule="auto"/>
              <w:jc w:val="right"/>
              <w:rPr>
                <w:rFonts w:ascii="Arial Narrow" w:hAnsi="Arial Narrow" w:cs="Calibri"/>
                <w:szCs w:val="18"/>
              </w:rPr>
            </w:pPr>
            <w:r w:rsidRPr="00304BF4">
              <w:rPr>
                <w:rFonts w:ascii="Arial Narrow" w:hAnsi="Arial Narrow" w:cs="Calibri"/>
                <w:szCs w:val="18"/>
              </w:rPr>
              <w:t>84.26</w:t>
            </w:r>
          </w:p>
        </w:tc>
        <w:tc>
          <w:tcPr>
            <w:tcW w:w="1180" w:type="dxa"/>
            <w:tcBorders>
              <w:top w:val="nil"/>
              <w:left w:val="nil"/>
              <w:bottom w:val="single" w:sz="8" w:space="0" w:color="DBDDDE"/>
              <w:right w:val="nil"/>
            </w:tcBorders>
            <w:shd w:val="clear" w:color="auto" w:fill="auto"/>
            <w:vAlign w:val="center"/>
            <w:hideMark/>
          </w:tcPr>
          <w:p w14:paraId="75813B1B" w14:textId="08B98C9F" w:rsidR="00217D27" w:rsidRPr="00304BF4" w:rsidRDefault="00217D27" w:rsidP="00217D27">
            <w:pPr>
              <w:spacing w:line="240" w:lineRule="auto"/>
              <w:jc w:val="right"/>
              <w:rPr>
                <w:rFonts w:ascii="Arial Narrow" w:hAnsi="Arial Narrow" w:cs="Calibri"/>
                <w:szCs w:val="18"/>
              </w:rPr>
            </w:pPr>
            <w:r w:rsidRPr="00304BF4">
              <w:rPr>
                <w:rFonts w:ascii="Arial Narrow" w:hAnsi="Arial Narrow" w:cs="Calibri"/>
                <w:szCs w:val="18"/>
              </w:rPr>
              <w:t>85.88</w:t>
            </w:r>
          </w:p>
        </w:tc>
        <w:tc>
          <w:tcPr>
            <w:tcW w:w="1120" w:type="dxa"/>
            <w:tcBorders>
              <w:top w:val="nil"/>
              <w:left w:val="nil"/>
              <w:bottom w:val="single" w:sz="8" w:space="0" w:color="DBDDDE"/>
              <w:right w:val="nil"/>
            </w:tcBorders>
            <w:shd w:val="clear" w:color="auto" w:fill="auto"/>
            <w:vAlign w:val="center"/>
            <w:hideMark/>
          </w:tcPr>
          <w:p w14:paraId="79C57889" w14:textId="2D8CAB8A" w:rsidR="00217D27" w:rsidRPr="00304BF4" w:rsidRDefault="00217D27" w:rsidP="00217D27">
            <w:pPr>
              <w:spacing w:line="240" w:lineRule="auto"/>
              <w:jc w:val="right"/>
              <w:rPr>
                <w:rFonts w:ascii="Arial Narrow" w:hAnsi="Arial Narrow" w:cs="Calibri"/>
                <w:szCs w:val="18"/>
              </w:rPr>
            </w:pPr>
            <w:r w:rsidRPr="00304BF4">
              <w:rPr>
                <w:rFonts w:ascii="Arial Narrow" w:hAnsi="Arial Narrow" w:cs="Calibri"/>
                <w:szCs w:val="18"/>
              </w:rPr>
              <w:t>87.43</w:t>
            </w:r>
          </w:p>
        </w:tc>
      </w:tr>
      <w:tr w:rsidR="00217D27" w:rsidRPr="00217D27" w14:paraId="446A144C" w14:textId="77777777" w:rsidTr="00304BF4">
        <w:trPr>
          <w:trHeight w:val="270"/>
          <w:jc w:val="center"/>
        </w:trPr>
        <w:tc>
          <w:tcPr>
            <w:tcW w:w="3460" w:type="dxa"/>
            <w:tcBorders>
              <w:top w:val="nil"/>
              <w:left w:val="nil"/>
              <w:bottom w:val="single" w:sz="8" w:space="0" w:color="DBDDDE"/>
              <w:right w:val="nil"/>
            </w:tcBorders>
            <w:shd w:val="clear" w:color="000000" w:fill="FFFFFF"/>
            <w:noWrap/>
            <w:vAlign w:val="center"/>
            <w:hideMark/>
          </w:tcPr>
          <w:p w14:paraId="5CE272A7" w14:textId="77777777" w:rsidR="00217D27" w:rsidRPr="00304BF4" w:rsidRDefault="00217D27" w:rsidP="00217D27">
            <w:pPr>
              <w:spacing w:line="240" w:lineRule="auto"/>
              <w:rPr>
                <w:rFonts w:ascii="Arial Narrow" w:hAnsi="Arial Narrow" w:cs="Calibri"/>
                <w:szCs w:val="18"/>
              </w:rPr>
            </w:pPr>
            <w:r w:rsidRPr="00304BF4">
              <w:rPr>
                <w:rFonts w:ascii="Arial Narrow" w:hAnsi="Arial Narrow" w:cs="Calibri"/>
                <w:szCs w:val="18"/>
              </w:rPr>
              <w:t>Health &amp; Safety (including Asthma Reduction)</w:t>
            </w:r>
          </w:p>
        </w:tc>
        <w:tc>
          <w:tcPr>
            <w:tcW w:w="1480" w:type="dxa"/>
            <w:tcBorders>
              <w:top w:val="nil"/>
              <w:left w:val="nil"/>
              <w:bottom w:val="single" w:sz="8" w:space="0" w:color="DBDDDE"/>
              <w:right w:val="nil"/>
            </w:tcBorders>
            <w:shd w:val="clear" w:color="auto" w:fill="auto"/>
            <w:vAlign w:val="center"/>
            <w:hideMark/>
          </w:tcPr>
          <w:p w14:paraId="7655579E" w14:textId="229CF5D2" w:rsidR="00217D27" w:rsidRPr="00304BF4" w:rsidRDefault="00217D27" w:rsidP="00217D27">
            <w:pPr>
              <w:spacing w:line="240" w:lineRule="auto"/>
              <w:jc w:val="right"/>
              <w:rPr>
                <w:rFonts w:ascii="Arial Narrow" w:hAnsi="Arial Narrow" w:cs="Calibri"/>
                <w:szCs w:val="18"/>
              </w:rPr>
            </w:pPr>
            <w:r w:rsidRPr="00304BF4">
              <w:rPr>
                <w:rFonts w:ascii="Arial Narrow" w:hAnsi="Arial Narrow" w:cs="Calibri"/>
                <w:szCs w:val="18"/>
              </w:rPr>
              <w:t>11.20</w:t>
            </w:r>
          </w:p>
        </w:tc>
        <w:tc>
          <w:tcPr>
            <w:tcW w:w="1340" w:type="dxa"/>
            <w:tcBorders>
              <w:top w:val="nil"/>
              <w:left w:val="nil"/>
              <w:bottom w:val="single" w:sz="8" w:space="0" w:color="DBDDDE"/>
              <w:right w:val="nil"/>
            </w:tcBorders>
            <w:shd w:val="clear" w:color="auto" w:fill="auto"/>
            <w:vAlign w:val="center"/>
            <w:hideMark/>
          </w:tcPr>
          <w:p w14:paraId="430F3844" w14:textId="65D13D8A" w:rsidR="00217D27" w:rsidRPr="00304BF4" w:rsidRDefault="00217D27" w:rsidP="00217D27">
            <w:pPr>
              <w:spacing w:line="240" w:lineRule="auto"/>
              <w:jc w:val="right"/>
              <w:rPr>
                <w:rFonts w:ascii="Arial Narrow" w:hAnsi="Arial Narrow" w:cs="Calibri"/>
                <w:szCs w:val="18"/>
              </w:rPr>
            </w:pPr>
            <w:r w:rsidRPr="00304BF4">
              <w:rPr>
                <w:rFonts w:ascii="Arial Narrow" w:hAnsi="Arial Narrow" w:cs="Calibri"/>
                <w:szCs w:val="18"/>
              </w:rPr>
              <w:t>11.42</w:t>
            </w:r>
          </w:p>
        </w:tc>
        <w:tc>
          <w:tcPr>
            <w:tcW w:w="1180" w:type="dxa"/>
            <w:tcBorders>
              <w:top w:val="nil"/>
              <w:left w:val="nil"/>
              <w:bottom w:val="single" w:sz="8" w:space="0" w:color="DBDDDE"/>
              <w:right w:val="nil"/>
            </w:tcBorders>
            <w:shd w:val="clear" w:color="auto" w:fill="auto"/>
            <w:vAlign w:val="center"/>
            <w:hideMark/>
          </w:tcPr>
          <w:p w14:paraId="39EE69E3" w14:textId="6298E5A4" w:rsidR="00217D27" w:rsidRPr="00304BF4" w:rsidRDefault="00217D27" w:rsidP="00217D27">
            <w:pPr>
              <w:spacing w:line="240" w:lineRule="auto"/>
              <w:jc w:val="right"/>
              <w:rPr>
                <w:rFonts w:ascii="Arial Narrow" w:hAnsi="Arial Narrow" w:cs="Calibri"/>
                <w:szCs w:val="18"/>
              </w:rPr>
            </w:pPr>
            <w:r w:rsidRPr="00304BF4">
              <w:rPr>
                <w:rFonts w:ascii="Arial Narrow" w:hAnsi="Arial Narrow" w:cs="Calibri"/>
                <w:szCs w:val="18"/>
              </w:rPr>
              <w:t>11.64</w:t>
            </w:r>
          </w:p>
        </w:tc>
        <w:tc>
          <w:tcPr>
            <w:tcW w:w="1120" w:type="dxa"/>
            <w:tcBorders>
              <w:top w:val="nil"/>
              <w:left w:val="nil"/>
              <w:bottom w:val="single" w:sz="8" w:space="0" w:color="DBDDDE"/>
              <w:right w:val="nil"/>
            </w:tcBorders>
            <w:shd w:val="clear" w:color="auto" w:fill="auto"/>
            <w:vAlign w:val="center"/>
            <w:hideMark/>
          </w:tcPr>
          <w:p w14:paraId="0A60F37F" w14:textId="2C33FE37" w:rsidR="00217D27" w:rsidRPr="00304BF4" w:rsidRDefault="00217D27" w:rsidP="00217D27">
            <w:pPr>
              <w:spacing w:line="240" w:lineRule="auto"/>
              <w:jc w:val="right"/>
              <w:rPr>
                <w:rFonts w:ascii="Arial Narrow" w:hAnsi="Arial Narrow" w:cs="Calibri"/>
                <w:szCs w:val="18"/>
              </w:rPr>
            </w:pPr>
            <w:r w:rsidRPr="00304BF4">
              <w:rPr>
                <w:rFonts w:ascii="Arial Narrow" w:hAnsi="Arial Narrow" w:cs="Calibri"/>
                <w:szCs w:val="18"/>
              </w:rPr>
              <w:t>11.85</w:t>
            </w:r>
          </w:p>
        </w:tc>
      </w:tr>
      <w:tr w:rsidR="00217D27" w:rsidRPr="00217D27" w14:paraId="6AFEFE07" w14:textId="77777777" w:rsidTr="00304BF4">
        <w:trPr>
          <w:trHeight w:val="270"/>
          <w:jc w:val="center"/>
        </w:trPr>
        <w:tc>
          <w:tcPr>
            <w:tcW w:w="3460" w:type="dxa"/>
            <w:tcBorders>
              <w:top w:val="nil"/>
              <w:left w:val="nil"/>
              <w:bottom w:val="nil"/>
              <w:right w:val="nil"/>
            </w:tcBorders>
            <w:shd w:val="clear" w:color="auto" w:fill="auto"/>
            <w:noWrap/>
            <w:vAlign w:val="center"/>
            <w:hideMark/>
          </w:tcPr>
          <w:p w14:paraId="34997430" w14:textId="77777777" w:rsidR="00217D27" w:rsidRPr="00304BF4" w:rsidRDefault="00217D27" w:rsidP="00217D27">
            <w:pPr>
              <w:spacing w:line="240" w:lineRule="auto"/>
              <w:rPr>
                <w:rFonts w:ascii="Arial Narrow" w:hAnsi="Arial Narrow" w:cs="Calibri"/>
                <w:szCs w:val="18"/>
              </w:rPr>
            </w:pPr>
            <w:r w:rsidRPr="00304BF4">
              <w:rPr>
                <w:rFonts w:ascii="Arial Narrow" w:hAnsi="Arial Narrow" w:cs="Calibri"/>
                <w:szCs w:val="18"/>
              </w:rPr>
              <w:t>Reduced missed days of work</w:t>
            </w:r>
          </w:p>
        </w:tc>
        <w:tc>
          <w:tcPr>
            <w:tcW w:w="1480" w:type="dxa"/>
            <w:tcBorders>
              <w:top w:val="nil"/>
              <w:left w:val="nil"/>
              <w:bottom w:val="nil"/>
              <w:right w:val="nil"/>
            </w:tcBorders>
            <w:shd w:val="clear" w:color="auto" w:fill="auto"/>
            <w:vAlign w:val="center"/>
            <w:hideMark/>
          </w:tcPr>
          <w:p w14:paraId="7E0B2156" w14:textId="2CE88F57" w:rsidR="00217D27" w:rsidRPr="00304BF4" w:rsidRDefault="00217D27" w:rsidP="00217D27">
            <w:pPr>
              <w:spacing w:line="240" w:lineRule="auto"/>
              <w:jc w:val="right"/>
              <w:rPr>
                <w:rFonts w:ascii="Arial Narrow" w:hAnsi="Arial Narrow" w:cs="Calibri"/>
                <w:szCs w:val="18"/>
              </w:rPr>
            </w:pPr>
            <w:r w:rsidRPr="00304BF4">
              <w:rPr>
                <w:rFonts w:ascii="Arial Narrow" w:hAnsi="Arial Narrow" w:cs="Calibri"/>
                <w:szCs w:val="18"/>
              </w:rPr>
              <w:t>209.52</w:t>
            </w:r>
          </w:p>
        </w:tc>
        <w:tc>
          <w:tcPr>
            <w:tcW w:w="1340" w:type="dxa"/>
            <w:tcBorders>
              <w:top w:val="nil"/>
              <w:left w:val="nil"/>
              <w:bottom w:val="nil"/>
              <w:right w:val="nil"/>
            </w:tcBorders>
            <w:shd w:val="clear" w:color="auto" w:fill="auto"/>
            <w:vAlign w:val="center"/>
            <w:hideMark/>
          </w:tcPr>
          <w:p w14:paraId="0C0AE086" w14:textId="7045E660" w:rsidR="00217D27" w:rsidRPr="00304BF4" w:rsidRDefault="00217D27" w:rsidP="00217D27">
            <w:pPr>
              <w:spacing w:line="240" w:lineRule="auto"/>
              <w:jc w:val="right"/>
              <w:rPr>
                <w:rFonts w:ascii="Arial Narrow" w:hAnsi="Arial Narrow" w:cs="Calibri"/>
                <w:szCs w:val="18"/>
              </w:rPr>
            </w:pPr>
            <w:r w:rsidRPr="00304BF4">
              <w:rPr>
                <w:rFonts w:ascii="Arial Narrow" w:hAnsi="Arial Narrow" w:cs="Calibri"/>
                <w:szCs w:val="18"/>
              </w:rPr>
              <w:t>213.63</w:t>
            </w:r>
          </w:p>
        </w:tc>
        <w:tc>
          <w:tcPr>
            <w:tcW w:w="1180" w:type="dxa"/>
            <w:tcBorders>
              <w:top w:val="nil"/>
              <w:left w:val="nil"/>
              <w:bottom w:val="nil"/>
              <w:right w:val="nil"/>
            </w:tcBorders>
            <w:shd w:val="clear" w:color="auto" w:fill="auto"/>
            <w:vAlign w:val="center"/>
            <w:hideMark/>
          </w:tcPr>
          <w:p w14:paraId="185426F6" w14:textId="60C059DF" w:rsidR="00217D27" w:rsidRPr="00304BF4" w:rsidRDefault="00217D27" w:rsidP="00217D27">
            <w:pPr>
              <w:spacing w:line="240" w:lineRule="auto"/>
              <w:jc w:val="right"/>
              <w:rPr>
                <w:rFonts w:ascii="Arial Narrow" w:hAnsi="Arial Narrow" w:cs="Calibri"/>
                <w:szCs w:val="18"/>
              </w:rPr>
            </w:pPr>
            <w:r w:rsidRPr="00304BF4">
              <w:rPr>
                <w:rFonts w:ascii="Arial Narrow" w:hAnsi="Arial Narrow" w:cs="Calibri"/>
                <w:szCs w:val="18"/>
              </w:rPr>
              <w:t>217.74</w:t>
            </w:r>
          </w:p>
        </w:tc>
        <w:tc>
          <w:tcPr>
            <w:tcW w:w="1120" w:type="dxa"/>
            <w:tcBorders>
              <w:top w:val="nil"/>
              <w:left w:val="nil"/>
              <w:bottom w:val="nil"/>
              <w:right w:val="nil"/>
            </w:tcBorders>
            <w:shd w:val="clear" w:color="auto" w:fill="auto"/>
            <w:vAlign w:val="center"/>
            <w:hideMark/>
          </w:tcPr>
          <w:p w14:paraId="6F675A45" w14:textId="3D05015F" w:rsidR="00217D27" w:rsidRPr="00304BF4" w:rsidRDefault="00217D27" w:rsidP="00217D27">
            <w:pPr>
              <w:spacing w:line="240" w:lineRule="auto"/>
              <w:jc w:val="right"/>
              <w:rPr>
                <w:rFonts w:ascii="Arial Narrow" w:hAnsi="Arial Narrow" w:cs="Calibri"/>
                <w:szCs w:val="18"/>
              </w:rPr>
            </w:pPr>
            <w:r w:rsidRPr="00304BF4">
              <w:rPr>
                <w:rFonts w:ascii="Arial Narrow" w:hAnsi="Arial Narrow" w:cs="Calibri"/>
                <w:szCs w:val="18"/>
              </w:rPr>
              <w:t>221.66</w:t>
            </w:r>
          </w:p>
        </w:tc>
      </w:tr>
      <w:tr w:rsidR="00217D27" w:rsidRPr="00217D27" w14:paraId="53FA8317" w14:textId="77777777" w:rsidTr="00304BF4">
        <w:trPr>
          <w:trHeight w:val="270"/>
          <w:jc w:val="center"/>
        </w:trPr>
        <w:tc>
          <w:tcPr>
            <w:tcW w:w="3460" w:type="dxa"/>
            <w:tcBorders>
              <w:top w:val="single" w:sz="8" w:space="0" w:color="D9D9D9"/>
              <w:left w:val="nil"/>
              <w:bottom w:val="single" w:sz="8" w:space="0" w:color="53575A"/>
              <w:right w:val="nil"/>
            </w:tcBorders>
            <w:shd w:val="clear" w:color="auto" w:fill="auto"/>
            <w:noWrap/>
            <w:vAlign w:val="center"/>
            <w:hideMark/>
          </w:tcPr>
          <w:p w14:paraId="53644136" w14:textId="77777777" w:rsidR="00217D27" w:rsidRPr="00304BF4" w:rsidRDefault="00217D27" w:rsidP="00217D27">
            <w:pPr>
              <w:spacing w:line="240" w:lineRule="auto"/>
              <w:rPr>
                <w:rFonts w:ascii="Arial Narrow" w:hAnsi="Arial Narrow" w:cs="Calibri"/>
                <w:szCs w:val="18"/>
              </w:rPr>
            </w:pPr>
            <w:r w:rsidRPr="00304BF4">
              <w:rPr>
                <w:rFonts w:ascii="Arial Narrow" w:hAnsi="Arial Narrow" w:cs="Calibri"/>
                <w:szCs w:val="18"/>
              </w:rPr>
              <w:t>Total</w:t>
            </w:r>
          </w:p>
        </w:tc>
        <w:tc>
          <w:tcPr>
            <w:tcW w:w="1480" w:type="dxa"/>
            <w:tcBorders>
              <w:top w:val="single" w:sz="8" w:space="0" w:color="D9D9D9"/>
              <w:left w:val="nil"/>
              <w:bottom w:val="single" w:sz="8" w:space="0" w:color="53575A"/>
              <w:right w:val="nil"/>
            </w:tcBorders>
            <w:shd w:val="clear" w:color="auto" w:fill="auto"/>
            <w:vAlign w:val="center"/>
            <w:hideMark/>
          </w:tcPr>
          <w:p w14:paraId="48269965" w14:textId="512E08E5" w:rsidR="00217D27" w:rsidRPr="00304BF4" w:rsidRDefault="00217D27" w:rsidP="00217D27">
            <w:pPr>
              <w:spacing w:line="240" w:lineRule="auto"/>
              <w:jc w:val="right"/>
              <w:rPr>
                <w:rFonts w:ascii="Arial Narrow" w:hAnsi="Arial Narrow" w:cs="Calibri"/>
                <w:szCs w:val="18"/>
              </w:rPr>
            </w:pPr>
            <w:r w:rsidRPr="00304BF4">
              <w:rPr>
                <w:rFonts w:ascii="Arial Narrow" w:hAnsi="Arial Narrow" w:cs="Calibri"/>
                <w:szCs w:val="18"/>
              </w:rPr>
              <w:t>303.36</w:t>
            </w:r>
          </w:p>
        </w:tc>
        <w:tc>
          <w:tcPr>
            <w:tcW w:w="1340" w:type="dxa"/>
            <w:tcBorders>
              <w:top w:val="single" w:sz="8" w:space="0" w:color="D9D9D9"/>
              <w:left w:val="nil"/>
              <w:bottom w:val="single" w:sz="8" w:space="0" w:color="53575A"/>
              <w:right w:val="nil"/>
            </w:tcBorders>
            <w:shd w:val="clear" w:color="auto" w:fill="auto"/>
            <w:vAlign w:val="center"/>
            <w:hideMark/>
          </w:tcPr>
          <w:p w14:paraId="0BD79D4C" w14:textId="2DD27DBE" w:rsidR="00217D27" w:rsidRPr="00304BF4" w:rsidRDefault="00217D27" w:rsidP="00217D27">
            <w:pPr>
              <w:spacing w:line="240" w:lineRule="auto"/>
              <w:jc w:val="right"/>
              <w:rPr>
                <w:rFonts w:ascii="Arial Narrow" w:hAnsi="Arial Narrow" w:cs="Calibri"/>
                <w:szCs w:val="18"/>
              </w:rPr>
            </w:pPr>
            <w:r w:rsidRPr="00304BF4">
              <w:rPr>
                <w:rFonts w:ascii="Arial Narrow" w:hAnsi="Arial Narrow" w:cs="Calibri"/>
                <w:szCs w:val="18"/>
              </w:rPr>
              <w:t>309.31</w:t>
            </w:r>
          </w:p>
        </w:tc>
        <w:tc>
          <w:tcPr>
            <w:tcW w:w="1180" w:type="dxa"/>
            <w:tcBorders>
              <w:top w:val="single" w:sz="8" w:space="0" w:color="D9D9D9"/>
              <w:left w:val="nil"/>
              <w:bottom w:val="single" w:sz="8" w:space="0" w:color="53575A"/>
              <w:right w:val="nil"/>
            </w:tcBorders>
            <w:shd w:val="clear" w:color="auto" w:fill="auto"/>
            <w:vAlign w:val="center"/>
            <w:hideMark/>
          </w:tcPr>
          <w:p w14:paraId="69BA2BC6" w14:textId="3C044053" w:rsidR="00217D27" w:rsidRPr="00304BF4" w:rsidRDefault="00217D27" w:rsidP="00217D27">
            <w:pPr>
              <w:spacing w:line="240" w:lineRule="auto"/>
              <w:jc w:val="right"/>
              <w:rPr>
                <w:rFonts w:ascii="Arial Narrow" w:hAnsi="Arial Narrow" w:cs="Calibri"/>
                <w:szCs w:val="18"/>
              </w:rPr>
            </w:pPr>
            <w:r w:rsidRPr="00304BF4">
              <w:rPr>
                <w:rFonts w:ascii="Arial Narrow" w:hAnsi="Arial Narrow" w:cs="Calibri"/>
                <w:szCs w:val="18"/>
              </w:rPr>
              <w:t>315.26</w:t>
            </w:r>
          </w:p>
        </w:tc>
        <w:tc>
          <w:tcPr>
            <w:tcW w:w="1120" w:type="dxa"/>
            <w:tcBorders>
              <w:top w:val="single" w:sz="8" w:space="0" w:color="D9D9D9"/>
              <w:left w:val="nil"/>
              <w:bottom w:val="single" w:sz="8" w:space="0" w:color="53575A"/>
              <w:right w:val="nil"/>
            </w:tcBorders>
            <w:shd w:val="clear" w:color="auto" w:fill="auto"/>
            <w:vAlign w:val="center"/>
            <w:hideMark/>
          </w:tcPr>
          <w:p w14:paraId="262E297E" w14:textId="3519BA9B" w:rsidR="00217D27" w:rsidRPr="00304BF4" w:rsidRDefault="00217D27" w:rsidP="00217D27">
            <w:pPr>
              <w:spacing w:line="240" w:lineRule="auto"/>
              <w:jc w:val="right"/>
              <w:rPr>
                <w:rFonts w:ascii="Arial Narrow" w:hAnsi="Arial Narrow" w:cs="Calibri"/>
                <w:szCs w:val="18"/>
              </w:rPr>
            </w:pPr>
            <w:r w:rsidRPr="00304BF4">
              <w:rPr>
                <w:rFonts w:ascii="Arial Narrow" w:hAnsi="Arial Narrow" w:cs="Calibri"/>
                <w:szCs w:val="18"/>
              </w:rPr>
              <w:t>320.94</w:t>
            </w:r>
          </w:p>
        </w:tc>
      </w:tr>
    </w:tbl>
    <w:p w14:paraId="016BA9EB" w14:textId="54741133" w:rsidR="000F6C15" w:rsidRPr="00304BF4" w:rsidRDefault="000F6C15" w:rsidP="00304BF4">
      <w:r w:rsidRPr="000F6C15">
        <w:rPr>
          <w:i/>
          <w:iCs/>
          <w:color w:val="auto"/>
          <w:sz w:val="16"/>
          <w:szCs w:val="16"/>
        </w:rPr>
        <w:t>Sources: Skumatz, 2014; Three</w:t>
      </w:r>
      <w:r w:rsidRPr="000F6C15">
        <w:rPr>
          <w:i/>
          <w:iCs/>
          <w:color w:val="auto"/>
          <w:sz w:val="16"/>
          <w:szCs w:val="16"/>
          <w:vertAlign w:val="superscript"/>
        </w:rPr>
        <w:t>3</w:t>
      </w:r>
      <w:r w:rsidRPr="000F6C15">
        <w:rPr>
          <w:i/>
          <w:iCs/>
          <w:color w:val="auto"/>
          <w:sz w:val="16"/>
          <w:szCs w:val="16"/>
        </w:rPr>
        <w:t xml:space="preserve"> and NMR Group 2016; Guidehouse analysis.</w:t>
      </w:r>
    </w:p>
    <w:p w14:paraId="50A10ADC" w14:textId="53BA7CA8" w:rsidR="00FF62D2" w:rsidRPr="00830054" w:rsidRDefault="00FF62D2" w:rsidP="00FF62D2">
      <w:pPr>
        <w:pStyle w:val="Heading1"/>
        <w:spacing w:before="360" w:after="120" w:line="240" w:lineRule="auto"/>
        <w:contextualSpacing/>
        <w:rPr>
          <w:rFonts w:eastAsiaTheme="minorHAnsi" w:cs="Arial"/>
          <w:bCs/>
          <w:smallCaps/>
          <w:color w:val="93D500" w:themeColor="accent1"/>
          <w:kern w:val="28"/>
          <w:position w:val="6"/>
          <w:sz w:val="28"/>
          <w:szCs w:val="26"/>
          <w:highlight w:val="yellow"/>
        </w:rPr>
      </w:pPr>
      <w:r w:rsidRPr="00755BC4">
        <w:rPr>
          <w:rFonts w:eastAsiaTheme="minorHAnsi" w:cs="Arial"/>
          <w:bCs/>
          <w:smallCaps/>
          <w:color w:val="93D500" w:themeColor="accent1"/>
          <w:kern w:val="28"/>
          <w:position w:val="6"/>
          <w:sz w:val="28"/>
          <w:szCs w:val="26"/>
        </w:rPr>
        <w:t>Recommendations</w:t>
      </w:r>
    </w:p>
    <w:p w14:paraId="25957262" w14:textId="4938737E" w:rsidR="00830054" w:rsidRPr="00830054" w:rsidRDefault="00830054" w:rsidP="7B8C37D0">
      <w:pPr>
        <w:spacing w:line="240" w:lineRule="auto"/>
        <w:rPr>
          <w:rFonts w:eastAsiaTheme="minorEastAsia"/>
          <w:sz w:val="20"/>
          <w:szCs w:val="20"/>
        </w:rPr>
      </w:pPr>
      <w:r w:rsidRPr="7B8C37D0">
        <w:rPr>
          <w:rFonts w:eastAsiaTheme="minorEastAsia"/>
          <w:sz w:val="20"/>
          <w:szCs w:val="20"/>
        </w:rPr>
        <w:t xml:space="preserve">Based on our review of the current practices that other states use to include monetized NEIs in cost-effectiveness tests, and the current state of </w:t>
      </w:r>
      <w:r w:rsidR="00755BC4" w:rsidRPr="7B8C37D0">
        <w:rPr>
          <w:rFonts w:eastAsiaTheme="minorEastAsia"/>
          <w:sz w:val="20"/>
          <w:szCs w:val="20"/>
        </w:rPr>
        <w:t xml:space="preserve">relevant data to </w:t>
      </w:r>
      <w:r w:rsidR="00363BBB">
        <w:rPr>
          <w:rFonts w:eastAsiaTheme="minorEastAsia"/>
          <w:sz w:val="20"/>
          <w:szCs w:val="20"/>
        </w:rPr>
        <w:t>Peoples</w:t>
      </w:r>
      <w:r w:rsidR="0B5D7FAC" w:rsidRPr="7B8C37D0">
        <w:rPr>
          <w:rFonts w:eastAsiaTheme="minorEastAsia"/>
          <w:sz w:val="20"/>
          <w:szCs w:val="20"/>
        </w:rPr>
        <w:t xml:space="preserve"> Gas</w:t>
      </w:r>
      <w:r w:rsidR="00755BC4" w:rsidRPr="7B8C37D0">
        <w:rPr>
          <w:rFonts w:eastAsiaTheme="minorEastAsia"/>
          <w:sz w:val="20"/>
          <w:szCs w:val="20"/>
        </w:rPr>
        <w:t xml:space="preserve">, </w:t>
      </w:r>
      <w:r w:rsidRPr="7B8C37D0">
        <w:rPr>
          <w:rFonts w:eastAsiaTheme="minorEastAsia"/>
          <w:sz w:val="20"/>
          <w:szCs w:val="20"/>
        </w:rPr>
        <w:t xml:space="preserve">we submit the following recommendations for </w:t>
      </w:r>
      <w:r w:rsidR="00363BBB">
        <w:rPr>
          <w:rFonts w:eastAsiaTheme="minorEastAsia"/>
          <w:sz w:val="20"/>
          <w:szCs w:val="20"/>
        </w:rPr>
        <w:t>Peoples</w:t>
      </w:r>
      <w:r w:rsidR="001C25D9" w:rsidRPr="7B8C37D0">
        <w:rPr>
          <w:rFonts w:eastAsiaTheme="minorEastAsia"/>
          <w:sz w:val="20"/>
          <w:szCs w:val="20"/>
        </w:rPr>
        <w:t xml:space="preserve"> Gas</w:t>
      </w:r>
      <w:r w:rsidR="00755BC4" w:rsidRPr="7B8C37D0">
        <w:rPr>
          <w:rFonts w:eastAsiaTheme="minorEastAsia"/>
          <w:sz w:val="20"/>
          <w:szCs w:val="20"/>
        </w:rPr>
        <w:t xml:space="preserve"> consideration</w:t>
      </w:r>
      <w:r w:rsidRPr="7B8C37D0">
        <w:rPr>
          <w:rFonts w:eastAsiaTheme="minorEastAsia"/>
          <w:sz w:val="20"/>
          <w:szCs w:val="20"/>
        </w:rPr>
        <w:t>:</w:t>
      </w:r>
    </w:p>
    <w:p w14:paraId="7151CE20" w14:textId="77777777" w:rsidR="00830054" w:rsidRPr="00830054" w:rsidRDefault="00830054" w:rsidP="00830054">
      <w:pPr>
        <w:spacing w:line="240" w:lineRule="auto"/>
        <w:rPr>
          <w:rFonts w:eastAsiaTheme="minorEastAsia"/>
          <w:sz w:val="20"/>
        </w:rPr>
      </w:pPr>
    </w:p>
    <w:p w14:paraId="3B387924" w14:textId="15B38E15" w:rsidR="0061549A" w:rsidRDefault="00830054">
      <w:pPr>
        <w:spacing w:line="240" w:lineRule="auto"/>
        <w:ind w:left="1080" w:hanging="360"/>
        <w:contextualSpacing/>
        <w:rPr>
          <w:rFonts w:eastAsiaTheme="minorHAnsi" w:cstheme="minorBidi"/>
          <w:color w:val="auto"/>
          <w:sz w:val="20"/>
          <w:szCs w:val="22"/>
        </w:rPr>
      </w:pPr>
      <w:r w:rsidRPr="00830054">
        <w:rPr>
          <w:rFonts w:eastAsiaTheme="minorHAnsi" w:cstheme="minorBidi"/>
          <w:b/>
          <w:bCs/>
          <w:color w:val="auto"/>
          <w:sz w:val="20"/>
          <w:szCs w:val="22"/>
        </w:rPr>
        <w:t>Recommendation #1:</w:t>
      </w:r>
      <w:r w:rsidRPr="00830054">
        <w:rPr>
          <w:rFonts w:eastAsiaTheme="minorHAnsi" w:cstheme="minorBidi"/>
          <w:color w:val="auto"/>
          <w:sz w:val="20"/>
          <w:szCs w:val="22"/>
        </w:rPr>
        <w:t xml:space="preserve"> </w:t>
      </w:r>
      <w:r w:rsidR="004878CE" w:rsidRPr="00830054">
        <w:rPr>
          <w:rFonts w:eastAsiaTheme="minorHAnsi" w:cstheme="minorBidi"/>
          <w:color w:val="auto"/>
          <w:sz w:val="20"/>
          <w:szCs w:val="22"/>
        </w:rPr>
        <w:t>Include monetized</w:t>
      </w:r>
      <w:r w:rsidR="004878CE">
        <w:rPr>
          <w:rFonts w:eastAsiaTheme="minorHAnsi" w:cstheme="minorBidi"/>
          <w:color w:val="auto"/>
          <w:sz w:val="20"/>
          <w:szCs w:val="22"/>
        </w:rPr>
        <w:t xml:space="preserve"> nationwide</w:t>
      </w:r>
      <w:r w:rsidR="004878CE" w:rsidRPr="00830054">
        <w:rPr>
          <w:rFonts w:eastAsiaTheme="minorHAnsi" w:cstheme="minorBidi"/>
          <w:color w:val="auto"/>
          <w:sz w:val="20"/>
          <w:szCs w:val="22"/>
        </w:rPr>
        <w:t xml:space="preserve"> Societal NEI</w:t>
      </w:r>
      <w:r w:rsidR="004878CE">
        <w:rPr>
          <w:rFonts w:eastAsiaTheme="minorHAnsi" w:cstheme="minorBidi"/>
          <w:color w:val="auto"/>
          <w:sz w:val="20"/>
          <w:szCs w:val="22"/>
        </w:rPr>
        <w:t xml:space="preserve"> benefits </w:t>
      </w:r>
      <w:r w:rsidR="004878CE" w:rsidRPr="00830054">
        <w:rPr>
          <w:rFonts w:eastAsiaTheme="minorHAnsi" w:cstheme="minorBidi"/>
          <w:color w:val="auto"/>
          <w:sz w:val="20"/>
          <w:szCs w:val="22"/>
        </w:rPr>
        <w:t xml:space="preserve">in </w:t>
      </w:r>
      <w:r w:rsidR="004878CE">
        <w:rPr>
          <w:rFonts w:eastAsiaTheme="minorHAnsi" w:cstheme="minorBidi"/>
          <w:color w:val="auto"/>
          <w:sz w:val="20"/>
          <w:szCs w:val="22"/>
        </w:rPr>
        <w:t xml:space="preserve">the </w:t>
      </w:r>
      <w:r w:rsidR="00363BBB">
        <w:rPr>
          <w:rFonts w:eastAsiaTheme="minorHAnsi" w:cstheme="minorBidi"/>
          <w:color w:val="auto"/>
          <w:sz w:val="20"/>
          <w:szCs w:val="22"/>
        </w:rPr>
        <w:t>Peoples</w:t>
      </w:r>
      <w:r w:rsidR="004878CE">
        <w:rPr>
          <w:rFonts w:eastAsiaTheme="minorHAnsi" w:cstheme="minorBidi"/>
          <w:color w:val="auto"/>
          <w:sz w:val="20"/>
          <w:szCs w:val="22"/>
        </w:rPr>
        <w:t xml:space="preserve"> Gas</w:t>
      </w:r>
      <w:r w:rsidR="004878CE" w:rsidRPr="00830054">
        <w:rPr>
          <w:rFonts w:eastAsiaTheme="minorHAnsi" w:cstheme="minorBidi"/>
          <w:color w:val="auto"/>
          <w:sz w:val="20"/>
          <w:szCs w:val="22"/>
        </w:rPr>
        <w:t xml:space="preserve"> port</w:t>
      </w:r>
      <w:r w:rsidR="004878CE">
        <w:rPr>
          <w:rFonts w:eastAsiaTheme="minorHAnsi" w:cstheme="minorBidi"/>
          <w:color w:val="auto"/>
          <w:sz w:val="20"/>
          <w:szCs w:val="22"/>
        </w:rPr>
        <w:t xml:space="preserve">folio </w:t>
      </w:r>
      <w:r w:rsidR="004878CE" w:rsidRPr="00830054">
        <w:rPr>
          <w:rFonts w:eastAsiaTheme="minorHAnsi" w:cstheme="minorBidi"/>
          <w:color w:val="auto"/>
          <w:sz w:val="20"/>
          <w:szCs w:val="22"/>
        </w:rPr>
        <w:t>programs’ TRC tests.</w:t>
      </w:r>
      <w:r w:rsidR="004878CE">
        <w:rPr>
          <w:rFonts w:eastAsiaTheme="minorHAnsi" w:cstheme="minorBidi"/>
          <w:color w:val="auto"/>
          <w:sz w:val="20"/>
          <w:szCs w:val="22"/>
        </w:rPr>
        <w:t xml:space="preserve"> </w:t>
      </w:r>
      <w:r w:rsidR="0061549A">
        <w:rPr>
          <w:rFonts w:eastAsiaTheme="minorHAnsi" w:cstheme="minorBidi"/>
          <w:color w:val="auto"/>
          <w:sz w:val="20"/>
          <w:szCs w:val="22"/>
        </w:rPr>
        <w:t xml:space="preserve">Please note that the dollar per therm benefits should only be applied to the therms saved from a given implementation year and should not include therms saved from measures installed in previous program years.  </w:t>
      </w:r>
    </w:p>
    <w:p w14:paraId="10AAD37A" w14:textId="77777777" w:rsidR="00940660" w:rsidRDefault="00940660">
      <w:pPr>
        <w:spacing w:line="240" w:lineRule="auto"/>
        <w:ind w:left="1080" w:hanging="360"/>
        <w:contextualSpacing/>
        <w:rPr>
          <w:rFonts w:eastAsiaTheme="minorHAnsi" w:cstheme="minorBidi"/>
          <w:color w:val="auto"/>
          <w:sz w:val="20"/>
          <w:szCs w:val="22"/>
        </w:rPr>
      </w:pPr>
    </w:p>
    <w:p w14:paraId="29165D67" w14:textId="31FDE48F" w:rsidR="0061549A" w:rsidRDefault="0061549A" w:rsidP="0061549A">
      <w:pPr>
        <w:spacing w:line="240" w:lineRule="auto"/>
        <w:ind w:left="1080"/>
        <w:contextualSpacing/>
        <w:rPr>
          <w:rFonts w:eastAsiaTheme="minorHAnsi" w:cstheme="minorBidi"/>
          <w:color w:val="auto"/>
          <w:sz w:val="20"/>
          <w:szCs w:val="22"/>
        </w:rPr>
      </w:pPr>
      <w:r>
        <w:rPr>
          <w:rFonts w:eastAsiaTheme="minorHAnsi" w:cstheme="minorBidi"/>
          <w:b/>
          <w:bCs/>
          <w:color w:val="auto"/>
          <w:sz w:val="20"/>
          <w:szCs w:val="22"/>
        </w:rPr>
        <w:t xml:space="preserve">Application </w:t>
      </w:r>
      <w:r w:rsidR="000D7E92">
        <w:rPr>
          <w:rFonts w:eastAsiaTheme="minorHAnsi" w:cstheme="minorBidi"/>
          <w:b/>
          <w:bCs/>
          <w:color w:val="auto"/>
          <w:sz w:val="20"/>
          <w:szCs w:val="22"/>
        </w:rPr>
        <w:t>Process</w:t>
      </w:r>
      <w:r>
        <w:rPr>
          <w:rFonts w:eastAsiaTheme="minorHAnsi" w:cstheme="minorBidi"/>
          <w:b/>
          <w:bCs/>
          <w:color w:val="auto"/>
          <w:sz w:val="20"/>
          <w:szCs w:val="22"/>
        </w:rPr>
        <w:t xml:space="preserve"> #1: </w:t>
      </w:r>
      <w:r>
        <w:rPr>
          <w:rFonts w:eastAsiaTheme="minorHAnsi" w:cstheme="minorBidi"/>
          <w:color w:val="auto"/>
          <w:sz w:val="20"/>
          <w:szCs w:val="22"/>
        </w:rPr>
        <w:t>M</w:t>
      </w:r>
      <w:r w:rsidR="004878CE">
        <w:rPr>
          <w:rFonts w:eastAsiaTheme="minorHAnsi" w:cstheme="minorBidi"/>
          <w:color w:val="auto"/>
          <w:sz w:val="20"/>
          <w:szCs w:val="22"/>
        </w:rPr>
        <w:t xml:space="preserve">ultiply the averaged sector-level </w:t>
      </w:r>
      <w:r w:rsidR="00151A27">
        <w:rPr>
          <w:rFonts w:eastAsiaTheme="minorHAnsi" w:cstheme="minorBidi"/>
          <w:color w:val="auto"/>
          <w:sz w:val="20"/>
          <w:szCs w:val="22"/>
        </w:rPr>
        <w:t xml:space="preserve">discounted </w:t>
      </w:r>
      <w:r w:rsidR="004878CE">
        <w:rPr>
          <w:rFonts w:eastAsiaTheme="minorHAnsi" w:cstheme="minorBidi"/>
          <w:color w:val="auto"/>
          <w:sz w:val="20"/>
          <w:szCs w:val="22"/>
        </w:rPr>
        <w:t>dollar per therm estimates by the lifetime therms savings of the</w:t>
      </w:r>
      <w:r>
        <w:rPr>
          <w:rFonts w:eastAsiaTheme="minorHAnsi" w:cstheme="minorBidi"/>
          <w:color w:val="auto"/>
          <w:sz w:val="20"/>
          <w:szCs w:val="22"/>
        </w:rPr>
        <w:t xml:space="preserve"> program in the</w:t>
      </w:r>
      <w:r w:rsidR="004878CE">
        <w:rPr>
          <w:rFonts w:eastAsiaTheme="minorHAnsi" w:cstheme="minorBidi"/>
          <w:color w:val="auto"/>
          <w:sz w:val="20"/>
          <w:szCs w:val="22"/>
        </w:rPr>
        <w:t xml:space="preserve"> respective sector. </w:t>
      </w:r>
    </w:p>
    <w:p w14:paraId="322D3FE8" w14:textId="77777777" w:rsidR="00940660" w:rsidRDefault="00940660" w:rsidP="0061549A">
      <w:pPr>
        <w:spacing w:line="240" w:lineRule="auto"/>
        <w:ind w:left="1080"/>
        <w:contextualSpacing/>
        <w:rPr>
          <w:rFonts w:eastAsiaTheme="minorHAnsi" w:cstheme="minorBidi"/>
          <w:color w:val="auto"/>
          <w:sz w:val="20"/>
          <w:szCs w:val="22"/>
        </w:rPr>
      </w:pPr>
    </w:p>
    <w:p w14:paraId="56EA20C0" w14:textId="10A7865C" w:rsidR="0061549A" w:rsidRDefault="0061549A" w:rsidP="0061549A">
      <w:pPr>
        <w:spacing w:line="240" w:lineRule="auto"/>
        <w:ind w:left="1080"/>
        <w:contextualSpacing/>
        <w:rPr>
          <w:rFonts w:eastAsiaTheme="minorHAnsi" w:cstheme="minorBidi"/>
          <w:color w:val="auto"/>
          <w:sz w:val="20"/>
          <w:szCs w:val="22"/>
        </w:rPr>
      </w:pPr>
      <w:r>
        <w:rPr>
          <w:rFonts w:eastAsiaTheme="minorHAnsi" w:cstheme="minorBidi"/>
          <w:b/>
          <w:bCs/>
          <w:color w:val="auto"/>
          <w:sz w:val="20"/>
          <w:szCs w:val="22"/>
        </w:rPr>
        <w:t xml:space="preserve">Application </w:t>
      </w:r>
      <w:r w:rsidR="000D7E92">
        <w:rPr>
          <w:rFonts w:eastAsiaTheme="minorHAnsi" w:cstheme="minorBidi"/>
          <w:b/>
          <w:bCs/>
          <w:color w:val="auto"/>
          <w:sz w:val="20"/>
          <w:szCs w:val="22"/>
        </w:rPr>
        <w:t>Process</w:t>
      </w:r>
      <w:r>
        <w:rPr>
          <w:rFonts w:eastAsiaTheme="minorHAnsi" w:cstheme="minorBidi"/>
          <w:b/>
          <w:bCs/>
          <w:color w:val="auto"/>
          <w:sz w:val="20"/>
          <w:szCs w:val="22"/>
        </w:rPr>
        <w:t xml:space="preserve"> #2:</w:t>
      </w:r>
      <w:r>
        <w:rPr>
          <w:rFonts w:eastAsiaTheme="minorHAnsi" w:cstheme="minorBidi"/>
          <w:color w:val="auto"/>
          <w:sz w:val="20"/>
          <w:szCs w:val="22"/>
        </w:rPr>
        <w:t xml:space="preserve"> Given that program measures and mix change with each implementation year</w:t>
      </w:r>
      <w:r w:rsidR="00940660">
        <w:rPr>
          <w:rFonts w:eastAsiaTheme="minorHAnsi" w:cstheme="minorBidi"/>
          <w:color w:val="auto"/>
          <w:sz w:val="20"/>
          <w:szCs w:val="22"/>
        </w:rPr>
        <w:t>,</w:t>
      </w:r>
      <w:r>
        <w:rPr>
          <w:rFonts w:eastAsiaTheme="minorHAnsi" w:cstheme="minorBidi"/>
          <w:color w:val="auto"/>
          <w:sz w:val="20"/>
          <w:szCs w:val="22"/>
        </w:rPr>
        <w:t xml:space="preserve"> Guidehouse provided non-discounted and non-inflated annual sector-level dollar per therm benefits for CY2022-25 in Appendix A. M</w:t>
      </w:r>
      <w:r w:rsidR="004878CE">
        <w:rPr>
          <w:rFonts w:eastAsiaTheme="minorHAnsi" w:cstheme="minorBidi"/>
          <w:color w:val="auto"/>
          <w:sz w:val="20"/>
          <w:szCs w:val="22"/>
        </w:rPr>
        <w:t>ultiply the</w:t>
      </w:r>
      <w:r>
        <w:rPr>
          <w:rFonts w:eastAsiaTheme="minorHAnsi" w:cstheme="minorBidi"/>
          <w:color w:val="auto"/>
          <w:sz w:val="20"/>
          <w:szCs w:val="22"/>
        </w:rPr>
        <w:t>se value</w:t>
      </w:r>
      <w:r w:rsidR="004878CE">
        <w:rPr>
          <w:rFonts w:eastAsiaTheme="minorHAnsi" w:cstheme="minorBidi"/>
          <w:color w:val="auto"/>
          <w:sz w:val="20"/>
          <w:szCs w:val="22"/>
        </w:rPr>
        <w:t>s</w:t>
      </w:r>
      <w:r w:rsidR="007E7119">
        <w:rPr>
          <w:rFonts w:eastAsiaTheme="minorHAnsi" w:cstheme="minorBidi"/>
          <w:color w:val="auto"/>
          <w:sz w:val="20"/>
          <w:szCs w:val="22"/>
        </w:rPr>
        <w:t xml:space="preserve"> by</w:t>
      </w:r>
      <w:r w:rsidR="004878CE">
        <w:rPr>
          <w:rFonts w:eastAsiaTheme="minorHAnsi" w:cstheme="minorBidi"/>
          <w:color w:val="auto"/>
          <w:sz w:val="20"/>
          <w:szCs w:val="22"/>
        </w:rPr>
        <w:t xml:space="preserve"> </w:t>
      </w:r>
      <w:r>
        <w:rPr>
          <w:rFonts w:eastAsiaTheme="minorHAnsi" w:cstheme="minorBidi"/>
          <w:color w:val="auto"/>
          <w:sz w:val="20"/>
          <w:szCs w:val="22"/>
        </w:rPr>
        <w:t>p</w:t>
      </w:r>
      <w:r w:rsidR="004878CE">
        <w:rPr>
          <w:rFonts w:eastAsiaTheme="minorHAnsi" w:cstheme="minorBidi"/>
          <w:color w:val="auto"/>
          <w:sz w:val="20"/>
          <w:szCs w:val="22"/>
        </w:rPr>
        <w:t>rogram-level annual therm savings of the respective sector from each year of implementation.</w:t>
      </w:r>
      <w:r>
        <w:rPr>
          <w:rFonts w:eastAsiaTheme="minorHAnsi" w:cstheme="minorBidi"/>
          <w:color w:val="auto"/>
          <w:sz w:val="20"/>
          <w:szCs w:val="22"/>
        </w:rPr>
        <w:t xml:space="preserve"> The resulting savings must be discounted back to the year of implementation using a real discount rate.</w:t>
      </w:r>
    </w:p>
    <w:p w14:paraId="76EB8F30" w14:textId="77777777" w:rsidR="00830054" w:rsidRPr="00830054" w:rsidRDefault="00830054" w:rsidP="00304BF4">
      <w:pPr>
        <w:spacing w:line="240" w:lineRule="auto"/>
        <w:contextualSpacing/>
        <w:rPr>
          <w:rFonts w:eastAsiaTheme="minorHAnsi" w:cstheme="minorBidi"/>
          <w:color w:val="auto"/>
          <w:sz w:val="20"/>
          <w:szCs w:val="22"/>
        </w:rPr>
      </w:pPr>
    </w:p>
    <w:p w14:paraId="5B150C40" w14:textId="245E6A63" w:rsidR="000D7E92" w:rsidRDefault="00830054" w:rsidP="00547B32">
      <w:pPr>
        <w:spacing w:line="240" w:lineRule="auto"/>
        <w:ind w:left="1080" w:hanging="360"/>
        <w:contextualSpacing/>
        <w:rPr>
          <w:rFonts w:eastAsiaTheme="minorHAnsi" w:cstheme="minorBidi"/>
          <w:color w:val="auto"/>
          <w:sz w:val="20"/>
          <w:szCs w:val="22"/>
        </w:rPr>
      </w:pPr>
      <w:bookmarkStart w:id="17" w:name="_Hlk49234284"/>
      <w:r w:rsidRPr="00830054">
        <w:rPr>
          <w:rFonts w:eastAsiaTheme="minorHAnsi" w:cstheme="minorBidi"/>
          <w:b/>
          <w:bCs/>
          <w:color w:val="auto"/>
          <w:sz w:val="20"/>
          <w:szCs w:val="22"/>
        </w:rPr>
        <w:t>Recommendation #</w:t>
      </w:r>
      <w:r w:rsidR="00217D27">
        <w:rPr>
          <w:rFonts w:eastAsiaTheme="minorHAnsi" w:cstheme="minorBidi"/>
          <w:b/>
          <w:bCs/>
          <w:color w:val="auto"/>
          <w:sz w:val="20"/>
          <w:szCs w:val="22"/>
        </w:rPr>
        <w:t>2</w:t>
      </w:r>
      <w:r w:rsidRPr="00830054">
        <w:rPr>
          <w:rFonts w:eastAsiaTheme="minorHAnsi" w:cstheme="minorBidi"/>
          <w:color w:val="auto"/>
          <w:sz w:val="20"/>
          <w:szCs w:val="22"/>
        </w:rPr>
        <w:t xml:space="preserve">: </w:t>
      </w:r>
      <w:r w:rsidR="00AA1AD7">
        <w:rPr>
          <w:rFonts w:eastAsiaTheme="minorHAnsi" w:cstheme="minorBidi"/>
          <w:color w:val="auto"/>
          <w:sz w:val="20"/>
          <w:szCs w:val="22"/>
        </w:rPr>
        <w:t xml:space="preserve">Include monetized proxy Participant NEI values associated with the </w:t>
      </w:r>
      <w:r w:rsidR="00363BBB">
        <w:rPr>
          <w:rFonts w:eastAsiaTheme="minorHAnsi" w:cstheme="minorBidi"/>
          <w:color w:val="auto"/>
          <w:sz w:val="20"/>
          <w:szCs w:val="22"/>
        </w:rPr>
        <w:t>Peoples</w:t>
      </w:r>
      <w:r w:rsidR="00AA1AD7">
        <w:rPr>
          <w:rFonts w:eastAsiaTheme="minorHAnsi" w:cstheme="minorBidi"/>
          <w:color w:val="auto"/>
          <w:sz w:val="20"/>
          <w:szCs w:val="22"/>
        </w:rPr>
        <w:t xml:space="preserve"> Gas </w:t>
      </w:r>
      <w:r w:rsidR="00AA1AD7" w:rsidRPr="00830054">
        <w:rPr>
          <w:rFonts w:eastAsiaTheme="minorHAnsi" w:cstheme="minorBidi"/>
          <w:color w:val="auto"/>
          <w:sz w:val="20"/>
          <w:szCs w:val="22"/>
        </w:rPr>
        <w:t>Income Eligible program</w:t>
      </w:r>
      <w:r w:rsidR="00AA1AD7">
        <w:rPr>
          <w:rFonts w:eastAsiaTheme="minorHAnsi" w:cstheme="minorBidi"/>
          <w:color w:val="auto"/>
          <w:sz w:val="20"/>
          <w:szCs w:val="22"/>
        </w:rPr>
        <w:t>s</w:t>
      </w:r>
      <w:r w:rsidR="00AA1AD7" w:rsidRPr="00830054">
        <w:rPr>
          <w:rFonts w:eastAsiaTheme="minorHAnsi" w:cstheme="minorBidi"/>
          <w:color w:val="auto"/>
          <w:sz w:val="20"/>
          <w:szCs w:val="22"/>
        </w:rPr>
        <w:t xml:space="preserve"> in these programs’ TRC tests</w:t>
      </w:r>
      <w:r w:rsidR="00AA1AD7">
        <w:rPr>
          <w:rFonts w:eastAsiaTheme="minorHAnsi" w:cstheme="minorBidi"/>
          <w:color w:val="auto"/>
          <w:sz w:val="20"/>
          <w:szCs w:val="22"/>
        </w:rPr>
        <w:t>.</w:t>
      </w:r>
      <w:r w:rsidR="00AA1AD7" w:rsidRPr="00830054">
        <w:rPr>
          <w:rFonts w:eastAsiaTheme="minorHAnsi" w:cstheme="minorBidi"/>
          <w:color w:val="auto"/>
          <w:sz w:val="20"/>
          <w:szCs w:val="22"/>
        </w:rPr>
        <w:t xml:space="preserve"> </w:t>
      </w:r>
      <w:r w:rsidR="000D7E92" w:rsidRPr="00830054">
        <w:rPr>
          <w:rFonts w:eastAsiaTheme="minorHAnsi" w:cstheme="minorBidi"/>
          <w:color w:val="auto"/>
          <w:sz w:val="20"/>
          <w:szCs w:val="22"/>
        </w:rPr>
        <w:t>When availab</w:t>
      </w:r>
      <w:r w:rsidR="000D7E92">
        <w:rPr>
          <w:rFonts w:eastAsiaTheme="minorHAnsi" w:cstheme="minorBidi"/>
          <w:color w:val="auto"/>
          <w:sz w:val="20"/>
          <w:szCs w:val="22"/>
        </w:rPr>
        <w:t>le</w:t>
      </w:r>
      <w:r w:rsidR="000D7E92" w:rsidRPr="00830054">
        <w:rPr>
          <w:rFonts w:eastAsiaTheme="minorHAnsi" w:cstheme="minorBidi"/>
          <w:color w:val="auto"/>
          <w:sz w:val="20"/>
          <w:szCs w:val="22"/>
        </w:rPr>
        <w:t xml:space="preserve"> and if statistically significant, </w:t>
      </w:r>
      <w:r w:rsidR="000D7E92">
        <w:rPr>
          <w:rFonts w:eastAsiaTheme="minorHAnsi" w:cstheme="minorBidi"/>
          <w:color w:val="auto"/>
          <w:sz w:val="20"/>
          <w:szCs w:val="22"/>
        </w:rPr>
        <w:t>use</w:t>
      </w:r>
      <w:r w:rsidR="000D7E92" w:rsidRPr="00830054">
        <w:rPr>
          <w:rFonts w:eastAsiaTheme="minorHAnsi" w:cstheme="minorBidi"/>
          <w:color w:val="auto"/>
          <w:sz w:val="20"/>
          <w:szCs w:val="22"/>
        </w:rPr>
        <w:t xml:space="preserve"> the</w:t>
      </w:r>
      <w:r w:rsidR="000D7E92">
        <w:rPr>
          <w:rFonts w:eastAsiaTheme="minorHAnsi" w:cstheme="minorBidi"/>
          <w:color w:val="auto"/>
          <w:sz w:val="20"/>
          <w:szCs w:val="22"/>
        </w:rPr>
        <w:t xml:space="preserve"> primary </w:t>
      </w:r>
      <w:r w:rsidR="000D7E92" w:rsidRPr="00830054">
        <w:rPr>
          <w:rFonts w:eastAsiaTheme="minorHAnsi" w:cstheme="minorBidi"/>
          <w:color w:val="auto"/>
          <w:sz w:val="20"/>
          <w:szCs w:val="22"/>
        </w:rPr>
        <w:t>monetized</w:t>
      </w:r>
      <w:r w:rsidR="000D7E92">
        <w:rPr>
          <w:rFonts w:eastAsiaTheme="minorHAnsi" w:cstheme="minorBidi"/>
          <w:color w:val="auto"/>
          <w:sz w:val="20"/>
          <w:szCs w:val="22"/>
        </w:rPr>
        <w:t xml:space="preserve"> values from ComEd</w:t>
      </w:r>
      <w:r w:rsidR="000D7E92" w:rsidRPr="00830054">
        <w:rPr>
          <w:rFonts w:eastAsiaTheme="minorHAnsi" w:cstheme="minorBidi"/>
          <w:color w:val="auto"/>
          <w:sz w:val="20"/>
          <w:szCs w:val="22"/>
        </w:rPr>
        <w:t xml:space="preserve"> Participant NEI</w:t>
      </w:r>
      <w:r w:rsidR="000D7E92">
        <w:rPr>
          <w:rFonts w:eastAsiaTheme="minorHAnsi" w:cstheme="minorBidi"/>
          <w:color w:val="auto"/>
          <w:sz w:val="20"/>
          <w:szCs w:val="22"/>
        </w:rPr>
        <w:t xml:space="preserve"> research</w:t>
      </w:r>
      <w:r w:rsidR="000D7E92" w:rsidRPr="00830054">
        <w:rPr>
          <w:rFonts w:eastAsiaTheme="minorHAnsi" w:cstheme="minorBidi"/>
          <w:color w:val="auto"/>
          <w:sz w:val="20"/>
          <w:szCs w:val="22"/>
        </w:rPr>
        <w:t xml:space="preserve"> </w:t>
      </w:r>
      <w:r w:rsidR="000D7E92">
        <w:rPr>
          <w:rFonts w:eastAsiaTheme="minorHAnsi" w:cstheme="minorBidi"/>
          <w:color w:val="auto"/>
          <w:sz w:val="20"/>
          <w:szCs w:val="22"/>
        </w:rPr>
        <w:t>focused on</w:t>
      </w:r>
      <w:r w:rsidR="000D7E92" w:rsidRPr="00830054">
        <w:rPr>
          <w:rFonts w:eastAsiaTheme="minorHAnsi" w:cstheme="minorBidi"/>
          <w:color w:val="auto"/>
          <w:sz w:val="20"/>
          <w:szCs w:val="22"/>
        </w:rPr>
        <w:t xml:space="preserve"> </w:t>
      </w:r>
      <w:r w:rsidR="000D7E92">
        <w:rPr>
          <w:rFonts w:eastAsiaTheme="minorHAnsi" w:cstheme="minorBidi"/>
          <w:color w:val="auto"/>
          <w:sz w:val="20"/>
          <w:szCs w:val="22"/>
        </w:rPr>
        <w:t>the joint utility</w:t>
      </w:r>
      <w:r w:rsidR="000D7E92" w:rsidRPr="00830054">
        <w:rPr>
          <w:rFonts w:eastAsiaTheme="minorHAnsi" w:cstheme="minorBidi"/>
          <w:color w:val="auto"/>
          <w:sz w:val="20"/>
          <w:szCs w:val="22"/>
        </w:rPr>
        <w:t xml:space="preserve"> Income Eligible Multifamily</w:t>
      </w:r>
      <w:r w:rsidR="000D7E92">
        <w:rPr>
          <w:rFonts w:eastAsiaTheme="minorHAnsi" w:cstheme="minorBidi"/>
          <w:color w:val="auto"/>
          <w:sz w:val="20"/>
          <w:szCs w:val="22"/>
        </w:rPr>
        <w:t>,</w:t>
      </w:r>
      <w:r w:rsidR="000D7E92" w:rsidRPr="00830054">
        <w:rPr>
          <w:rFonts w:eastAsiaTheme="minorHAnsi" w:cstheme="minorBidi"/>
          <w:color w:val="auto"/>
          <w:sz w:val="20"/>
          <w:szCs w:val="22"/>
        </w:rPr>
        <w:t xml:space="preserve"> Single-Family</w:t>
      </w:r>
      <w:r w:rsidR="000D7E92">
        <w:rPr>
          <w:rFonts w:eastAsiaTheme="minorHAnsi" w:cstheme="minorBidi"/>
          <w:color w:val="auto"/>
          <w:sz w:val="20"/>
          <w:szCs w:val="22"/>
        </w:rPr>
        <w:t xml:space="preserve"> and Public Housing </w:t>
      </w:r>
      <w:r w:rsidR="000D7E92" w:rsidRPr="00830054">
        <w:rPr>
          <w:rFonts w:eastAsiaTheme="minorHAnsi" w:cstheme="minorBidi"/>
          <w:color w:val="auto"/>
          <w:sz w:val="20"/>
          <w:szCs w:val="22"/>
        </w:rPr>
        <w:t>program</w:t>
      </w:r>
      <w:r w:rsidR="000D7E92">
        <w:rPr>
          <w:rFonts w:eastAsiaTheme="minorHAnsi" w:cstheme="minorBidi"/>
          <w:color w:val="auto"/>
          <w:sz w:val="20"/>
          <w:szCs w:val="22"/>
        </w:rPr>
        <w:t>s</w:t>
      </w:r>
      <w:r w:rsidR="000D7E92" w:rsidRPr="00830054">
        <w:rPr>
          <w:rFonts w:eastAsiaTheme="minorHAnsi" w:cstheme="minorBidi"/>
          <w:color w:val="auto"/>
          <w:sz w:val="20"/>
          <w:szCs w:val="22"/>
        </w:rPr>
        <w:t xml:space="preserve"> in these programs’ TRC tests</w:t>
      </w:r>
      <w:r w:rsidR="000D7E92">
        <w:rPr>
          <w:rFonts w:eastAsiaTheme="minorHAnsi" w:cstheme="minorBidi"/>
          <w:color w:val="auto"/>
          <w:sz w:val="20"/>
          <w:szCs w:val="22"/>
        </w:rPr>
        <w:t>.</w:t>
      </w:r>
    </w:p>
    <w:p w14:paraId="61514DDD" w14:textId="77777777" w:rsidR="00B96858" w:rsidRDefault="00B96858" w:rsidP="00547B32">
      <w:pPr>
        <w:spacing w:line="240" w:lineRule="auto"/>
        <w:ind w:left="1080" w:hanging="360"/>
        <w:contextualSpacing/>
        <w:rPr>
          <w:rFonts w:eastAsiaTheme="minorHAnsi" w:cstheme="minorBidi"/>
          <w:color w:val="auto"/>
          <w:sz w:val="20"/>
          <w:szCs w:val="22"/>
        </w:rPr>
      </w:pPr>
    </w:p>
    <w:p w14:paraId="45E12936" w14:textId="790A548C" w:rsidR="00830054" w:rsidRPr="00830054" w:rsidRDefault="000D7E92" w:rsidP="00304BF4">
      <w:pPr>
        <w:spacing w:line="240" w:lineRule="auto"/>
        <w:ind w:left="1080"/>
        <w:contextualSpacing/>
        <w:rPr>
          <w:rFonts w:eastAsiaTheme="minorHAnsi" w:cstheme="minorBidi"/>
          <w:color w:val="auto"/>
          <w:sz w:val="20"/>
          <w:szCs w:val="22"/>
        </w:rPr>
      </w:pPr>
      <w:r>
        <w:rPr>
          <w:rFonts w:eastAsiaTheme="minorHAnsi" w:cstheme="minorBidi"/>
          <w:b/>
          <w:bCs/>
          <w:color w:val="auto"/>
          <w:sz w:val="20"/>
          <w:szCs w:val="22"/>
        </w:rPr>
        <w:t>Application Process</w:t>
      </w:r>
      <w:r w:rsidRPr="00304BF4">
        <w:rPr>
          <w:rFonts w:eastAsiaTheme="minorHAnsi" w:cstheme="minorBidi"/>
          <w:color w:val="auto"/>
          <w:sz w:val="20"/>
          <w:szCs w:val="22"/>
        </w:rPr>
        <w:t>:</w:t>
      </w:r>
      <w:r>
        <w:rPr>
          <w:rFonts w:eastAsiaTheme="minorHAnsi" w:cstheme="minorBidi"/>
          <w:color w:val="auto"/>
          <w:sz w:val="20"/>
          <w:szCs w:val="22"/>
        </w:rPr>
        <w:t xml:space="preserve"> Proportion annual NEI benefits between electric and gas utilities according to utility investment in the program. After apportioning, calculate the lifetime net present value of benefits per household using the program’s weighted average measure life and a real discount rate of 0.42 percent, as deemed by the IL TRM v9.0.</w:t>
      </w:r>
      <w:r w:rsidR="001D68CD">
        <w:rPr>
          <w:rFonts w:eastAsiaTheme="minorHAnsi" w:cstheme="minorBidi"/>
          <w:color w:val="auto"/>
          <w:sz w:val="20"/>
          <w:szCs w:val="22"/>
        </w:rPr>
        <w:t xml:space="preserve"> </w:t>
      </w:r>
      <w:bookmarkEnd w:id="17"/>
    </w:p>
    <w:p w14:paraId="68B2DC01" w14:textId="7CA5FF8A" w:rsidR="008D610D" w:rsidRDefault="00A72589" w:rsidP="0054298B">
      <w:pPr>
        <w:pStyle w:val="Heading1"/>
        <w:pageBreakBefore/>
        <w:spacing w:before="360" w:after="120" w:line="240" w:lineRule="auto"/>
        <w:contextualSpacing/>
        <w:rPr>
          <w:rFonts w:eastAsiaTheme="minorHAnsi" w:cs="Arial"/>
          <w:bCs/>
          <w:smallCaps/>
          <w:color w:val="93D500" w:themeColor="accent1"/>
          <w:kern w:val="28"/>
          <w:position w:val="6"/>
          <w:sz w:val="28"/>
          <w:szCs w:val="26"/>
        </w:rPr>
      </w:pPr>
      <w:bookmarkStart w:id="18" w:name="_Ref51940503"/>
      <w:bookmarkEnd w:id="16"/>
      <w:r>
        <w:rPr>
          <w:rFonts w:eastAsiaTheme="minorHAnsi" w:cs="Arial"/>
          <w:bCs/>
          <w:smallCaps/>
          <w:color w:val="93D500" w:themeColor="accent1"/>
          <w:kern w:val="28"/>
          <w:position w:val="6"/>
          <w:sz w:val="28"/>
          <w:szCs w:val="26"/>
        </w:rPr>
        <w:lastRenderedPageBreak/>
        <w:t>A</w:t>
      </w:r>
      <w:r w:rsidR="008D610D">
        <w:rPr>
          <w:rFonts w:eastAsiaTheme="minorHAnsi" w:cs="Arial"/>
          <w:bCs/>
          <w:smallCaps/>
          <w:color w:val="93D500" w:themeColor="accent1"/>
          <w:kern w:val="28"/>
          <w:position w:val="6"/>
          <w:sz w:val="28"/>
          <w:szCs w:val="26"/>
        </w:rPr>
        <w:t xml:space="preserve">ppendix A. </w:t>
      </w:r>
      <w:r w:rsidR="00A555D8">
        <w:rPr>
          <w:rFonts w:eastAsiaTheme="minorHAnsi" w:cs="Arial"/>
          <w:bCs/>
          <w:smallCaps/>
          <w:color w:val="93D500" w:themeColor="accent1"/>
          <w:kern w:val="28"/>
          <w:position w:val="6"/>
          <w:sz w:val="28"/>
          <w:szCs w:val="26"/>
        </w:rPr>
        <w:t>Societal NEIs - COBRA Estimated Health Benefits</w:t>
      </w:r>
      <w:bookmarkEnd w:id="18"/>
    </w:p>
    <w:p w14:paraId="74D1C222" w14:textId="1892BB97" w:rsidR="004878CE" w:rsidRPr="00304BF4" w:rsidRDefault="004878CE" w:rsidP="00304BF4">
      <w:pPr>
        <w:keepNext/>
        <w:keepLines/>
        <w:spacing w:before="360" w:after="240" w:line="240" w:lineRule="auto"/>
        <w:contextualSpacing/>
        <w:outlineLvl w:val="1"/>
        <w:rPr>
          <w:rFonts w:eastAsia="Arial" w:cs="Arial"/>
          <w:b/>
          <w:bCs/>
          <w:iCs/>
          <w:color w:val="0093C9"/>
          <w:sz w:val="26"/>
          <w:szCs w:val="28"/>
        </w:rPr>
      </w:pPr>
      <w:r w:rsidRPr="00304BF4">
        <w:rPr>
          <w:rFonts w:eastAsia="Arial" w:cs="Arial"/>
          <w:b/>
          <w:bCs/>
          <w:iCs/>
          <w:color w:val="0093C9"/>
          <w:sz w:val="26"/>
          <w:szCs w:val="28"/>
        </w:rPr>
        <w:t>Societal NEI Methodology</w:t>
      </w:r>
    </w:p>
    <w:p w14:paraId="02CB7FA0" w14:textId="77777777" w:rsidR="004878CE" w:rsidRDefault="004878CE" w:rsidP="00D708F0">
      <w:pPr>
        <w:rPr>
          <w:sz w:val="20"/>
          <w:szCs w:val="20"/>
        </w:rPr>
      </w:pPr>
    </w:p>
    <w:p w14:paraId="45979EB0" w14:textId="7298661F" w:rsidR="00D708F0" w:rsidRPr="009B458C" w:rsidRDefault="00D708F0" w:rsidP="00D708F0">
      <w:pPr>
        <w:rPr>
          <w:rFonts w:eastAsiaTheme="minorHAnsi" w:cstheme="minorBidi"/>
          <w:b/>
          <w:bCs/>
          <w:color w:val="93D500" w:themeColor="accent1"/>
          <w:sz w:val="20"/>
          <w:szCs w:val="22"/>
        </w:rPr>
      </w:pPr>
      <w:r w:rsidRPr="00100B4E">
        <w:rPr>
          <w:rFonts w:eastAsiaTheme="minorEastAsia"/>
          <w:sz w:val="20"/>
          <w:szCs w:val="28"/>
        </w:rPr>
        <w:t xml:space="preserve">The annual, </w:t>
      </w:r>
      <w:r w:rsidRPr="00304BF4">
        <w:rPr>
          <w:rFonts w:eastAsiaTheme="minorEastAsia"/>
          <w:sz w:val="20"/>
          <w:szCs w:val="28"/>
        </w:rPr>
        <w:t>six</w:t>
      </w:r>
      <w:r w:rsidRPr="00100B4E">
        <w:rPr>
          <w:rFonts w:eastAsiaTheme="minorEastAsia"/>
          <w:sz w:val="20"/>
          <w:szCs w:val="28"/>
        </w:rPr>
        <w:t>-step</w:t>
      </w:r>
      <w:r w:rsidRPr="009B458C">
        <w:rPr>
          <w:rFonts w:eastAsiaTheme="minorEastAsia"/>
          <w:sz w:val="20"/>
          <w:szCs w:val="28"/>
        </w:rPr>
        <w:t xml:space="preserve"> approach described </w:t>
      </w:r>
      <w:r w:rsidR="004878CE">
        <w:rPr>
          <w:rFonts w:eastAsiaTheme="minorEastAsia"/>
          <w:sz w:val="20"/>
          <w:szCs w:val="28"/>
        </w:rPr>
        <w:t>below</w:t>
      </w:r>
      <w:r w:rsidRPr="009B458C">
        <w:rPr>
          <w:rFonts w:eastAsiaTheme="minorEastAsia"/>
          <w:sz w:val="20"/>
          <w:szCs w:val="28"/>
        </w:rPr>
        <w:t xml:space="preserve"> is</w:t>
      </w:r>
      <w:r w:rsidR="004878CE">
        <w:rPr>
          <w:rFonts w:eastAsiaTheme="minorEastAsia"/>
          <w:sz w:val="20"/>
          <w:szCs w:val="28"/>
        </w:rPr>
        <w:t xml:space="preserve"> an</w:t>
      </w:r>
      <w:r w:rsidRPr="009B458C">
        <w:rPr>
          <w:rFonts w:eastAsiaTheme="minorEastAsia"/>
          <w:sz w:val="20"/>
          <w:szCs w:val="28"/>
        </w:rPr>
        <w:t xml:space="preserve"> </w:t>
      </w:r>
      <w:r w:rsidRPr="00304BF4">
        <w:rPr>
          <w:rFonts w:eastAsiaTheme="minorEastAsia"/>
          <w:color w:val="auto"/>
          <w:sz w:val="20"/>
          <w:szCs w:val="28"/>
        </w:rPr>
        <w:t>illustrat</w:t>
      </w:r>
      <w:r w:rsidR="004878CE" w:rsidRPr="00304BF4">
        <w:rPr>
          <w:rFonts w:eastAsiaTheme="minorEastAsia"/>
          <w:color w:val="auto"/>
          <w:sz w:val="20"/>
          <w:szCs w:val="28"/>
        </w:rPr>
        <w:t>ion</w:t>
      </w:r>
      <w:r w:rsidRPr="00304BF4">
        <w:rPr>
          <w:rFonts w:eastAsiaTheme="minorEastAsia"/>
          <w:color w:val="auto"/>
          <w:sz w:val="20"/>
          <w:szCs w:val="28"/>
        </w:rPr>
        <w:t xml:space="preserve"> </w:t>
      </w:r>
      <w:r w:rsidRPr="00DD5440">
        <w:rPr>
          <w:rFonts w:eastAsiaTheme="minorEastAsia"/>
          <w:color w:val="auto"/>
          <w:sz w:val="20"/>
          <w:szCs w:val="28"/>
        </w:rPr>
        <w:t xml:space="preserve">in </w:t>
      </w:r>
      <w:r w:rsidR="004878CE" w:rsidRPr="00DD5440">
        <w:rPr>
          <w:rFonts w:eastAsiaTheme="minorEastAsia"/>
          <w:color w:val="auto"/>
          <w:sz w:val="20"/>
          <w:szCs w:val="28"/>
        </w:rPr>
        <w:fldChar w:fldCharType="begin"/>
      </w:r>
      <w:r w:rsidR="004878CE" w:rsidRPr="00DD5440">
        <w:rPr>
          <w:rFonts w:eastAsiaTheme="minorEastAsia"/>
          <w:color w:val="auto"/>
          <w:sz w:val="20"/>
          <w:szCs w:val="28"/>
        </w:rPr>
        <w:instrText xml:space="preserve"> REF _Ref51941957 \h </w:instrText>
      </w:r>
      <w:r w:rsidR="00100B4E" w:rsidRPr="00DD5440">
        <w:rPr>
          <w:rFonts w:eastAsiaTheme="minorEastAsia"/>
          <w:color w:val="auto"/>
          <w:sz w:val="20"/>
          <w:szCs w:val="28"/>
        </w:rPr>
        <w:instrText xml:space="preserve"> \* MERGEFORMAT </w:instrText>
      </w:r>
      <w:r w:rsidR="004878CE" w:rsidRPr="00DD5440">
        <w:rPr>
          <w:rFonts w:eastAsiaTheme="minorEastAsia"/>
          <w:color w:val="auto"/>
          <w:sz w:val="20"/>
          <w:szCs w:val="28"/>
        </w:rPr>
      </w:r>
      <w:r w:rsidR="004878CE" w:rsidRPr="00DD5440">
        <w:rPr>
          <w:rFonts w:eastAsiaTheme="minorEastAsia"/>
          <w:color w:val="auto"/>
          <w:sz w:val="20"/>
          <w:szCs w:val="28"/>
        </w:rPr>
        <w:fldChar w:fldCharType="separate"/>
      </w:r>
      <w:r w:rsidR="00DD5440" w:rsidRPr="00304BF4">
        <w:rPr>
          <w:rFonts w:eastAsiaTheme="minorHAnsi" w:cstheme="minorBidi"/>
          <w:color w:val="auto"/>
          <w:sz w:val="20"/>
          <w:szCs w:val="20"/>
        </w:rPr>
        <w:t xml:space="preserve">Table </w:t>
      </w:r>
      <w:r w:rsidR="00DD5440" w:rsidRPr="00304BF4">
        <w:rPr>
          <w:rFonts w:eastAsiaTheme="minorHAnsi" w:cstheme="minorBidi"/>
          <w:noProof/>
          <w:color w:val="auto"/>
          <w:sz w:val="20"/>
          <w:szCs w:val="20"/>
        </w:rPr>
        <w:t>8</w:t>
      </w:r>
      <w:r w:rsidR="004878CE" w:rsidRPr="00DD5440">
        <w:rPr>
          <w:rFonts w:eastAsiaTheme="minorEastAsia"/>
          <w:color w:val="auto"/>
          <w:sz w:val="20"/>
          <w:szCs w:val="28"/>
        </w:rPr>
        <w:fldChar w:fldCharType="end"/>
      </w:r>
      <w:r w:rsidRPr="00DD5440">
        <w:rPr>
          <w:color w:val="auto"/>
          <w:sz w:val="20"/>
          <w:szCs w:val="28"/>
        </w:rPr>
        <w:fldChar w:fldCharType="begin"/>
      </w:r>
      <w:r w:rsidRPr="00DD5440">
        <w:rPr>
          <w:rFonts w:eastAsiaTheme="minorEastAsia"/>
          <w:color w:val="auto"/>
          <w:sz w:val="20"/>
          <w:szCs w:val="28"/>
        </w:rPr>
        <w:instrText xml:space="preserve"> REF _Ref48572826 \h </w:instrText>
      </w:r>
      <w:r w:rsidRPr="00DD5440">
        <w:rPr>
          <w:color w:val="auto"/>
          <w:sz w:val="20"/>
          <w:szCs w:val="28"/>
        </w:rPr>
        <w:instrText xml:space="preserve"> \* MERGEFORMAT </w:instrText>
      </w:r>
      <w:r w:rsidRPr="00DD5440">
        <w:rPr>
          <w:color w:val="auto"/>
          <w:sz w:val="20"/>
          <w:szCs w:val="28"/>
        </w:rPr>
      </w:r>
      <w:r w:rsidRPr="00DD5440">
        <w:rPr>
          <w:color w:val="auto"/>
          <w:sz w:val="20"/>
          <w:szCs w:val="28"/>
        </w:rPr>
        <w:fldChar w:fldCharType="end"/>
      </w:r>
      <w:r w:rsidRPr="00DD5440">
        <w:rPr>
          <w:rFonts w:eastAsiaTheme="minorEastAsia"/>
          <w:color w:val="auto"/>
          <w:sz w:val="20"/>
          <w:szCs w:val="28"/>
        </w:rPr>
        <w:t xml:space="preserve"> below</w:t>
      </w:r>
      <w:r w:rsidRPr="009B458C">
        <w:rPr>
          <w:rFonts w:eastAsiaTheme="minorEastAsia"/>
          <w:sz w:val="20"/>
          <w:szCs w:val="28"/>
        </w:rPr>
        <w:t xml:space="preserve">. The example used in the table below focuses on estimation of Societal NEIs for 2032 assuming CY2019 program savings begin </w:t>
      </w:r>
      <w:r w:rsidRPr="0052032C">
        <w:rPr>
          <w:rFonts w:eastAsiaTheme="minorEastAsia"/>
          <w:sz w:val="20"/>
          <w:szCs w:val="28"/>
        </w:rPr>
        <w:t>in 2022</w:t>
      </w:r>
      <w:r w:rsidRPr="00304BF4">
        <w:rPr>
          <w:rFonts w:eastAsiaTheme="minorEastAsia"/>
          <w:sz w:val="20"/>
          <w:szCs w:val="28"/>
        </w:rPr>
        <w:t>. Additional detail providing context for each step in the analysis is provided in the following paragraphs.</w:t>
      </w:r>
    </w:p>
    <w:p w14:paraId="64AF9AFB" w14:textId="77777777" w:rsidR="00D708F0" w:rsidRPr="009B458C" w:rsidRDefault="00D708F0" w:rsidP="00D708F0">
      <w:pPr>
        <w:rPr>
          <w:rFonts w:eastAsiaTheme="minorEastAsia"/>
          <w:sz w:val="20"/>
          <w:szCs w:val="28"/>
        </w:rPr>
      </w:pPr>
      <w:r w:rsidRPr="009B458C">
        <w:rPr>
          <w:rFonts w:eastAsiaTheme="minorEastAsia"/>
          <w:sz w:val="20"/>
          <w:szCs w:val="28"/>
        </w:rPr>
        <w:t xml:space="preserve"> </w:t>
      </w:r>
    </w:p>
    <w:p w14:paraId="3FD96F3E" w14:textId="5B92ABBF" w:rsidR="00D708F0" w:rsidRPr="0072128E" w:rsidRDefault="00D708F0" w:rsidP="00D708F0">
      <w:pPr>
        <w:pStyle w:val="Caption"/>
        <w:keepNext/>
        <w:spacing w:after="120"/>
        <w:jc w:val="center"/>
        <w:rPr>
          <w:rFonts w:eastAsiaTheme="minorHAnsi" w:cstheme="minorBidi"/>
          <w:b/>
          <w:bCs/>
          <w:i w:val="0"/>
          <w:iCs w:val="0"/>
          <w:color w:val="93D500" w:themeColor="accent1"/>
          <w:sz w:val="20"/>
          <w:szCs w:val="20"/>
        </w:rPr>
      </w:pPr>
      <w:bookmarkStart w:id="19" w:name="_Ref51941957"/>
      <w:r w:rsidRPr="009B458C">
        <w:rPr>
          <w:rFonts w:eastAsiaTheme="minorHAnsi" w:cstheme="minorBidi"/>
          <w:b/>
          <w:bCs/>
          <w:i w:val="0"/>
          <w:iCs w:val="0"/>
          <w:color w:val="93D500" w:themeColor="accent1"/>
          <w:sz w:val="20"/>
          <w:szCs w:val="20"/>
        </w:rPr>
        <w:t xml:space="preserve">Table </w:t>
      </w:r>
      <w:r w:rsidRPr="0072128E">
        <w:rPr>
          <w:rFonts w:eastAsiaTheme="minorHAnsi" w:cstheme="minorBidi"/>
          <w:b/>
          <w:bCs/>
          <w:i w:val="0"/>
          <w:iCs w:val="0"/>
          <w:color w:val="93D500" w:themeColor="accent1"/>
          <w:sz w:val="20"/>
          <w:szCs w:val="20"/>
        </w:rPr>
        <w:fldChar w:fldCharType="begin"/>
      </w:r>
      <w:r w:rsidRPr="009B458C">
        <w:rPr>
          <w:rFonts w:eastAsiaTheme="minorHAnsi" w:cstheme="minorBidi"/>
          <w:b/>
          <w:bCs/>
          <w:i w:val="0"/>
          <w:iCs w:val="0"/>
          <w:color w:val="93D500" w:themeColor="accent1"/>
          <w:sz w:val="20"/>
          <w:szCs w:val="20"/>
        </w:rPr>
        <w:instrText xml:space="preserve"> SEQ Table \* ARABIC </w:instrText>
      </w:r>
      <w:r w:rsidRPr="0072128E">
        <w:rPr>
          <w:rFonts w:eastAsiaTheme="minorHAnsi" w:cstheme="minorBidi"/>
          <w:b/>
          <w:bCs/>
          <w:i w:val="0"/>
          <w:iCs w:val="0"/>
          <w:color w:val="93D500" w:themeColor="accent1"/>
          <w:sz w:val="20"/>
          <w:szCs w:val="20"/>
        </w:rPr>
        <w:fldChar w:fldCharType="separate"/>
      </w:r>
      <w:r w:rsidR="00DD5440">
        <w:rPr>
          <w:rFonts w:eastAsiaTheme="minorHAnsi" w:cstheme="minorBidi"/>
          <w:b/>
          <w:bCs/>
          <w:i w:val="0"/>
          <w:iCs w:val="0"/>
          <w:noProof/>
          <w:color w:val="93D500" w:themeColor="accent1"/>
          <w:sz w:val="20"/>
          <w:szCs w:val="20"/>
        </w:rPr>
        <w:t>8</w:t>
      </w:r>
      <w:r w:rsidRPr="0072128E">
        <w:rPr>
          <w:rFonts w:eastAsiaTheme="minorHAnsi" w:cstheme="minorBidi"/>
          <w:b/>
          <w:bCs/>
          <w:i w:val="0"/>
          <w:iCs w:val="0"/>
          <w:color w:val="93D500" w:themeColor="accent1"/>
          <w:sz w:val="20"/>
          <w:szCs w:val="20"/>
        </w:rPr>
        <w:fldChar w:fldCharType="end"/>
      </w:r>
      <w:bookmarkEnd w:id="19"/>
      <w:r w:rsidRPr="009B458C">
        <w:rPr>
          <w:rFonts w:eastAsiaTheme="minorHAnsi" w:cstheme="minorBidi"/>
          <w:b/>
          <w:bCs/>
          <w:i w:val="0"/>
          <w:iCs w:val="0"/>
          <w:color w:val="93D500" w:themeColor="accent1"/>
          <w:sz w:val="20"/>
          <w:szCs w:val="20"/>
        </w:rPr>
        <w:t xml:space="preserve">. Stepwise </w:t>
      </w:r>
      <w:r w:rsidRPr="0072128E">
        <w:rPr>
          <w:rFonts w:eastAsiaTheme="minorHAnsi" w:cstheme="minorBidi"/>
          <w:b/>
          <w:bCs/>
          <w:i w:val="0"/>
          <w:iCs w:val="0"/>
          <w:color w:val="93D500" w:themeColor="accent1"/>
          <w:sz w:val="20"/>
          <w:szCs w:val="20"/>
        </w:rPr>
        <w:t>Summary of Annual Estimation of CY2022 Health Benefits: Year 2032</w:t>
      </w:r>
    </w:p>
    <w:tbl>
      <w:tblPr>
        <w:tblStyle w:val="EnergyTable"/>
        <w:tblW w:w="0" w:type="auto"/>
        <w:tblLook w:val="04A0" w:firstRow="1" w:lastRow="0" w:firstColumn="1" w:lastColumn="0" w:noHBand="0" w:noVBand="1"/>
      </w:tblPr>
      <w:tblGrid>
        <w:gridCol w:w="3330"/>
        <w:gridCol w:w="4770"/>
      </w:tblGrid>
      <w:tr w:rsidR="00D708F0" w:rsidRPr="009B458C" w14:paraId="5928F98C" w14:textId="77777777" w:rsidTr="00D708F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30" w:type="dxa"/>
            <w:hideMark/>
          </w:tcPr>
          <w:p w14:paraId="138D721F" w14:textId="77777777" w:rsidR="00D708F0" w:rsidRPr="0072128E" w:rsidRDefault="00D708F0" w:rsidP="00D708F0">
            <w:pPr>
              <w:rPr>
                <w:rFonts w:ascii="Arial Narrow" w:eastAsiaTheme="minorEastAsia" w:hAnsi="Arial Narrow"/>
                <w:color w:val="FFFFFF" w:themeColor="background1"/>
                <w:szCs w:val="18"/>
              </w:rPr>
            </w:pPr>
            <w:r w:rsidRPr="0072128E">
              <w:rPr>
                <w:rFonts w:ascii="Arial Narrow" w:eastAsiaTheme="minorEastAsia" w:hAnsi="Arial Narrow"/>
                <w:color w:val="FFFFFF" w:themeColor="background1"/>
                <w:szCs w:val="18"/>
              </w:rPr>
              <w:t>Step</w:t>
            </w:r>
          </w:p>
        </w:tc>
        <w:tc>
          <w:tcPr>
            <w:tcW w:w="4770" w:type="dxa"/>
            <w:hideMark/>
          </w:tcPr>
          <w:p w14:paraId="345FC583" w14:textId="77777777" w:rsidR="00D708F0" w:rsidRPr="0072128E" w:rsidRDefault="00D708F0" w:rsidP="00D708F0">
            <w:pPr>
              <w:cnfStyle w:val="100000000000" w:firstRow="1" w:lastRow="0" w:firstColumn="0" w:lastColumn="0" w:oddVBand="0" w:evenVBand="0" w:oddHBand="0" w:evenHBand="0" w:firstRowFirstColumn="0" w:firstRowLastColumn="0" w:lastRowFirstColumn="0" w:lastRowLastColumn="0"/>
              <w:rPr>
                <w:rFonts w:ascii="Arial Narrow" w:eastAsiaTheme="minorEastAsia" w:hAnsi="Arial Narrow"/>
                <w:color w:val="FFFFFF" w:themeColor="background1"/>
                <w:szCs w:val="18"/>
              </w:rPr>
            </w:pPr>
            <w:r w:rsidRPr="0072128E">
              <w:rPr>
                <w:rFonts w:ascii="Arial Narrow" w:eastAsiaTheme="minorEastAsia" w:hAnsi="Arial Narrow"/>
                <w:color w:val="FFFFFF" w:themeColor="background1"/>
                <w:szCs w:val="18"/>
              </w:rPr>
              <w:t>Description</w:t>
            </w:r>
          </w:p>
        </w:tc>
      </w:tr>
      <w:tr w:rsidR="00D708F0" w:rsidRPr="009B458C" w14:paraId="4D3B76A7" w14:textId="77777777" w:rsidTr="00D708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DBDDDE" w:themeColor="text2" w:themeTint="33"/>
              <w:left w:val="nil"/>
              <w:bottom w:val="single" w:sz="4" w:space="0" w:color="DBDDDE" w:themeColor="text2" w:themeTint="33"/>
              <w:right w:val="nil"/>
            </w:tcBorders>
            <w:hideMark/>
          </w:tcPr>
          <w:p w14:paraId="13FA4A3A" w14:textId="77777777" w:rsidR="00D708F0" w:rsidRPr="0072128E" w:rsidRDefault="00D708F0" w:rsidP="00D708F0">
            <w:pPr>
              <w:jc w:val="left"/>
              <w:rPr>
                <w:rFonts w:ascii="Arial Narrow" w:eastAsiaTheme="minorEastAsia" w:hAnsi="Arial Narrow"/>
                <w:szCs w:val="18"/>
              </w:rPr>
            </w:pPr>
            <w:r w:rsidRPr="0072128E">
              <w:rPr>
                <w:rFonts w:ascii="Arial Narrow" w:eastAsiaTheme="minorEastAsia" w:hAnsi="Arial Narrow"/>
                <w:szCs w:val="18"/>
              </w:rPr>
              <w:t>1. Year 2032 Portfolio-Level CPAS</w:t>
            </w:r>
          </w:p>
        </w:tc>
        <w:tc>
          <w:tcPr>
            <w:tcW w:w="4770" w:type="dxa"/>
            <w:tcBorders>
              <w:top w:val="single" w:sz="4" w:space="0" w:color="DBDDDE" w:themeColor="text2" w:themeTint="33"/>
              <w:left w:val="nil"/>
              <w:bottom w:val="single" w:sz="4" w:space="0" w:color="DBDDDE" w:themeColor="text2" w:themeTint="33"/>
              <w:right w:val="nil"/>
            </w:tcBorders>
            <w:hideMark/>
          </w:tcPr>
          <w:p w14:paraId="03FE48CC" w14:textId="77777777" w:rsidR="00D708F0" w:rsidRPr="0072128E" w:rsidRDefault="00D708F0" w:rsidP="00D708F0">
            <w:pPr>
              <w:jc w:val="left"/>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szCs w:val="18"/>
              </w:rPr>
            </w:pPr>
            <w:r w:rsidRPr="0072128E">
              <w:rPr>
                <w:rFonts w:ascii="Arial Narrow" w:eastAsiaTheme="minorEastAsia" w:hAnsi="Arial Narrow"/>
                <w:szCs w:val="18"/>
              </w:rPr>
              <w:t xml:space="preserve">Assuming CY2019 programs are implemented in CY2022, gather and aggregate all </w:t>
            </w:r>
            <w:r>
              <w:rPr>
                <w:rFonts w:ascii="Arial Narrow" w:eastAsiaTheme="minorEastAsia" w:hAnsi="Arial Narrow"/>
                <w:szCs w:val="18"/>
              </w:rPr>
              <w:t>sector</w:t>
            </w:r>
            <w:r w:rsidRPr="0072128E">
              <w:rPr>
                <w:rFonts w:ascii="Arial Narrow" w:eastAsiaTheme="minorEastAsia" w:hAnsi="Arial Narrow"/>
                <w:szCs w:val="18"/>
              </w:rPr>
              <w:t xml:space="preserve">-level </w:t>
            </w:r>
            <w:r>
              <w:rPr>
                <w:rFonts w:ascii="Arial Narrow" w:eastAsiaTheme="minorEastAsia" w:hAnsi="Arial Narrow"/>
                <w:szCs w:val="18"/>
              </w:rPr>
              <w:t>therm savings</w:t>
            </w:r>
            <w:r w:rsidRPr="0072128E">
              <w:rPr>
                <w:rFonts w:ascii="Arial Narrow" w:eastAsiaTheme="minorEastAsia" w:hAnsi="Arial Narrow"/>
                <w:szCs w:val="18"/>
              </w:rPr>
              <w:t xml:space="preserve"> to construct a portfolio-level </w:t>
            </w:r>
            <w:r>
              <w:rPr>
                <w:rFonts w:ascii="Arial Narrow" w:eastAsiaTheme="minorEastAsia" w:hAnsi="Arial Narrow"/>
                <w:szCs w:val="18"/>
              </w:rPr>
              <w:t>annual timeline of</w:t>
            </w:r>
            <w:r w:rsidRPr="0072128E">
              <w:rPr>
                <w:rFonts w:ascii="Arial Narrow" w:eastAsiaTheme="minorEastAsia" w:hAnsi="Arial Narrow"/>
                <w:szCs w:val="18"/>
              </w:rPr>
              <w:t xml:space="preserve"> </w:t>
            </w:r>
            <w:r>
              <w:rPr>
                <w:rFonts w:ascii="Arial Narrow" w:eastAsiaTheme="minorEastAsia" w:hAnsi="Arial Narrow"/>
                <w:szCs w:val="18"/>
              </w:rPr>
              <w:t>residential and non-residential savings</w:t>
            </w:r>
            <w:r w:rsidRPr="0072128E">
              <w:rPr>
                <w:rFonts w:ascii="Arial Narrow" w:eastAsiaTheme="minorEastAsia" w:hAnsi="Arial Narrow"/>
                <w:szCs w:val="18"/>
              </w:rPr>
              <w:t xml:space="preserve"> spanning 2022 through 2046, then extract </w:t>
            </w:r>
            <w:r>
              <w:rPr>
                <w:rFonts w:ascii="Arial Narrow" w:eastAsiaTheme="minorEastAsia" w:hAnsi="Arial Narrow"/>
                <w:szCs w:val="18"/>
              </w:rPr>
              <w:t>sector</w:t>
            </w:r>
            <w:r w:rsidRPr="0072128E">
              <w:rPr>
                <w:rFonts w:ascii="Arial Narrow" w:eastAsiaTheme="minorEastAsia" w:hAnsi="Arial Narrow"/>
                <w:szCs w:val="18"/>
              </w:rPr>
              <w:t xml:space="preserve">-level </w:t>
            </w:r>
            <w:r>
              <w:rPr>
                <w:rFonts w:ascii="Arial Narrow" w:eastAsiaTheme="minorEastAsia" w:hAnsi="Arial Narrow"/>
                <w:szCs w:val="18"/>
              </w:rPr>
              <w:t>therm savings</w:t>
            </w:r>
            <w:r w:rsidRPr="0072128E">
              <w:rPr>
                <w:rFonts w:ascii="Arial Narrow" w:eastAsiaTheme="minorEastAsia" w:hAnsi="Arial Narrow"/>
                <w:szCs w:val="18"/>
              </w:rPr>
              <w:t xml:space="preserve"> for 2032.</w:t>
            </w:r>
          </w:p>
        </w:tc>
      </w:tr>
      <w:tr w:rsidR="00D708F0" w:rsidRPr="009B458C" w14:paraId="2FA77837" w14:textId="77777777" w:rsidTr="00D708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DBDDDE" w:themeColor="text2" w:themeTint="33"/>
              <w:left w:val="nil"/>
              <w:bottom w:val="single" w:sz="4" w:space="0" w:color="DBDDDE" w:themeColor="text2" w:themeTint="33"/>
              <w:right w:val="nil"/>
            </w:tcBorders>
            <w:hideMark/>
          </w:tcPr>
          <w:p w14:paraId="7D43B583" w14:textId="77777777" w:rsidR="00D708F0" w:rsidRPr="0072128E" w:rsidRDefault="00D708F0" w:rsidP="00D708F0">
            <w:pPr>
              <w:jc w:val="left"/>
              <w:rPr>
                <w:rFonts w:ascii="Arial Narrow" w:eastAsiaTheme="minorEastAsia" w:hAnsi="Arial Narrow"/>
                <w:szCs w:val="18"/>
              </w:rPr>
            </w:pPr>
            <w:r w:rsidRPr="0072128E">
              <w:rPr>
                <w:rFonts w:ascii="Arial Narrow" w:eastAsiaTheme="minorEastAsia" w:hAnsi="Arial Narrow"/>
                <w:szCs w:val="18"/>
              </w:rPr>
              <w:t xml:space="preserve">2. </w:t>
            </w:r>
            <w:r>
              <w:rPr>
                <w:rFonts w:ascii="Arial Narrow" w:eastAsiaTheme="minorEastAsia" w:hAnsi="Arial Narrow"/>
                <w:szCs w:val="18"/>
              </w:rPr>
              <w:t>Evaluate Emission Reductions</w:t>
            </w:r>
          </w:p>
        </w:tc>
        <w:tc>
          <w:tcPr>
            <w:tcW w:w="4770" w:type="dxa"/>
            <w:tcBorders>
              <w:top w:val="single" w:sz="4" w:space="0" w:color="DBDDDE" w:themeColor="text2" w:themeTint="33"/>
              <w:left w:val="nil"/>
              <w:bottom w:val="single" w:sz="4" w:space="0" w:color="DBDDDE" w:themeColor="text2" w:themeTint="33"/>
              <w:right w:val="nil"/>
            </w:tcBorders>
            <w:hideMark/>
          </w:tcPr>
          <w:p w14:paraId="2997626B" w14:textId="77777777" w:rsidR="00D708F0" w:rsidRPr="0072128E" w:rsidRDefault="00D708F0" w:rsidP="00D708F0">
            <w:pPr>
              <w:jc w:val="left"/>
              <w:cnfStyle w:val="000000010000" w:firstRow="0" w:lastRow="0" w:firstColumn="0" w:lastColumn="0" w:oddVBand="0" w:evenVBand="0" w:oddHBand="0" w:evenHBand="1" w:firstRowFirstColumn="0" w:firstRowLastColumn="0" w:lastRowFirstColumn="0" w:lastRowLastColumn="0"/>
              <w:rPr>
                <w:rFonts w:ascii="Arial Narrow" w:eastAsiaTheme="minorEastAsia" w:hAnsi="Arial Narrow"/>
                <w:szCs w:val="18"/>
              </w:rPr>
            </w:pPr>
            <w:r w:rsidRPr="0072128E">
              <w:rPr>
                <w:rFonts w:ascii="Arial Narrow" w:eastAsiaTheme="minorEastAsia" w:hAnsi="Arial Narrow"/>
                <w:szCs w:val="18"/>
              </w:rPr>
              <w:t xml:space="preserve">Use </w:t>
            </w:r>
            <w:r>
              <w:rPr>
                <w:rFonts w:ascii="Arial Narrow" w:eastAsiaTheme="minorEastAsia" w:hAnsi="Arial Narrow"/>
                <w:szCs w:val="18"/>
              </w:rPr>
              <w:t>the emission factors provided by the EPA (shown in</w:t>
            </w:r>
            <w:r w:rsidRPr="0072128E">
              <w:rPr>
                <w:rFonts w:ascii="Arial Narrow" w:eastAsiaTheme="minorEastAsia" w:hAnsi="Arial Narrow" w:cstheme="majorHAnsi"/>
                <w:color w:val="auto"/>
                <w:szCs w:val="18"/>
              </w:rPr>
              <w:t xml:space="preserve"> </w:t>
            </w:r>
            <w:r w:rsidRPr="0072128E">
              <w:rPr>
                <w:rFonts w:ascii="Arial Narrow" w:eastAsiaTheme="minorEastAsia" w:hAnsi="Arial Narrow" w:cstheme="majorHAnsi"/>
                <w:color w:val="auto"/>
                <w:szCs w:val="18"/>
              </w:rPr>
              <w:fldChar w:fldCharType="begin"/>
            </w:r>
            <w:r w:rsidRPr="0072128E">
              <w:rPr>
                <w:rFonts w:ascii="Arial Narrow" w:eastAsiaTheme="minorEastAsia" w:hAnsi="Arial Narrow" w:cstheme="majorHAnsi"/>
                <w:color w:val="auto"/>
                <w:szCs w:val="18"/>
              </w:rPr>
              <w:instrText xml:space="preserve"> REF _Ref43709077 \h  \* MERGEFORMAT </w:instrText>
            </w:r>
            <w:r w:rsidRPr="0072128E">
              <w:rPr>
                <w:rFonts w:ascii="Arial Narrow" w:eastAsiaTheme="minorEastAsia" w:hAnsi="Arial Narrow" w:cstheme="majorHAnsi"/>
                <w:color w:val="auto"/>
                <w:szCs w:val="18"/>
              </w:rPr>
            </w:r>
            <w:r w:rsidRPr="0072128E">
              <w:rPr>
                <w:rFonts w:ascii="Arial Narrow" w:eastAsiaTheme="minorEastAsia" w:hAnsi="Arial Narrow" w:cstheme="majorHAnsi"/>
                <w:color w:val="auto"/>
                <w:szCs w:val="18"/>
              </w:rPr>
              <w:fldChar w:fldCharType="separate"/>
            </w:r>
            <w:r w:rsidRPr="0072128E">
              <w:rPr>
                <w:rFonts w:ascii="Arial Narrow" w:eastAsiaTheme="minorHAnsi" w:hAnsi="Arial Narrow" w:cstheme="majorHAnsi"/>
                <w:color w:val="auto"/>
                <w:szCs w:val="18"/>
              </w:rPr>
              <w:t xml:space="preserve">Table </w:t>
            </w:r>
            <w:r w:rsidRPr="0072128E">
              <w:rPr>
                <w:rFonts w:ascii="Arial Narrow" w:eastAsiaTheme="minorHAnsi" w:hAnsi="Arial Narrow" w:cstheme="majorHAnsi"/>
                <w:i/>
                <w:iCs/>
                <w:noProof/>
                <w:color w:val="auto"/>
                <w:szCs w:val="18"/>
              </w:rPr>
              <w:t>2</w:t>
            </w:r>
            <w:r w:rsidRPr="0072128E">
              <w:rPr>
                <w:rFonts w:ascii="Arial Narrow" w:eastAsiaTheme="minorEastAsia" w:hAnsi="Arial Narrow" w:cstheme="majorHAnsi"/>
                <w:color w:val="auto"/>
                <w:szCs w:val="18"/>
              </w:rPr>
              <w:fldChar w:fldCharType="end"/>
            </w:r>
            <w:r>
              <w:rPr>
                <w:rFonts w:ascii="Arial Narrow" w:eastAsiaTheme="minorEastAsia" w:hAnsi="Arial Narrow" w:cstheme="majorHAnsi"/>
                <w:color w:val="auto"/>
                <w:szCs w:val="18"/>
              </w:rPr>
              <w:t xml:space="preserve">) to estimate the tons of emissions reduced by sector for 2032. </w:t>
            </w:r>
          </w:p>
        </w:tc>
      </w:tr>
      <w:tr w:rsidR="00D708F0" w:rsidRPr="009B458C" w14:paraId="2A000EFE" w14:textId="77777777" w:rsidTr="00D708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DBDDDE" w:themeColor="text2" w:themeTint="33"/>
              <w:left w:val="nil"/>
              <w:bottom w:val="single" w:sz="4" w:space="0" w:color="DBDDDE" w:themeColor="text2" w:themeTint="33"/>
              <w:right w:val="nil"/>
            </w:tcBorders>
            <w:hideMark/>
          </w:tcPr>
          <w:p w14:paraId="46BBAB8C" w14:textId="77777777" w:rsidR="00D708F0" w:rsidRPr="0072128E" w:rsidRDefault="00D708F0" w:rsidP="00D708F0">
            <w:pPr>
              <w:jc w:val="left"/>
              <w:rPr>
                <w:rFonts w:ascii="Arial Narrow" w:eastAsiaTheme="minorEastAsia" w:hAnsi="Arial Narrow"/>
                <w:szCs w:val="18"/>
              </w:rPr>
            </w:pPr>
            <w:r>
              <w:rPr>
                <w:rFonts w:ascii="Arial Narrow" w:eastAsiaTheme="minorEastAsia" w:hAnsi="Arial Narrow"/>
                <w:szCs w:val="18"/>
              </w:rPr>
              <w:t>3</w:t>
            </w:r>
            <w:r w:rsidRPr="0072128E">
              <w:rPr>
                <w:rFonts w:ascii="Arial Narrow" w:eastAsiaTheme="minorEastAsia" w:hAnsi="Arial Narrow"/>
                <w:szCs w:val="18"/>
              </w:rPr>
              <w:t xml:space="preserve">. Execute COBRA Model </w:t>
            </w:r>
          </w:p>
        </w:tc>
        <w:tc>
          <w:tcPr>
            <w:tcW w:w="4770" w:type="dxa"/>
            <w:tcBorders>
              <w:top w:val="single" w:sz="4" w:space="0" w:color="DBDDDE" w:themeColor="text2" w:themeTint="33"/>
              <w:left w:val="nil"/>
              <w:bottom w:val="single" w:sz="4" w:space="0" w:color="DBDDDE" w:themeColor="text2" w:themeTint="33"/>
              <w:right w:val="nil"/>
            </w:tcBorders>
            <w:hideMark/>
          </w:tcPr>
          <w:p w14:paraId="28B10456" w14:textId="77777777" w:rsidR="00D708F0" w:rsidRPr="0072128E" w:rsidRDefault="00D708F0" w:rsidP="00D708F0">
            <w:pPr>
              <w:jc w:val="left"/>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szCs w:val="18"/>
              </w:rPr>
            </w:pPr>
            <w:r w:rsidRPr="0072128E">
              <w:rPr>
                <w:rFonts w:ascii="Arial Narrow" w:eastAsiaTheme="minorEastAsia" w:hAnsi="Arial Narrow"/>
                <w:szCs w:val="18"/>
              </w:rPr>
              <w:t>Use COBRA to estimate 2032 health benefits from emissions reductions.</w:t>
            </w:r>
          </w:p>
        </w:tc>
      </w:tr>
      <w:tr w:rsidR="00D708F0" w:rsidRPr="009B458C" w14:paraId="62330CC0" w14:textId="77777777" w:rsidTr="00D708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DBDDDE" w:themeColor="text2" w:themeTint="33"/>
              <w:left w:val="nil"/>
              <w:bottom w:val="single" w:sz="4" w:space="0" w:color="DBDDDE" w:themeColor="text2" w:themeTint="33"/>
              <w:right w:val="nil"/>
            </w:tcBorders>
            <w:hideMark/>
          </w:tcPr>
          <w:p w14:paraId="5F4BDF24" w14:textId="77777777" w:rsidR="00D708F0" w:rsidRPr="0072128E" w:rsidRDefault="00D708F0" w:rsidP="00D708F0">
            <w:pPr>
              <w:jc w:val="left"/>
              <w:rPr>
                <w:rFonts w:ascii="Arial Narrow" w:eastAsiaTheme="minorEastAsia" w:hAnsi="Arial Narrow"/>
                <w:szCs w:val="18"/>
              </w:rPr>
            </w:pPr>
            <w:r>
              <w:rPr>
                <w:rFonts w:ascii="Arial Narrow" w:eastAsiaTheme="minorEastAsia" w:hAnsi="Arial Narrow"/>
                <w:szCs w:val="18"/>
              </w:rPr>
              <w:t>4</w:t>
            </w:r>
            <w:r w:rsidRPr="0072128E">
              <w:rPr>
                <w:rFonts w:ascii="Arial Narrow" w:eastAsiaTheme="minorEastAsia" w:hAnsi="Arial Narrow"/>
                <w:szCs w:val="18"/>
              </w:rPr>
              <w:t>. Discount Benefits to CY2022</w:t>
            </w:r>
          </w:p>
        </w:tc>
        <w:tc>
          <w:tcPr>
            <w:tcW w:w="4770" w:type="dxa"/>
            <w:tcBorders>
              <w:top w:val="single" w:sz="4" w:space="0" w:color="DBDDDE" w:themeColor="text2" w:themeTint="33"/>
              <w:left w:val="nil"/>
              <w:bottom w:val="single" w:sz="4" w:space="0" w:color="DBDDDE" w:themeColor="text2" w:themeTint="33"/>
              <w:right w:val="nil"/>
            </w:tcBorders>
            <w:hideMark/>
          </w:tcPr>
          <w:p w14:paraId="7CBC631B" w14:textId="77777777" w:rsidR="00D708F0" w:rsidRPr="0072128E" w:rsidRDefault="00D708F0" w:rsidP="00D708F0">
            <w:pPr>
              <w:jc w:val="left"/>
              <w:cnfStyle w:val="000000010000" w:firstRow="0" w:lastRow="0" w:firstColumn="0" w:lastColumn="0" w:oddVBand="0" w:evenVBand="0" w:oddHBand="0" w:evenHBand="1" w:firstRowFirstColumn="0" w:firstRowLastColumn="0" w:lastRowFirstColumn="0" w:lastRowLastColumn="0"/>
              <w:rPr>
                <w:rFonts w:ascii="Arial Narrow" w:eastAsiaTheme="minorEastAsia" w:hAnsi="Arial Narrow"/>
                <w:szCs w:val="18"/>
              </w:rPr>
            </w:pPr>
            <w:r w:rsidRPr="0072128E">
              <w:rPr>
                <w:rFonts w:ascii="Arial Narrow" w:eastAsiaTheme="minorEastAsia" w:hAnsi="Arial Narrow"/>
                <w:szCs w:val="18"/>
              </w:rPr>
              <w:t xml:space="preserve">Discount 2032 COBRA-estimated </w:t>
            </w:r>
            <w:r>
              <w:rPr>
                <w:rFonts w:ascii="Arial Narrow" w:eastAsiaTheme="minorEastAsia" w:hAnsi="Arial Narrow"/>
                <w:szCs w:val="18"/>
              </w:rPr>
              <w:t>sector</w:t>
            </w:r>
            <w:r w:rsidRPr="0072128E">
              <w:rPr>
                <w:rFonts w:ascii="Arial Narrow" w:eastAsiaTheme="minorEastAsia" w:hAnsi="Arial Narrow"/>
                <w:szCs w:val="18"/>
              </w:rPr>
              <w:t>-level health benefit to CY2022 for TRC tests.</w:t>
            </w:r>
          </w:p>
        </w:tc>
      </w:tr>
      <w:tr w:rsidR="00D708F0" w:rsidRPr="009B458C" w14:paraId="5D09A751" w14:textId="77777777" w:rsidTr="00D708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DBDDDE" w:themeColor="text2" w:themeTint="33"/>
              <w:left w:val="nil"/>
              <w:bottom w:val="single" w:sz="4" w:space="0" w:color="DBDDDE" w:themeColor="text2" w:themeTint="33"/>
              <w:right w:val="nil"/>
            </w:tcBorders>
            <w:hideMark/>
          </w:tcPr>
          <w:p w14:paraId="5B7D0B06" w14:textId="77777777" w:rsidR="00D708F0" w:rsidRPr="0072128E" w:rsidRDefault="00D708F0" w:rsidP="00D708F0">
            <w:pPr>
              <w:jc w:val="left"/>
              <w:rPr>
                <w:rFonts w:ascii="Arial Narrow" w:eastAsiaTheme="minorEastAsia" w:hAnsi="Arial Narrow"/>
                <w:szCs w:val="18"/>
              </w:rPr>
            </w:pPr>
            <w:r>
              <w:rPr>
                <w:rFonts w:ascii="Arial Narrow" w:eastAsiaTheme="minorEastAsia" w:hAnsi="Arial Narrow"/>
                <w:szCs w:val="18"/>
              </w:rPr>
              <w:t>5</w:t>
            </w:r>
            <w:r w:rsidRPr="0072128E">
              <w:rPr>
                <w:rFonts w:ascii="Arial Narrow" w:eastAsiaTheme="minorEastAsia" w:hAnsi="Arial Narrow"/>
                <w:szCs w:val="18"/>
              </w:rPr>
              <w:t xml:space="preserve">. Divide Discounted Benefits </w:t>
            </w:r>
          </w:p>
          <w:p w14:paraId="671CC6E2" w14:textId="77777777" w:rsidR="00D708F0" w:rsidRPr="0072128E" w:rsidRDefault="00D708F0" w:rsidP="00D708F0">
            <w:pPr>
              <w:jc w:val="left"/>
              <w:rPr>
                <w:rFonts w:ascii="Arial Narrow" w:eastAsiaTheme="minorEastAsia" w:hAnsi="Arial Narrow"/>
                <w:szCs w:val="18"/>
              </w:rPr>
            </w:pPr>
            <w:r w:rsidRPr="0072128E">
              <w:rPr>
                <w:rFonts w:ascii="Arial Narrow" w:eastAsiaTheme="minorEastAsia" w:hAnsi="Arial Narrow"/>
                <w:szCs w:val="18"/>
              </w:rPr>
              <w:t xml:space="preserve">    by Year 2032 CPAS</w:t>
            </w:r>
          </w:p>
        </w:tc>
        <w:tc>
          <w:tcPr>
            <w:tcW w:w="4770" w:type="dxa"/>
            <w:tcBorders>
              <w:top w:val="single" w:sz="4" w:space="0" w:color="DBDDDE" w:themeColor="text2" w:themeTint="33"/>
              <w:left w:val="nil"/>
              <w:bottom w:val="single" w:sz="4" w:space="0" w:color="DBDDDE" w:themeColor="text2" w:themeTint="33"/>
              <w:right w:val="nil"/>
            </w:tcBorders>
            <w:hideMark/>
          </w:tcPr>
          <w:p w14:paraId="5606C6E8" w14:textId="77777777" w:rsidR="00D708F0" w:rsidRPr="0072128E" w:rsidRDefault="00D708F0" w:rsidP="00D708F0">
            <w:pPr>
              <w:jc w:val="left"/>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szCs w:val="18"/>
              </w:rPr>
            </w:pPr>
            <w:r w:rsidRPr="0072128E">
              <w:rPr>
                <w:rFonts w:ascii="Arial Narrow" w:eastAsiaTheme="minorEastAsia" w:hAnsi="Arial Narrow"/>
                <w:szCs w:val="18"/>
              </w:rPr>
              <w:t xml:space="preserve">Divide discounted 2032 COBRA-estimated </w:t>
            </w:r>
            <w:r>
              <w:rPr>
                <w:rFonts w:ascii="Arial Narrow" w:eastAsiaTheme="minorEastAsia" w:hAnsi="Arial Narrow"/>
                <w:szCs w:val="18"/>
              </w:rPr>
              <w:t>sector</w:t>
            </w:r>
            <w:r w:rsidRPr="0072128E">
              <w:rPr>
                <w:rFonts w:ascii="Arial Narrow" w:eastAsiaTheme="minorEastAsia" w:hAnsi="Arial Narrow"/>
                <w:szCs w:val="18"/>
              </w:rPr>
              <w:t xml:space="preserve">-level health benefit by </w:t>
            </w:r>
            <w:r>
              <w:rPr>
                <w:rFonts w:ascii="Arial Narrow" w:eastAsiaTheme="minorEastAsia" w:hAnsi="Arial Narrow"/>
                <w:szCs w:val="18"/>
              </w:rPr>
              <w:t>sector</w:t>
            </w:r>
            <w:r w:rsidRPr="0072128E">
              <w:rPr>
                <w:rFonts w:ascii="Arial Narrow" w:eastAsiaTheme="minorEastAsia" w:hAnsi="Arial Narrow"/>
                <w:szCs w:val="18"/>
              </w:rPr>
              <w:t xml:space="preserve">-level savings to generate a discounted health benefit per </w:t>
            </w:r>
            <w:r>
              <w:rPr>
                <w:rFonts w:ascii="Arial Narrow" w:eastAsiaTheme="minorEastAsia" w:hAnsi="Arial Narrow"/>
                <w:szCs w:val="18"/>
              </w:rPr>
              <w:t>therm</w:t>
            </w:r>
            <w:r w:rsidRPr="0072128E">
              <w:rPr>
                <w:rFonts w:ascii="Arial Narrow" w:eastAsiaTheme="minorEastAsia" w:hAnsi="Arial Narrow"/>
                <w:szCs w:val="18"/>
              </w:rPr>
              <w:t>.</w:t>
            </w:r>
          </w:p>
        </w:tc>
      </w:tr>
      <w:tr w:rsidR="00D708F0" w:rsidRPr="009B458C" w14:paraId="4DF19007" w14:textId="77777777" w:rsidTr="00D708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DBDDDE" w:themeColor="text2" w:themeTint="33"/>
              <w:left w:val="nil"/>
              <w:bottom w:val="single" w:sz="8" w:space="0" w:color="53575A" w:themeColor="text2"/>
              <w:right w:val="nil"/>
            </w:tcBorders>
            <w:hideMark/>
          </w:tcPr>
          <w:p w14:paraId="5664C3FD" w14:textId="77777777" w:rsidR="00D708F0" w:rsidRPr="0072128E" w:rsidRDefault="00D708F0" w:rsidP="00D708F0">
            <w:pPr>
              <w:jc w:val="left"/>
              <w:rPr>
                <w:rFonts w:ascii="Arial Narrow" w:eastAsiaTheme="minorEastAsia" w:hAnsi="Arial Narrow"/>
                <w:szCs w:val="18"/>
              </w:rPr>
            </w:pPr>
            <w:r>
              <w:rPr>
                <w:rFonts w:ascii="Arial Narrow" w:eastAsiaTheme="minorEastAsia" w:hAnsi="Arial Narrow"/>
                <w:szCs w:val="18"/>
              </w:rPr>
              <w:t>6</w:t>
            </w:r>
            <w:r w:rsidRPr="0072128E">
              <w:rPr>
                <w:rFonts w:ascii="Arial Narrow" w:eastAsiaTheme="minorEastAsia" w:hAnsi="Arial Narrow"/>
                <w:szCs w:val="18"/>
              </w:rPr>
              <w:t xml:space="preserve">. Multiply by Program-Level </w:t>
            </w:r>
          </w:p>
          <w:p w14:paraId="72BF9A86" w14:textId="77777777" w:rsidR="00D708F0" w:rsidRPr="0072128E" w:rsidRDefault="00D708F0" w:rsidP="00D708F0">
            <w:pPr>
              <w:jc w:val="left"/>
              <w:rPr>
                <w:rFonts w:ascii="Arial Narrow" w:eastAsiaTheme="minorEastAsia" w:hAnsi="Arial Narrow"/>
                <w:szCs w:val="18"/>
              </w:rPr>
            </w:pPr>
            <w:r w:rsidRPr="0072128E">
              <w:rPr>
                <w:rFonts w:ascii="Arial Narrow" w:eastAsiaTheme="minorEastAsia" w:hAnsi="Arial Narrow"/>
                <w:szCs w:val="18"/>
              </w:rPr>
              <w:t xml:space="preserve">    Year 2032 CPAS</w:t>
            </w:r>
          </w:p>
        </w:tc>
        <w:tc>
          <w:tcPr>
            <w:tcW w:w="4770" w:type="dxa"/>
            <w:tcBorders>
              <w:top w:val="single" w:sz="4" w:space="0" w:color="DBDDDE" w:themeColor="text2" w:themeTint="33"/>
              <w:left w:val="nil"/>
              <w:bottom w:val="single" w:sz="8" w:space="0" w:color="53575A" w:themeColor="text2"/>
              <w:right w:val="nil"/>
            </w:tcBorders>
            <w:hideMark/>
          </w:tcPr>
          <w:p w14:paraId="3B97E9CF" w14:textId="77777777" w:rsidR="00D708F0" w:rsidRPr="0072128E" w:rsidRDefault="00D708F0" w:rsidP="00D708F0">
            <w:pPr>
              <w:jc w:val="left"/>
              <w:cnfStyle w:val="000000010000" w:firstRow="0" w:lastRow="0" w:firstColumn="0" w:lastColumn="0" w:oddVBand="0" w:evenVBand="0" w:oddHBand="0" w:evenHBand="1" w:firstRowFirstColumn="0" w:firstRowLastColumn="0" w:lastRowFirstColumn="0" w:lastRowLastColumn="0"/>
              <w:rPr>
                <w:rFonts w:ascii="Arial Narrow" w:eastAsiaTheme="minorEastAsia" w:hAnsi="Arial Narrow"/>
                <w:szCs w:val="18"/>
              </w:rPr>
            </w:pPr>
            <w:r w:rsidRPr="0072128E">
              <w:rPr>
                <w:rFonts w:ascii="Arial Narrow" w:eastAsiaTheme="minorEastAsia" w:hAnsi="Arial Narrow"/>
                <w:szCs w:val="18"/>
              </w:rPr>
              <w:t xml:space="preserve">Multiply discounted 2032 health benefit per </w:t>
            </w:r>
            <w:r>
              <w:rPr>
                <w:rFonts w:ascii="Arial Narrow" w:eastAsiaTheme="minorEastAsia" w:hAnsi="Arial Narrow"/>
                <w:szCs w:val="18"/>
              </w:rPr>
              <w:t>therm</w:t>
            </w:r>
            <w:r w:rsidRPr="0072128E">
              <w:rPr>
                <w:rFonts w:ascii="Arial Narrow" w:eastAsiaTheme="minorEastAsia" w:hAnsi="Arial Narrow"/>
                <w:szCs w:val="18"/>
              </w:rPr>
              <w:t xml:space="preserve"> by program-level </w:t>
            </w:r>
            <w:r>
              <w:rPr>
                <w:rFonts w:ascii="Arial Narrow" w:eastAsiaTheme="minorEastAsia" w:hAnsi="Arial Narrow"/>
                <w:szCs w:val="18"/>
              </w:rPr>
              <w:t>savings</w:t>
            </w:r>
            <w:r w:rsidRPr="0072128E">
              <w:rPr>
                <w:rFonts w:ascii="Arial Narrow" w:eastAsiaTheme="minorEastAsia" w:hAnsi="Arial Narrow"/>
                <w:szCs w:val="18"/>
              </w:rPr>
              <w:t xml:space="preserve"> to calculate 2032 program-level health benefit.</w:t>
            </w:r>
          </w:p>
        </w:tc>
      </w:tr>
    </w:tbl>
    <w:p w14:paraId="472F309D" w14:textId="77777777" w:rsidR="00D708F0" w:rsidRDefault="00D708F0" w:rsidP="00D708F0">
      <w:pPr>
        <w:rPr>
          <w:rFonts w:eastAsiaTheme="minorEastAsia"/>
          <w:b/>
          <w:bCs/>
        </w:rPr>
      </w:pPr>
    </w:p>
    <w:p w14:paraId="7868C93A" w14:textId="77777777" w:rsidR="00D708F0" w:rsidRPr="00905891" w:rsidRDefault="00D708F0" w:rsidP="00D708F0">
      <w:pPr>
        <w:spacing w:line="240" w:lineRule="auto"/>
        <w:rPr>
          <w:rFonts w:eastAsiaTheme="minorEastAsia"/>
          <w:b/>
          <w:bCs/>
          <w:sz w:val="20"/>
        </w:rPr>
      </w:pPr>
      <w:r w:rsidRPr="00905891">
        <w:rPr>
          <w:rFonts w:eastAsiaTheme="minorEastAsia"/>
          <w:b/>
          <w:bCs/>
          <w:sz w:val="20"/>
        </w:rPr>
        <w:t>Step 1: Year 2032 Portfolio-Level CPAS</w:t>
      </w:r>
    </w:p>
    <w:p w14:paraId="66FCC03C" w14:textId="552418A1" w:rsidR="00D708F0" w:rsidRPr="00905891" w:rsidRDefault="00D708F0" w:rsidP="00D708F0">
      <w:pPr>
        <w:spacing w:line="240" w:lineRule="auto"/>
        <w:rPr>
          <w:rFonts w:eastAsiaTheme="minorEastAsia"/>
          <w:sz w:val="20"/>
        </w:rPr>
      </w:pPr>
      <w:r w:rsidRPr="00905891">
        <w:rPr>
          <w:rFonts w:eastAsiaTheme="minorEastAsia"/>
          <w:sz w:val="20"/>
        </w:rPr>
        <w:t xml:space="preserve">For this summary we focus on estimation of societal health benefits for the </w:t>
      </w:r>
      <w:r>
        <w:rPr>
          <w:rFonts w:eastAsiaTheme="minorEastAsia"/>
          <w:sz w:val="20"/>
        </w:rPr>
        <w:t xml:space="preserve">Non-Residential </w:t>
      </w:r>
      <w:r w:rsidRPr="00905891">
        <w:rPr>
          <w:rFonts w:eastAsiaTheme="minorEastAsia"/>
          <w:sz w:val="20"/>
        </w:rPr>
        <w:t xml:space="preserve">Small </w:t>
      </w:r>
      <w:r w:rsidR="0052032C">
        <w:rPr>
          <w:rFonts w:eastAsiaTheme="minorEastAsia"/>
          <w:sz w:val="20"/>
        </w:rPr>
        <w:t>Business</w:t>
      </w:r>
      <w:r w:rsidRPr="00905891">
        <w:rPr>
          <w:rFonts w:eastAsiaTheme="minorEastAsia"/>
          <w:sz w:val="20"/>
        </w:rPr>
        <w:t xml:space="preserve"> program in 2032 assuming CY2019 programs and the stream of associated savings begin in CY2022. In this first step, gather and aggregate </w:t>
      </w:r>
      <w:r w:rsidR="007E7119">
        <w:rPr>
          <w:rFonts w:eastAsiaTheme="minorEastAsia"/>
          <w:sz w:val="20"/>
        </w:rPr>
        <w:t xml:space="preserve">the </w:t>
      </w:r>
      <w:r w:rsidR="00363BBB">
        <w:rPr>
          <w:rFonts w:eastAsiaTheme="minorEastAsia"/>
          <w:sz w:val="20"/>
        </w:rPr>
        <w:t>Peoples</w:t>
      </w:r>
      <w:r w:rsidR="007E7119">
        <w:rPr>
          <w:rFonts w:eastAsiaTheme="minorEastAsia"/>
          <w:sz w:val="20"/>
        </w:rPr>
        <w:t xml:space="preserve"> Gas </w:t>
      </w:r>
      <w:r w:rsidRPr="00905891">
        <w:rPr>
          <w:rFonts w:eastAsiaTheme="minorEastAsia"/>
          <w:sz w:val="20"/>
        </w:rPr>
        <w:t xml:space="preserve">CY2019 programs’ </w:t>
      </w:r>
      <w:r>
        <w:rPr>
          <w:rFonts w:eastAsiaTheme="minorEastAsia"/>
          <w:sz w:val="20"/>
        </w:rPr>
        <w:t>savings data and measure lives to construct an annual savings table</w:t>
      </w:r>
      <w:r w:rsidRPr="00905891">
        <w:rPr>
          <w:rFonts w:eastAsiaTheme="minorEastAsia"/>
          <w:sz w:val="20"/>
        </w:rPr>
        <w:t xml:space="preserve">. Assuming CY2019 savings begin in 2022, extract the </w:t>
      </w:r>
      <w:r>
        <w:rPr>
          <w:rFonts w:eastAsiaTheme="minorEastAsia"/>
          <w:sz w:val="20"/>
        </w:rPr>
        <w:t>total Non-Residential savings</w:t>
      </w:r>
      <w:r w:rsidRPr="00905891">
        <w:rPr>
          <w:rFonts w:eastAsiaTheme="minorEastAsia"/>
          <w:sz w:val="20"/>
        </w:rPr>
        <w:t xml:space="preserve"> for year 2032 equal to </w:t>
      </w:r>
      <w:r w:rsidR="00855A0C">
        <w:rPr>
          <w:rFonts w:eastAsiaTheme="minorEastAsia"/>
          <w:sz w:val="20"/>
        </w:rPr>
        <w:t>1</w:t>
      </w:r>
      <w:r w:rsidR="001F1FCC">
        <w:rPr>
          <w:rFonts w:eastAsiaTheme="minorEastAsia"/>
          <w:sz w:val="20"/>
        </w:rPr>
        <w:t>,232,799</w:t>
      </w:r>
      <w:r w:rsidRPr="00905891">
        <w:rPr>
          <w:rFonts w:eastAsiaTheme="minorEastAsia"/>
          <w:sz w:val="20"/>
        </w:rPr>
        <w:t xml:space="preserve"> </w:t>
      </w:r>
      <w:r>
        <w:rPr>
          <w:rFonts w:eastAsiaTheme="minorEastAsia"/>
          <w:sz w:val="20"/>
        </w:rPr>
        <w:t xml:space="preserve">Therms </w:t>
      </w:r>
      <w:r w:rsidRPr="00905891">
        <w:rPr>
          <w:rFonts w:eastAsiaTheme="minorEastAsia"/>
          <w:sz w:val="20"/>
        </w:rPr>
        <w:t xml:space="preserve">for use in Step 2. </w:t>
      </w:r>
    </w:p>
    <w:p w14:paraId="0967BBE8" w14:textId="77777777" w:rsidR="00D708F0" w:rsidRDefault="00D708F0" w:rsidP="00D708F0">
      <w:pPr>
        <w:rPr>
          <w:rFonts w:eastAsiaTheme="minorEastAsia"/>
          <w:b/>
          <w:bCs/>
        </w:rPr>
      </w:pPr>
    </w:p>
    <w:p w14:paraId="6BA05B4A" w14:textId="77777777" w:rsidR="00D708F0" w:rsidRPr="00D708F0" w:rsidRDefault="00D708F0" w:rsidP="00D708F0">
      <w:pPr>
        <w:spacing w:line="240" w:lineRule="auto"/>
        <w:rPr>
          <w:rFonts w:eastAsiaTheme="minorEastAsia"/>
          <w:b/>
          <w:bCs/>
          <w:sz w:val="20"/>
        </w:rPr>
      </w:pPr>
      <w:r w:rsidRPr="00D708F0">
        <w:rPr>
          <w:rFonts w:eastAsiaTheme="minorEastAsia"/>
          <w:b/>
          <w:bCs/>
          <w:sz w:val="20"/>
        </w:rPr>
        <w:t>Step 2: Evaluate Emission Reductions</w:t>
      </w:r>
    </w:p>
    <w:p w14:paraId="01DB25F0" w14:textId="64D1A8F6" w:rsidR="00D708F0" w:rsidRDefault="00D708F0" w:rsidP="00D708F0">
      <w:pPr>
        <w:rPr>
          <w:sz w:val="20"/>
          <w:szCs w:val="20"/>
        </w:rPr>
      </w:pPr>
      <w:r>
        <w:rPr>
          <w:sz w:val="20"/>
          <w:szCs w:val="20"/>
        </w:rPr>
        <w:t xml:space="preserve">To facilitate the measurement of reductions in emissions of pollutants due to </w:t>
      </w:r>
      <w:r w:rsidR="00363BBB">
        <w:rPr>
          <w:sz w:val="20"/>
          <w:szCs w:val="20"/>
        </w:rPr>
        <w:t>Peoples</w:t>
      </w:r>
      <w:r>
        <w:rPr>
          <w:sz w:val="20"/>
          <w:szCs w:val="20"/>
        </w:rPr>
        <w:t xml:space="preserve"> Gas’ CY2019 programs, the U.S. Environmental Protection Agency (EPA) provided Guidehouse with natural gas </w:t>
      </w:r>
      <w:r w:rsidRPr="00E56CE9">
        <w:rPr>
          <w:sz w:val="20"/>
          <w:szCs w:val="20"/>
        </w:rPr>
        <w:t>emissions factor</w:t>
      </w:r>
      <w:r w:rsidRPr="0072128E">
        <w:rPr>
          <w:color w:val="auto"/>
          <w:sz w:val="20"/>
          <w:szCs w:val="20"/>
        </w:rPr>
        <w:t>s.</w:t>
      </w:r>
      <w:r w:rsidRPr="0072128E">
        <w:rPr>
          <w:color w:val="auto"/>
          <w:sz w:val="20"/>
          <w:szCs w:val="20"/>
        </w:rPr>
        <w:fldChar w:fldCharType="begin"/>
      </w:r>
      <w:r w:rsidRPr="0072128E">
        <w:rPr>
          <w:color w:val="auto"/>
          <w:sz w:val="20"/>
          <w:szCs w:val="20"/>
        </w:rPr>
        <w:instrText xml:space="preserve"> REF _Ref51939556 \h  \* MERGEFORMAT </w:instrText>
      </w:r>
      <w:r w:rsidRPr="0072128E">
        <w:rPr>
          <w:color w:val="auto"/>
          <w:sz w:val="20"/>
          <w:szCs w:val="20"/>
        </w:rPr>
      </w:r>
      <w:r w:rsidRPr="0072128E">
        <w:rPr>
          <w:color w:val="auto"/>
          <w:sz w:val="20"/>
          <w:szCs w:val="20"/>
        </w:rPr>
        <w:fldChar w:fldCharType="end"/>
      </w:r>
      <w:r w:rsidRPr="003A7C17">
        <w:rPr>
          <w:sz w:val="20"/>
          <w:szCs w:val="20"/>
        </w:rPr>
        <w:fldChar w:fldCharType="begin"/>
      </w:r>
      <w:r w:rsidRPr="00E56CE9">
        <w:rPr>
          <w:sz w:val="20"/>
          <w:szCs w:val="20"/>
        </w:rPr>
        <w:instrText xml:space="preserve"> REF _Ref43709077 \h  \* MERGEFORMAT </w:instrText>
      </w:r>
      <w:r w:rsidRPr="003A7C17">
        <w:rPr>
          <w:sz w:val="20"/>
          <w:szCs w:val="20"/>
        </w:rPr>
      </w:r>
      <w:r w:rsidRPr="003A7C17">
        <w:rPr>
          <w:sz w:val="20"/>
          <w:szCs w:val="20"/>
        </w:rPr>
        <w:fldChar w:fldCharType="end"/>
      </w:r>
      <w:r w:rsidR="00DD5440">
        <w:rPr>
          <w:sz w:val="20"/>
          <w:szCs w:val="20"/>
        </w:rPr>
        <w:t xml:space="preserve"> </w:t>
      </w:r>
      <w:r w:rsidR="00DD5440" w:rsidRPr="00304BF4">
        <w:rPr>
          <w:color w:val="auto"/>
          <w:sz w:val="20"/>
          <w:szCs w:val="20"/>
        </w:rPr>
        <w:fldChar w:fldCharType="begin"/>
      </w:r>
      <w:r w:rsidR="00DD5440" w:rsidRPr="00304BF4">
        <w:rPr>
          <w:color w:val="auto"/>
          <w:sz w:val="20"/>
          <w:szCs w:val="20"/>
        </w:rPr>
        <w:instrText xml:space="preserve"> REF _Ref53045262 \h  \* MERGEFORMAT </w:instrText>
      </w:r>
      <w:r w:rsidR="00DD5440" w:rsidRPr="00304BF4">
        <w:rPr>
          <w:color w:val="auto"/>
          <w:sz w:val="20"/>
          <w:szCs w:val="20"/>
        </w:rPr>
      </w:r>
      <w:r w:rsidR="00DD5440" w:rsidRPr="00304BF4">
        <w:rPr>
          <w:color w:val="auto"/>
          <w:sz w:val="20"/>
          <w:szCs w:val="20"/>
        </w:rPr>
        <w:fldChar w:fldCharType="separate"/>
      </w:r>
      <w:r w:rsidR="00DD5440" w:rsidRPr="00304BF4">
        <w:rPr>
          <w:rFonts w:eastAsiaTheme="minorHAnsi" w:cstheme="minorBidi"/>
          <w:color w:val="auto"/>
          <w:sz w:val="20"/>
          <w:szCs w:val="20"/>
        </w:rPr>
        <w:t xml:space="preserve">Table </w:t>
      </w:r>
      <w:r w:rsidR="00DD5440" w:rsidRPr="00304BF4">
        <w:rPr>
          <w:rFonts w:eastAsiaTheme="minorHAnsi" w:cstheme="minorBidi"/>
          <w:noProof/>
          <w:color w:val="auto"/>
          <w:sz w:val="20"/>
          <w:szCs w:val="20"/>
        </w:rPr>
        <w:t>9</w:t>
      </w:r>
      <w:r w:rsidR="00DD5440" w:rsidRPr="00304BF4">
        <w:rPr>
          <w:color w:val="auto"/>
          <w:sz w:val="20"/>
          <w:szCs w:val="20"/>
        </w:rPr>
        <w:fldChar w:fldCharType="end"/>
      </w:r>
      <w:r w:rsidR="00DD5440">
        <w:rPr>
          <w:sz w:val="20"/>
          <w:szCs w:val="20"/>
        </w:rPr>
        <w:t xml:space="preserve"> </w:t>
      </w:r>
      <w:r w:rsidRPr="00E56CE9">
        <w:rPr>
          <w:sz w:val="20"/>
          <w:szCs w:val="20"/>
        </w:rPr>
        <w:t>below shows the emission</w:t>
      </w:r>
      <w:r>
        <w:rPr>
          <w:sz w:val="20"/>
          <w:szCs w:val="20"/>
        </w:rPr>
        <w:t>s</w:t>
      </w:r>
      <w:r w:rsidRPr="00E56CE9">
        <w:rPr>
          <w:sz w:val="20"/>
          <w:szCs w:val="20"/>
        </w:rPr>
        <w:t xml:space="preserve"> factors</w:t>
      </w:r>
      <w:r>
        <w:rPr>
          <w:sz w:val="20"/>
          <w:szCs w:val="20"/>
        </w:rPr>
        <w:t xml:space="preserve"> provided</w:t>
      </w:r>
      <w:r w:rsidRPr="00E56CE9">
        <w:rPr>
          <w:sz w:val="20"/>
          <w:szCs w:val="20"/>
        </w:rPr>
        <w:t>, grouped by sector and pollutant type</w:t>
      </w:r>
      <w:r>
        <w:rPr>
          <w:sz w:val="20"/>
          <w:szCs w:val="20"/>
        </w:rPr>
        <w:t>.</w:t>
      </w:r>
      <w:r w:rsidRPr="00E56CE9">
        <w:rPr>
          <w:rStyle w:val="FootnoteReference"/>
          <w:sz w:val="20"/>
          <w:szCs w:val="20"/>
        </w:rPr>
        <w:footnoteReference w:id="16"/>
      </w:r>
      <w:r w:rsidRPr="00E56CE9">
        <w:rPr>
          <w:sz w:val="20"/>
          <w:szCs w:val="20"/>
          <w:vertAlign w:val="superscript"/>
        </w:rPr>
        <w:t>,</w:t>
      </w:r>
      <w:r w:rsidRPr="00E56CE9">
        <w:rPr>
          <w:rStyle w:val="FootnoteReference"/>
          <w:sz w:val="20"/>
          <w:szCs w:val="20"/>
        </w:rPr>
        <w:footnoteReference w:id="17"/>
      </w:r>
      <w:r w:rsidRPr="00E56CE9">
        <w:rPr>
          <w:sz w:val="20"/>
          <w:szCs w:val="20"/>
          <w:vertAlign w:val="superscript"/>
        </w:rPr>
        <w:t>,</w:t>
      </w:r>
      <w:r w:rsidRPr="00E56CE9">
        <w:rPr>
          <w:rStyle w:val="FootnoteReference"/>
          <w:sz w:val="20"/>
          <w:szCs w:val="20"/>
        </w:rPr>
        <w:footnoteReference w:id="18"/>
      </w:r>
    </w:p>
    <w:p w14:paraId="4F4B2BFF" w14:textId="77777777" w:rsidR="00D708F0" w:rsidRDefault="00D708F0" w:rsidP="00D708F0"/>
    <w:p w14:paraId="11E3BE3E" w14:textId="187DCBCB" w:rsidR="00D708F0" w:rsidRPr="004B068E" w:rsidRDefault="00D708F0" w:rsidP="00D708F0">
      <w:pPr>
        <w:pStyle w:val="Caption"/>
        <w:keepNext/>
        <w:spacing w:after="120"/>
        <w:jc w:val="center"/>
        <w:rPr>
          <w:rFonts w:eastAsiaTheme="minorHAnsi" w:cstheme="minorBidi"/>
          <w:b/>
          <w:bCs/>
          <w:i w:val="0"/>
          <w:iCs w:val="0"/>
          <w:color w:val="93D500" w:themeColor="accent1"/>
          <w:sz w:val="20"/>
          <w:szCs w:val="20"/>
        </w:rPr>
      </w:pPr>
      <w:bookmarkStart w:id="20" w:name="_Ref53045262"/>
      <w:r w:rsidRPr="004B068E">
        <w:rPr>
          <w:rFonts w:eastAsiaTheme="minorHAnsi" w:cstheme="minorBidi"/>
          <w:b/>
          <w:bCs/>
          <w:i w:val="0"/>
          <w:iCs w:val="0"/>
          <w:color w:val="93D500" w:themeColor="accent1"/>
          <w:sz w:val="20"/>
          <w:szCs w:val="20"/>
        </w:rPr>
        <w:t xml:space="preserve">Table </w:t>
      </w:r>
      <w:r>
        <w:rPr>
          <w:rFonts w:eastAsiaTheme="minorHAnsi" w:cstheme="minorBidi"/>
          <w:b/>
          <w:bCs/>
          <w:i w:val="0"/>
          <w:iCs w:val="0"/>
          <w:color w:val="93D500" w:themeColor="accent1"/>
          <w:sz w:val="20"/>
          <w:szCs w:val="20"/>
        </w:rPr>
        <w:fldChar w:fldCharType="begin"/>
      </w:r>
      <w:r>
        <w:rPr>
          <w:rFonts w:eastAsiaTheme="minorHAnsi" w:cstheme="minorBidi"/>
          <w:b/>
          <w:bCs/>
          <w:i w:val="0"/>
          <w:iCs w:val="0"/>
          <w:color w:val="93D500" w:themeColor="accent1"/>
          <w:sz w:val="20"/>
          <w:szCs w:val="20"/>
        </w:rPr>
        <w:instrText xml:space="preserve"> SEQ Table \* ARABIC </w:instrText>
      </w:r>
      <w:r>
        <w:rPr>
          <w:rFonts w:eastAsiaTheme="minorHAnsi" w:cstheme="minorBidi"/>
          <w:b/>
          <w:bCs/>
          <w:i w:val="0"/>
          <w:iCs w:val="0"/>
          <w:color w:val="93D500" w:themeColor="accent1"/>
          <w:sz w:val="20"/>
          <w:szCs w:val="20"/>
        </w:rPr>
        <w:fldChar w:fldCharType="separate"/>
      </w:r>
      <w:r w:rsidR="00DD5440">
        <w:rPr>
          <w:rFonts w:eastAsiaTheme="minorHAnsi" w:cstheme="minorBidi"/>
          <w:b/>
          <w:bCs/>
          <w:i w:val="0"/>
          <w:iCs w:val="0"/>
          <w:noProof/>
          <w:color w:val="93D500" w:themeColor="accent1"/>
          <w:sz w:val="20"/>
          <w:szCs w:val="20"/>
        </w:rPr>
        <w:t>9</w:t>
      </w:r>
      <w:r>
        <w:rPr>
          <w:rFonts w:eastAsiaTheme="minorHAnsi" w:cstheme="minorBidi"/>
          <w:b/>
          <w:bCs/>
          <w:i w:val="0"/>
          <w:iCs w:val="0"/>
          <w:color w:val="93D500" w:themeColor="accent1"/>
          <w:sz w:val="20"/>
          <w:szCs w:val="20"/>
        </w:rPr>
        <w:fldChar w:fldCharType="end"/>
      </w:r>
      <w:bookmarkEnd w:id="20"/>
      <w:r w:rsidRPr="004B068E">
        <w:rPr>
          <w:rFonts w:eastAsiaTheme="minorHAnsi" w:cstheme="minorBidi"/>
          <w:b/>
          <w:bCs/>
          <w:i w:val="0"/>
          <w:iCs w:val="0"/>
          <w:color w:val="93D500" w:themeColor="accent1"/>
          <w:sz w:val="20"/>
          <w:szCs w:val="20"/>
        </w:rPr>
        <w:t>. Emission Factors</w:t>
      </w:r>
    </w:p>
    <w:tbl>
      <w:tblPr>
        <w:tblStyle w:val="EnergyTable"/>
        <w:tblW w:w="4590" w:type="dxa"/>
        <w:tblLook w:val="04A0" w:firstRow="1" w:lastRow="0" w:firstColumn="1" w:lastColumn="0" w:noHBand="0" w:noVBand="1"/>
      </w:tblPr>
      <w:tblGrid>
        <w:gridCol w:w="1350"/>
        <w:gridCol w:w="1564"/>
        <w:gridCol w:w="1676"/>
      </w:tblGrid>
      <w:tr w:rsidR="00D708F0" w:rsidRPr="003250F9" w14:paraId="015A913F" w14:textId="77777777" w:rsidTr="00D708F0">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350" w:type="dxa"/>
            <w:noWrap/>
            <w:hideMark/>
          </w:tcPr>
          <w:p w14:paraId="69060A84" w14:textId="77777777" w:rsidR="00D708F0" w:rsidRPr="003250F9" w:rsidRDefault="00D708F0" w:rsidP="00D708F0">
            <w:pPr>
              <w:rPr>
                <w:rFonts w:ascii="Arial Narrow" w:hAnsi="Arial Narrow" w:cstheme="minorHAnsi"/>
                <w:color w:val="FFFFFF" w:themeColor="background2"/>
                <w:szCs w:val="20"/>
              </w:rPr>
            </w:pPr>
            <w:r w:rsidRPr="003250F9">
              <w:rPr>
                <w:rFonts w:ascii="Arial Narrow" w:hAnsi="Arial Narrow" w:cstheme="minorHAnsi"/>
                <w:color w:val="FFFFFF" w:themeColor="background2"/>
                <w:szCs w:val="20"/>
              </w:rPr>
              <w:t>Pollutant</w:t>
            </w:r>
          </w:p>
        </w:tc>
        <w:tc>
          <w:tcPr>
            <w:tcW w:w="1564" w:type="dxa"/>
            <w:noWrap/>
            <w:hideMark/>
          </w:tcPr>
          <w:p w14:paraId="27CE5A6C" w14:textId="668D4640" w:rsidR="00D708F0" w:rsidRPr="003250F9" w:rsidRDefault="00CD527A" w:rsidP="00D708F0">
            <w:pPr>
              <w:cnfStyle w:val="100000000000" w:firstRow="1" w:lastRow="0" w:firstColumn="0" w:lastColumn="0" w:oddVBand="0" w:evenVBand="0" w:oddHBand="0" w:evenHBand="0" w:firstRowFirstColumn="0" w:firstRowLastColumn="0" w:lastRowFirstColumn="0" w:lastRowLastColumn="0"/>
              <w:rPr>
                <w:rFonts w:ascii="Arial Narrow" w:hAnsi="Arial Narrow" w:cstheme="minorHAnsi"/>
                <w:color w:val="FFFFFF" w:themeColor="background2"/>
                <w:szCs w:val="20"/>
              </w:rPr>
            </w:pPr>
            <w:r>
              <w:rPr>
                <w:rFonts w:ascii="Arial Narrow" w:hAnsi="Arial Narrow" w:cstheme="minorHAnsi"/>
                <w:color w:val="FFFFFF" w:themeColor="background2"/>
                <w:szCs w:val="20"/>
              </w:rPr>
              <w:t>Non-Residential</w:t>
            </w:r>
            <w:r w:rsidR="00D708F0" w:rsidRPr="003250F9">
              <w:rPr>
                <w:rFonts w:ascii="Arial Narrow" w:hAnsi="Arial Narrow" w:cstheme="minorHAnsi"/>
                <w:color w:val="FFFFFF" w:themeColor="background2"/>
                <w:szCs w:val="20"/>
              </w:rPr>
              <w:t xml:space="preserve"> Factors (lb/MMCF)</w:t>
            </w:r>
          </w:p>
        </w:tc>
        <w:tc>
          <w:tcPr>
            <w:tcW w:w="1676" w:type="dxa"/>
            <w:noWrap/>
            <w:hideMark/>
          </w:tcPr>
          <w:p w14:paraId="326FAD5D" w14:textId="77777777" w:rsidR="00D708F0" w:rsidRPr="003250F9" w:rsidRDefault="00D708F0" w:rsidP="00D708F0">
            <w:pPr>
              <w:cnfStyle w:val="100000000000" w:firstRow="1" w:lastRow="0" w:firstColumn="0" w:lastColumn="0" w:oddVBand="0" w:evenVBand="0" w:oddHBand="0" w:evenHBand="0" w:firstRowFirstColumn="0" w:firstRowLastColumn="0" w:lastRowFirstColumn="0" w:lastRowLastColumn="0"/>
              <w:rPr>
                <w:rFonts w:ascii="Arial Narrow" w:hAnsi="Arial Narrow" w:cstheme="minorHAnsi"/>
                <w:color w:val="FFFFFF" w:themeColor="background2"/>
                <w:szCs w:val="20"/>
              </w:rPr>
            </w:pPr>
            <w:r w:rsidRPr="003250F9">
              <w:rPr>
                <w:rFonts w:ascii="Arial Narrow" w:hAnsi="Arial Narrow" w:cstheme="minorHAnsi"/>
                <w:color w:val="FFFFFF" w:themeColor="background2"/>
                <w:szCs w:val="20"/>
              </w:rPr>
              <w:t>Residential Factors (lb/MMCF)</w:t>
            </w:r>
          </w:p>
        </w:tc>
      </w:tr>
      <w:tr w:rsidR="00D708F0" w:rsidRPr="003250F9" w14:paraId="56B781D3" w14:textId="77777777" w:rsidTr="00D708F0">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350" w:type="dxa"/>
            <w:noWrap/>
            <w:hideMark/>
          </w:tcPr>
          <w:p w14:paraId="0A82C3CE" w14:textId="77777777" w:rsidR="00D708F0" w:rsidRPr="003250F9" w:rsidRDefault="00D708F0" w:rsidP="00D708F0">
            <w:pPr>
              <w:rPr>
                <w:rFonts w:ascii="Arial Narrow" w:hAnsi="Arial Narrow" w:cstheme="minorHAnsi"/>
                <w:szCs w:val="20"/>
              </w:rPr>
            </w:pPr>
            <w:r w:rsidRPr="003250F9">
              <w:rPr>
                <w:rFonts w:ascii="Arial Narrow" w:hAnsi="Arial Narrow" w:cstheme="minorHAnsi"/>
                <w:szCs w:val="20"/>
              </w:rPr>
              <w:t>PM</w:t>
            </w:r>
            <w:r w:rsidRPr="00E2585A">
              <w:rPr>
                <w:rFonts w:ascii="Arial Narrow" w:hAnsi="Arial Narrow" w:cstheme="minorHAnsi"/>
                <w:szCs w:val="20"/>
                <w:vertAlign w:val="subscript"/>
              </w:rPr>
              <w:t>2</w:t>
            </w:r>
            <w:r>
              <w:rPr>
                <w:rFonts w:ascii="Arial Narrow" w:hAnsi="Arial Narrow" w:cstheme="minorHAnsi"/>
                <w:szCs w:val="20"/>
                <w:vertAlign w:val="subscript"/>
              </w:rPr>
              <w:t>.</w:t>
            </w:r>
            <w:r w:rsidRPr="00E2585A">
              <w:rPr>
                <w:rFonts w:ascii="Arial Narrow" w:hAnsi="Arial Narrow" w:cstheme="minorHAnsi"/>
                <w:szCs w:val="20"/>
                <w:vertAlign w:val="subscript"/>
              </w:rPr>
              <w:t>5</w:t>
            </w:r>
          </w:p>
        </w:tc>
        <w:tc>
          <w:tcPr>
            <w:tcW w:w="1564" w:type="dxa"/>
            <w:noWrap/>
            <w:hideMark/>
          </w:tcPr>
          <w:p w14:paraId="559E65DD" w14:textId="77777777" w:rsidR="00D708F0" w:rsidRPr="003250F9" w:rsidRDefault="00D708F0" w:rsidP="00D708F0">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Cs w:val="20"/>
              </w:rPr>
            </w:pPr>
            <w:r w:rsidRPr="003250F9">
              <w:rPr>
                <w:rFonts w:ascii="Arial Narrow" w:hAnsi="Arial Narrow" w:cstheme="minorHAnsi"/>
                <w:szCs w:val="20"/>
              </w:rPr>
              <w:t>0.43</w:t>
            </w:r>
          </w:p>
        </w:tc>
        <w:tc>
          <w:tcPr>
            <w:tcW w:w="1676" w:type="dxa"/>
            <w:noWrap/>
            <w:hideMark/>
          </w:tcPr>
          <w:p w14:paraId="38B6C530" w14:textId="77777777" w:rsidR="00D708F0" w:rsidRPr="003250F9" w:rsidRDefault="00D708F0" w:rsidP="00D708F0">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Cs w:val="20"/>
              </w:rPr>
            </w:pPr>
            <w:r w:rsidRPr="003250F9">
              <w:rPr>
                <w:rFonts w:ascii="Arial Narrow" w:hAnsi="Arial Narrow" w:cstheme="minorHAnsi"/>
                <w:szCs w:val="20"/>
              </w:rPr>
              <w:t>0.43</w:t>
            </w:r>
          </w:p>
        </w:tc>
      </w:tr>
      <w:tr w:rsidR="00D708F0" w:rsidRPr="003250F9" w14:paraId="7CB27C67" w14:textId="77777777" w:rsidTr="00D708F0">
        <w:trPr>
          <w:cnfStyle w:val="000000010000" w:firstRow="0" w:lastRow="0" w:firstColumn="0" w:lastColumn="0" w:oddVBand="0" w:evenVBand="0" w:oddHBand="0" w:evenHBand="1"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350" w:type="dxa"/>
            <w:noWrap/>
            <w:hideMark/>
          </w:tcPr>
          <w:p w14:paraId="58FC6F1E" w14:textId="77777777" w:rsidR="00D708F0" w:rsidRPr="003250F9" w:rsidRDefault="00D708F0" w:rsidP="00D708F0">
            <w:pPr>
              <w:rPr>
                <w:rFonts w:ascii="Arial Narrow" w:hAnsi="Arial Narrow" w:cstheme="minorHAnsi"/>
                <w:szCs w:val="20"/>
              </w:rPr>
            </w:pPr>
            <w:r w:rsidRPr="003250F9">
              <w:rPr>
                <w:rFonts w:ascii="Arial Narrow" w:hAnsi="Arial Narrow" w:cstheme="minorHAnsi"/>
                <w:szCs w:val="20"/>
              </w:rPr>
              <w:t>NOx</w:t>
            </w:r>
          </w:p>
        </w:tc>
        <w:tc>
          <w:tcPr>
            <w:tcW w:w="1564" w:type="dxa"/>
            <w:noWrap/>
            <w:hideMark/>
          </w:tcPr>
          <w:p w14:paraId="673FA837" w14:textId="77777777" w:rsidR="00D708F0" w:rsidRPr="003250F9" w:rsidRDefault="00D708F0" w:rsidP="00D708F0">
            <w:pPr>
              <w:jc w:val="right"/>
              <w:cnfStyle w:val="000000010000" w:firstRow="0" w:lastRow="0" w:firstColumn="0" w:lastColumn="0" w:oddVBand="0" w:evenVBand="0" w:oddHBand="0" w:evenHBand="1" w:firstRowFirstColumn="0" w:firstRowLastColumn="0" w:lastRowFirstColumn="0" w:lastRowLastColumn="0"/>
              <w:rPr>
                <w:rFonts w:ascii="Arial Narrow" w:hAnsi="Arial Narrow" w:cstheme="minorHAnsi"/>
                <w:szCs w:val="20"/>
              </w:rPr>
            </w:pPr>
            <w:r w:rsidRPr="003250F9">
              <w:rPr>
                <w:rFonts w:ascii="Arial Narrow" w:hAnsi="Arial Narrow" w:cstheme="minorHAnsi"/>
                <w:szCs w:val="20"/>
              </w:rPr>
              <w:t>100</w:t>
            </w:r>
          </w:p>
        </w:tc>
        <w:tc>
          <w:tcPr>
            <w:tcW w:w="1676" w:type="dxa"/>
            <w:noWrap/>
            <w:hideMark/>
          </w:tcPr>
          <w:p w14:paraId="1025296A" w14:textId="77777777" w:rsidR="00D708F0" w:rsidRPr="003250F9" w:rsidRDefault="00D708F0" w:rsidP="00D708F0">
            <w:pPr>
              <w:jc w:val="right"/>
              <w:cnfStyle w:val="000000010000" w:firstRow="0" w:lastRow="0" w:firstColumn="0" w:lastColumn="0" w:oddVBand="0" w:evenVBand="0" w:oddHBand="0" w:evenHBand="1" w:firstRowFirstColumn="0" w:firstRowLastColumn="0" w:lastRowFirstColumn="0" w:lastRowLastColumn="0"/>
              <w:rPr>
                <w:rFonts w:ascii="Arial Narrow" w:hAnsi="Arial Narrow" w:cstheme="minorHAnsi"/>
                <w:szCs w:val="20"/>
              </w:rPr>
            </w:pPr>
            <w:r w:rsidRPr="003250F9">
              <w:rPr>
                <w:rFonts w:ascii="Arial Narrow" w:hAnsi="Arial Narrow" w:cstheme="minorHAnsi"/>
                <w:szCs w:val="20"/>
              </w:rPr>
              <w:t>94</w:t>
            </w:r>
          </w:p>
        </w:tc>
      </w:tr>
      <w:tr w:rsidR="00D708F0" w:rsidRPr="003250F9" w14:paraId="273C8056" w14:textId="77777777" w:rsidTr="00D708F0">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350" w:type="dxa"/>
            <w:noWrap/>
            <w:hideMark/>
          </w:tcPr>
          <w:p w14:paraId="665B84C2" w14:textId="77777777" w:rsidR="00D708F0" w:rsidRPr="003250F9" w:rsidRDefault="00D708F0" w:rsidP="00D708F0">
            <w:pPr>
              <w:rPr>
                <w:rFonts w:ascii="Arial Narrow" w:hAnsi="Arial Narrow" w:cstheme="minorHAnsi"/>
                <w:szCs w:val="20"/>
              </w:rPr>
            </w:pPr>
            <w:r w:rsidRPr="003250F9">
              <w:rPr>
                <w:rFonts w:ascii="Arial Narrow" w:hAnsi="Arial Narrow" w:cstheme="minorHAnsi"/>
                <w:szCs w:val="20"/>
              </w:rPr>
              <w:t>SO2</w:t>
            </w:r>
          </w:p>
        </w:tc>
        <w:tc>
          <w:tcPr>
            <w:tcW w:w="1564" w:type="dxa"/>
            <w:noWrap/>
            <w:hideMark/>
          </w:tcPr>
          <w:p w14:paraId="600104BB" w14:textId="77777777" w:rsidR="00D708F0" w:rsidRPr="003250F9" w:rsidRDefault="00D708F0" w:rsidP="00D708F0">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Cs w:val="20"/>
              </w:rPr>
            </w:pPr>
            <w:r w:rsidRPr="003250F9">
              <w:rPr>
                <w:rFonts w:ascii="Arial Narrow" w:hAnsi="Arial Narrow" w:cstheme="minorHAnsi"/>
                <w:szCs w:val="20"/>
              </w:rPr>
              <w:t>0.6</w:t>
            </w:r>
          </w:p>
        </w:tc>
        <w:tc>
          <w:tcPr>
            <w:tcW w:w="1676" w:type="dxa"/>
            <w:noWrap/>
            <w:hideMark/>
          </w:tcPr>
          <w:p w14:paraId="221F563F" w14:textId="77777777" w:rsidR="00D708F0" w:rsidRPr="003250F9" w:rsidRDefault="00D708F0" w:rsidP="00D708F0">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Cs w:val="20"/>
              </w:rPr>
            </w:pPr>
            <w:r w:rsidRPr="003250F9">
              <w:rPr>
                <w:rFonts w:ascii="Arial Narrow" w:hAnsi="Arial Narrow" w:cstheme="minorHAnsi"/>
                <w:szCs w:val="20"/>
              </w:rPr>
              <w:t>0.6</w:t>
            </w:r>
          </w:p>
        </w:tc>
      </w:tr>
      <w:tr w:rsidR="00D708F0" w:rsidRPr="003250F9" w14:paraId="01A48B3A" w14:textId="77777777" w:rsidTr="00D708F0">
        <w:trPr>
          <w:cnfStyle w:val="000000010000" w:firstRow="0" w:lastRow="0" w:firstColumn="0" w:lastColumn="0" w:oddVBand="0" w:evenVBand="0" w:oddHBand="0" w:evenHBand="1"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350" w:type="dxa"/>
            <w:noWrap/>
            <w:hideMark/>
          </w:tcPr>
          <w:p w14:paraId="571427BA" w14:textId="77777777" w:rsidR="00D708F0" w:rsidRPr="003250F9" w:rsidRDefault="00D708F0" w:rsidP="00D708F0">
            <w:pPr>
              <w:rPr>
                <w:rFonts w:ascii="Arial Narrow" w:hAnsi="Arial Narrow" w:cstheme="minorHAnsi"/>
                <w:szCs w:val="20"/>
              </w:rPr>
            </w:pPr>
            <w:r w:rsidRPr="003250F9">
              <w:rPr>
                <w:rFonts w:ascii="Arial Narrow" w:hAnsi="Arial Narrow" w:cstheme="minorHAnsi"/>
                <w:szCs w:val="20"/>
              </w:rPr>
              <w:t>NH3</w:t>
            </w:r>
          </w:p>
        </w:tc>
        <w:tc>
          <w:tcPr>
            <w:tcW w:w="1564" w:type="dxa"/>
            <w:noWrap/>
            <w:hideMark/>
          </w:tcPr>
          <w:p w14:paraId="3B44E529" w14:textId="77777777" w:rsidR="00D708F0" w:rsidRPr="003250F9" w:rsidRDefault="00D708F0" w:rsidP="00D708F0">
            <w:pPr>
              <w:jc w:val="right"/>
              <w:cnfStyle w:val="000000010000" w:firstRow="0" w:lastRow="0" w:firstColumn="0" w:lastColumn="0" w:oddVBand="0" w:evenVBand="0" w:oddHBand="0" w:evenHBand="1" w:firstRowFirstColumn="0" w:firstRowLastColumn="0" w:lastRowFirstColumn="0" w:lastRowLastColumn="0"/>
              <w:rPr>
                <w:rFonts w:ascii="Arial Narrow" w:hAnsi="Arial Narrow" w:cstheme="minorHAnsi"/>
                <w:szCs w:val="20"/>
              </w:rPr>
            </w:pPr>
            <w:r w:rsidRPr="003250F9">
              <w:rPr>
                <w:rFonts w:ascii="Arial Narrow" w:hAnsi="Arial Narrow" w:cstheme="minorHAnsi"/>
                <w:szCs w:val="20"/>
              </w:rPr>
              <w:t>0.49</w:t>
            </w:r>
          </w:p>
        </w:tc>
        <w:tc>
          <w:tcPr>
            <w:tcW w:w="1676" w:type="dxa"/>
            <w:noWrap/>
            <w:hideMark/>
          </w:tcPr>
          <w:p w14:paraId="5D182086" w14:textId="77777777" w:rsidR="00D708F0" w:rsidRPr="003250F9" w:rsidRDefault="00D708F0" w:rsidP="00D708F0">
            <w:pPr>
              <w:jc w:val="right"/>
              <w:cnfStyle w:val="000000010000" w:firstRow="0" w:lastRow="0" w:firstColumn="0" w:lastColumn="0" w:oddVBand="0" w:evenVBand="0" w:oddHBand="0" w:evenHBand="1" w:firstRowFirstColumn="0" w:firstRowLastColumn="0" w:lastRowFirstColumn="0" w:lastRowLastColumn="0"/>
              <w:rPr>
                <w:rFonts w:ascii="Arial Narrow" w:hAnsi="Arial Narrow" w:cstheme="minorHAnsi"/>
                <w:szCs w:val="20"/>
              </w:rPr>
            </w:pPr>
            <w:r w:rsidRPr="003250F9">
              <w:rPr>
                <w:rFonts w:ascii="Arial Narrow" w:hAnsi="Arial Narrow" w:cstheme="minorHAnsi"/>
                <w:szCs w:val="20"/>
              </w:rPr>
              <w:t>20</w:t>
            </w:r>
          </w:p>
        </w:tc>
      </w:tr>
      <w:tr w:rsidR="00D708F0" w:rsidRPr="003250F9" w14:paraId="16386432" w14:textId="77777777" w:rsidTr="00D708F0">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350" w:type="dxa"/>
            <w:noWrap/>
            <w:hideMark/>
          </w:tcPr>
          <w:p w14:paraId="207DDBAE" w14:textId="77777777" w:rsidR="00D708F0" w:rsidRPr="003250F9" w:rsidRDefault="00D708F0" w:rsidP="00D708F0">
            <w:pPr>
              <w:rPr>
                <w:rFonts w:ascii="Arial Narrow" w:hAnsi="Arial Narrow" w:cstheme="minorHAnsi"/>
                <w:szCs w:val="20"/>
              </w:rPr>
            </w:pPr>
            <w:r w:rsidRPr="003250F9">
              <w:rPr>
                <w:rFonts w:ascii="Arial Narrow" w:hAnsi="Arial Narrow" w:cstheme="minorHAnsi"/>
                <w:szCs w:val="20"/>
              </w:rPr>
              <w:t>VOC</w:t>
            </w:r>
          </w:p>
        </w:tc>
        <w:tc>
          <w:tcPr>
            <w:tcW w:w="1564" w:type="dxa"/>
            <w:noWrap/>
            <w:hideMark/>
          </w:tcPr>
          <w:p w14:paraId="1761711D" w14:textId="77777777" w:rsidR="00D708F0" w:rsidRPr="003250F9" w:rsidRDefault="00D708F0" w:rsidP="00D708F0">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Cs w:val="20"/>
              </w:rPr>
            </w:pPr>
            <w:r w:rsidRPr="003250F9">
              <w:rPr>
                <w:rFonts w:ascii="Arial Narrow" w:hAnsi="Arial Narrow" w:cstheme="minorHAnsi"/>
                <w:szCs w:val="20"/>
              </w:rPr>
              <w:t>5.5</w:t>
            </w:r>
          </w:p>
        </w:tc>
        <w:tc>
          <w:tcPr>
            <w:tcW w:w="1676" w:type="dxa"/>
            <w:noWrap/>
            <w:hideMark/>
          </w:tcPr>
          <w:p w14:paraId="103D2EC8" w14:textId="77777777" w:rsidR="00D708F0" w:rsidRPr="003250F9" w:rsidRDefault="00D708F0" w:rsidP="00D708F0">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Cs w:val="20"/>
              </w:rPr>
            </w:pPr>
            <w:r w:rsidRPr="003250F9">
              <w:rPr>
                <w:rFonts w:ascii="Arial Narrow" w:hAnsi="Arial Narrow" w:cstheme="minorHAnsi"/>
                <w:szCs w:val="20"/>
              </w:rPr>
              <w:t>5.5</w:t>
            </w:r>
          </w:p>
        </w:tc>
      </w:tr>
    </w:tbl>
    <w:p w14:paraId="0C689078" w14:textId="77777777" w:rsidR="00D708F0" w:rsidRPr="00D8461E" w:rsidRDefault="00D708F0" w:rsidP="00D708F0">
      <w:pPr>
        <w:pStyle w:val="Caption"/>
        <w:ind w:left="2250"/>
        <w:rPr>
          <w:color w:val="auto"/>
          <w:sz w:val="16"/>
          <w:szCs w:val="16"/>
        </w:rPr>
      </w:pPr>
      <w:r w:rsidRPr="00D8461E">
        <w:rPr>
          <w:color w:val="auto"/>
          <w:sz w:val="16"/>
          <w:szCs w:val="16"/>
        </w:rPr>
        <w:t xml:space="preserve">Source: </w:t>
      </w:r>
      <w:r>
        <w:rPr>
          <w:color w:val="auto"/>
          <w:sz w:val="16"/>
          <w:szCs w:val="16"/>
        </w:rPr>
        <w:t xml:space="preserve">U.S. EPA reports </w:t>
      </w:r>
      <w:r w:rsidRPr="00D8461E">
        <w:rPr>
          <w:color w:val="auto"/>
          <w:sz w:val="16"/>
          <w:szCs w:val="16"/>
        </w:rPr>
        <w:t>AP-42</w:t>
      </w:r>
      <w:r>
        <w:rPr>
          <w:color w:val="auto"/>
          <w:sz w:val="16"/>
          <w:szCs w:val="16"/>
        </w:rPr>
        <w:t xml:space="preserve">, </w:t>
      </w:r>
      <w:r w:rsidRPr="00D8461E">
        <w:rPr>
          <w:color w:val="auto"/>
          <w:sz w:val="16"/>
          <w:szCs w:val="16"/>
        </w:rPr>
        <w:t>EIIP</w:t>
      </w:r>
      <w:r>
        <w:rPr>
          <w:color w:val="auto"/>
          <w:sz w:val="16"/>
          <w:szCs w:val="16"/>
        </w:rPr>
        <w:t>, and</w:t>
      </w:r>
      <w:r w:rsidRPr="00D8461E">
        <w:rPr>
          <w:color w:val="auto"/>
          <w:sz w:val="16"/>
          <w:szCs w:val="16"/>
        </w:rPr>
        <w:t xml:space="preserve"> NEI</w:t>
      </w:r>
      <w:r>
        <w:rPr>
          <w:color w:val="auto"/>
          <w:sz w:val="16"/>
          <w:szCs w:val="16"/>
        </w:rPr>
        <w:t>.</w:t>
      </w:r>
    </w:p>
    <w:p w14:paraId="076A0247" w14:textId="11687A22" w:rsidR="0052032C" w:rsidRDefault="00D708F0" w:rsidP="0052032C">
      <w:pPr>
        <w:rPr>
          <w:color w:val="auto"/>
          <w:sz w:val="20"/>
          <w:szCs w:val="20"/>
        </w:rPr>
      </w:pPr>
      <w:r w:rsidRPr="00473420">
        <w:rPr>
          <w:sz w:val="20"/>
          <w:szCs w:val="20"/>
        </w:rPr>
        <w:t>Using emissions factors</w:t>
      </w:r>
      <w:r>
        <w:rPr>
          <w:sz w:val="20"/>
          <w:szCs w:val="20"/>
        </w:rPr>
        <w:t xml:space="preserve"> illustrated above</w:t>
      </w:r>
      <w:r w:rsidRPr="00473420">
        <w:rPr>
          <w:sz w:val="20"/>
          <w:szCs w:val="20"/>
        </w:rPr>
        <w:t>,</w:t>
      </w:r>
      <w:r>
        <w:rPr>
          <w:sz w:val="20"/>
          <w:szCs w:val="20"/>
        </w:rPr>
        <w:t xml:space="preserve"> calculate the emissions reductions associated with verified savings across </w:t>
      </w:r>
      <w:r w:rsidR="0052032C">
        <w:rPr>
          <w:sz w:val="20"/>
          <w:szCs w:val="20"/>
        </w:rPr>
        <w:t xml:space="preserve">the </w:t>
      </w:r>
      <w:r>
        <w:rPr>
          <w:sz w:val="20"/>
          <w:szCs w:val="20"/>
        </w:rPr>
        <w:t xml:space="preserve">non-residential sector in </w:t>
      </w:r>
      <w:r w:rsidRPr="00304BF4">
        <w:rPr>
          <w:color w:val="auto"/>
          <w:sz w:val="20"/>
          <w:szCs w:val="20"/>
        </w:rPr>
        <w:t>2032</w:t>
      </w:r>
      <w:r w:rsidR="0052032C">
        <w:rPr>
          <w:color w:val="auto"/>
          <w:sz w:val="20"/>
          <w:szCs w:val="20"/>
        </w:rPr>
        <w:t>.</w:t>
      </w:r>
    </w:p>
    <w:p w14:paraId="6FC2B55F" w14:textId="77777777" w:rsidR="0052032C" w:rsidRPr="00304BF4" w:rsidRDefault="0052032C" w:rsidP="00304BF4">
      <w:pPr>
        <w:rPr>
          <w:rFonts w:eastAsiaTheme="minorHAnsi" w:cstheme="minorBidi"/>
          <w:b/>
          <w:bCs/>
          <w:color w:val="93D500" w:themeColor="accent1"/>
          <w:sz w:val="20"/>
          <w:szCs w:val="20"/>
        </w:rPr>
      </w:pPr>
    </w:p>
    <w:p w14:paraId="6704604D" w14:textId="05FB0F52" w:rsidR="00D708F0" w:rsidRPr="00D708F0" w:rsidRDefault="00D708F0" w:rsidP="00D708F0">
      <w:pPr>
        <w:spacing w:line="240" w:lineRule="auto"/>
        <w:rPr>
          <w:rFonts w:eastAsiaTheme="minorEastAsia"/>
          <w:b/>
          <w:bCs/>
          <w:sz w:val="20"/>
        </w:rPr>
      </w:pPr>
      <w:r w:rsidRPr="00D708F0">
        <w:rPr>
          <w:rFonts w:eastAsiaTheme="minorEastAsia"/>
          <w:b/>
          <w:bCs/>
          <w:sz w:val="20"/>
        </w:rPr>
        <w:t xml:space="preserve">Step </w:t>
      </w:r>
      <w:r w:rsidR="0052032C">
        <w:rPr>
          <w:rFonts w:eastAsiaTheme="minorEastAsia"/>
          <w:b/>
          <w:bCs/>
          <w:sz w:val="20"/>
        </w:rPr>
        <w:t>3</w:t>
      </w:r>
      <w:r w:rsidRPr="00D708F0">
        <w:rPr>
          <w:rFonts w:eastAsiaTheme="minorEastAsia"/>
          <w:b/>
          <w:bCs/>
          <w:sz w:val="20"/>
        </w:rPr>
        <w:t>: Execute COBRA model</w:t>
      </w:r>
    </w:p>
    <w:p w14:paraId="4F5F905B" w14:textId="5A4BC25A" w:rsidR="00D708F0" w:rsidRPr="00D708F0" w:rsidRDefault="00D708F0" w:rsidP="00D708F0">
      <w:pPr>
        <w:spacing w:line="240" w:lineRule="auto"/>
        <w:rPr>
          <w:rFonts w:eastAsiaTheme="minorEastAsia"/>
          <w:sz w:val="20"/>
        </w:rPr>
      </w:pPr>
      <w:r w:rsidRPr="00D708F0">
        <w:rPr>
          <w:rFonts w:eastAsiaTheme="minorEastAsia"/>
          <w:sz w:val="20"/>
        </w:rPr>
        <w:t xml:space="preserve">Following estimation of </w:t>
      </w:r>
      <w:r>
        <w:rPr>
          <w:rFonts w:eastAsiaTheme="minorEastAsia"/>
          <w:sz w:val="20"/>
        </w:rPr>
        <w:t xml:space="preserve">saved </w:t>
      </w:r>
      <w:r w:rsidRPr="00D708F0">
        <w:rPr>
          <w:rFonts w:eastAsiaTheme="minorEastAsia"/>
          <w:sz w:val="20"/>
        </w:rPr>
        <w:t xml:space="preserve">emissions estimates, COBRA estimation was conducted using adjusted county-level emissions reductions estimates. COBRA uses emissions reductions to estimate county-level changes in air quality, then estimates the resulting county-level health outcomes and economic costs. </w:t>
      </w:r>
      <w:r w:rsidRPr="00D708F0">
        <w:rPr>
          <w:sz w:val="20"/>
          <w:szCs w:val="20"/>
        </w:rPr>
        <w:t xml:space="preserve">The COBRA model has three sets of baseline years included in its current build – 2016, 2023 and 2028. Guidehouse conducted the COBRA analysis on an annual basis by inputting the estimated savings from what we expect will be </w:t>
      </w:r>
      <w:r w:rsidR="00363BBB">
        <w:rPr>
          <w:sz w:val="20"/>
          <w:szCs w:val="20"/>
        </w:rPr>
        <w:t>Peoples</w:t>
      </w:r>
      <w:r w:rsidR="007E7119">
        <w:rPr>
          <w:sz w:val="20"/>
          <w:szCs w:val="20"/>
        </w:rPr>
        <w:t xml:space="preserve"> Gas’s</w:t>
      </w:r>
      <w:r w:rsidR="002218B9">
        <w:rPr>
          <w:sz w:val="20"/>
          <w:szCs w:val="20"/>
        </w:rPr>
        <w:t xml:space="preserve"> </w:t>
      </w:r>
      <w:r w:rsidRPr="00D708F0">
        <w:rPr>
          <w:sz w:val="20"/>
          <w:szCs w:val="20"/>
        </w:rPr>
        <w:t>CY2022-2025 program measures for each year ranging from 2022 to 2049. During this process, Guidehouse carefully aligned the nearest COBRA baseline year to each portfolio year, as shown</w:t>
      </w:r>
      <w:r w:rsidRPr="00D708F0">
        <w:rPr>
          <w:color w:val="auto"/>
          <w:sz w:val="20"/>
          <w:szCs w:val="20"/>
        </w:rPr>
        <w:t xml:space="preserve"> in </w:t>
      </w:r>
      <w:r w:rsidR="0052032C" w:rsidRPr="000D61D6">
        <w:rPr>
          <w:color w:val="auto"/>
          <w:sz w:val="20"/>
          <w:szCs w:val="20"/>
        </w:rPr>
        <w:fldChar w:fldCharType="begin"/>
      </w:r>
      <w:r w:rsidR="0052032C" w:rsidRPr="0052032C">
        <w:rPr>
          <w:color w:val="auto"/>
          <w:sz w:val="20"/>
          <w:szCs w:val="20"/>
        </w:rPr>
        <w:instrText xml:space="preserve"> REF _Ref51942276 \h </w:instrText>
      </w:r>
      <w:r w:rsidR="0052032C" w:rsidRPr="00304BF4">
        <w:rPr>
          <w:color w:val="auto"/>
          <w:sz w:val="20"/>
          <w:szCs w:val="20"/>
        </w:rPr>
        <w:instrText xml:space="preserve"> \* MERGEFORMAT </w:instrText>
      </w:r>
      <w:r w:rsidR="0052032C" w:rsidRPr="000D61D6">
        <w:rPr>
          <w:color w:val="auto"/>
          <w:sz w:val="20"/>
          <w:szCs w:val="20"/>
        </w:rPr>
      </w:r>
      <w:r w:rsidR="0052032C" w:rsidRPr="000D61D6">
        <w:rPr>
          <w:color w:val="auto"/>
          <w:sz w:val="20"/>
          <w:szCs w:val="20"/>
        </w:rPr>
        <w:fldChar w:fldCharType="separate"/>
      </w:r>
      <w:r w:rsidR="00DD5440" w:rsidRPr="00304BF4">
        <w:rPr>
          <w:rFonts w:eastAsiaTheme="minorHAnsi" w:cstheme="minorBidi"/>
          <w:color w:val="auto"/>
          <w:sz w:val="20"/>
          <w:szCs w:val="20"/>
        </w:rPr>
        <w:t xml:space="preserve">Table </w:t>
      </w:r>
      <w:r w:rsidR="00DD5440" w:rsidRPr="00304BF4">
        <w:rPr>
          <w:rFonts w:eastAsiaTheme="minorHAnsi" w:cstheme="minorBidi"/>
          <w:noProof/>
          <w:color w:val="auto"/>
          <w:sz w:val="20"/>
          <w:szCs w:val="20"/>
        </w:rPr>
        <w:t>10</w:t>
      </w:r>
      <w:r w:rsidR="0052032C" w:rsidRPr="000D61D6">
        <w:rPr>
          <w:color w:val="auto"/>
          <w:sz w:val="20"/>
          <w:szCs w:val="20"/>
        </w:rPr>
        <w:fldChar w:fldCharType="end"/>
      </w:r>
      <w:r w:rsidR="0052032C">
        <w:rPr>
          <w:color w:val="auto"/>
          <w:sz w:val="20"/>
          <w:szCs w:val="20"/>
        </w:rPr>
        <w:t xml:space="preserve"> </w:t>
      </w:r>
      <w:r w:rsidRPr="00D708F0">
        <w:rPr>
          <w:color w:val="auto"/>
          <w:sz w:val="20"/>
          <w:szCs w:val="20"/>
        </w:rPr>
        <w:t>below</w:t>
      </w:r>
      <w:r w:rsidRPr="00D708F0">
        <w:rPr>
          <w:color w:val="auto"/>
          <w:sz w:val="20"/>
          <w:szCs w:val="20"/>
        </w:rPr>
        <w:fldChar w:fldCharType="begin"/>
      </w:r>
      <w:r w:rsidRPr="00D708F0">
        <w:rPr>
          <w:color w:val="auto"/>
          <w:sz w:val="20"/>
          <w:szCs w:val="20"/>
        </w:rPr>
        <w:instrText xml:space="preserve"> REF _Ref48827966 \h  \* MERGEFORMAT </w:instrText>
      </w:r>
      <w:r w:rsidRPr="00D708F0">
        <w:rPr>
          <w:color w:val="auto"/>
          <w:sz w:val="20"/>
          <w:szCs w:val="20"/>
        </w:rPr>
      </w:r>
      <w:r w:rsidRPr="00D708F0">
        <w:rPr>
          <w:color w:val="auto"/>
          <w:sz w:val="20"/>
          <w:szCs w:val="20"/>
        </w:rPr>
        <w:fldChar w:fldCharType="end"/>
      </w:r>
      <w:r w:rsidRPr="00D708F0">
        <w:rPr>
          <w:color w:val="auto"/>
          <w:sz w:val="20"/>
          <w:szCs w:val="20"/>
        </w:rPr>
        <w:t>.</w:t>
      </w:r>
    </w:p>
    <w:p w14:paraId="7D0653C2" w14:textId="77777777" w:rsidR="00D708F0" w:rsidRDefault="00D708F0" w:rsidP="00D708F0">
      <w:pPr>
        <w:rPr>
          <w:sz w:val="20"/>
          <w:szCs w:val="20"/>
        </w:rPr>
      </w:pPr>
    </w:p>
    <w:p w14:paraId="76C82C30" w14:textId="21DE9FBA" w:rsidR="00D708F0" w:rsidRPr="004B068E" w:rsidRDefault="00D708F0" w:rsidP="00D708F0">
      <w:pPr>
        <w:pStyle w:val="Caption"/>
        <w:keepNext/>
        <w:spacing w:after="120"/>
        <w:jc w:val="center"/>
        <w:rPr>
          <w:rFonts w:eastAsiaTheme="minorHAnsi" w:cstheme="minorBidi"/>
          <w:b/>
          <w:bCs/>
          <w:i w:val="0"/>
          <w:iCs w:val="0"/>
          <w:color w:val="93D500" w:themeColor="accent1"/>
          <w:sz w:val="20"/>
          <w:szCs w:val="20"/>
        </w:rPr>
      </w:pPr>
      <w:bookmarkStart w:id="21" w:name="_Ref51942276"/>
      <w:r w:rsidRPr="004B068E">
        <w:rPr>
          <w:rFonts w:eastAsiaTheme="minorHAnsi" w:cstheme="minorBidi"/>
          <w:b/>
          <w:bCs/>
          <w:i w:val="0"/>
          <w:iCs w:val="0"/>
          <w:color w:val="93D500" w:themeColor="accent1"/>
          <w:sz w:val="20"/>
          <w:szCs w:val="20"/>
        </w:rPr>
        <w:t xml:space="preserve">Table </w:t>
      </w:r>
      <w:r>
        <w:rPr>
          <w:rFonts w:eastAsiaTheme="minorHAnsi" w:cstheme="minorBidi"/>
          <w:b/>
          <w:bCs/>
          <w:i w:val="0"/>
          <w:iCs w:val="0"/>
          <w:color w:val="93D500" w:themeColor="accent1"/>
          <w:sz w:val="20"/>
          <w:szCs w:val="20"/>
        </w:rPr>
        <w:fldChar w:fldCharType="begin"/>
      </w:r>
      <w:r>
        <w:rPr>
          <w:rFonts w:eastAsiaTheme="minorHAnsi" w:cstheme="minorBidi"/>
          <w:b/>
          <w:bCs/>
          <w:i w:val="0"/>
          <w:iCs w:val="0"/>
          <w:color w:val="93D500" w:themeColor="accent1"/>
          <w:sz w:val="20"/>
          <w:szCs w:val="20"/>
        </w:rPr>
        <w:instrText xml:space="preserve"> SEQ Table \* ARABIC </w:instrText>
      </w:r>
      <w:r>
        <w:rPr>
          <w:rFonts w:eastAsiaTheme="minorHAnsi" w:cstheme="minorBidi"/>
          <w:b/>
          <w:bCs/>
          <w:i w:val="0"/>
          <w:iCs w:val="0"/>
          <w:color w:val="93D500" w:themeColor="accent1"/>
          <w:sz w:val="20"/>
          <w:szCs w:val="20"/>
        </w:rPr>
        <w:fldChar w:fldCharType="separate"/>
      </w:r>
      <w:r w:rsidR="00DD5440">
        <w:rPr>
          <w:rFonts w:eastAsiaTheme="minorHAnsi" w:cstheme="minorBidi"/>
          <w:b/>
          <w:bCs/>
          <w:i w:val="0"/>
          <w:iCs w:val="0"/>
          <w:noProof/>
          <w:color w:val="93D500" w:themeColor="accent1"/>
          <w:sz w:val="20"/>
          <w:szCs w:val="20"/>
        </w:rPr>
        <w:t>10</w:t>
      </w:r>
      <w:r>
        <w:rPr>
          <w:rFonts w:eastAsiaTheme="minorHAnsi" w:cstheme="minorBidi"/>
          <w:b/>
          <w:bCs/>
          <w:i w:val="0"/>
          <w:iCs w:val="0"/>
          <w:color w:val="93D500" w:themeColor="accent1"/>
          <w:sz w:val="20"/>
          <w:szCs w:val="20"/>
        </w:rPr>
        <w:fldChar w:fldCharType="end"/>
      </w:r>
      <w:bookmarkEnd w:id="21"/>
      <w:r w:rsidRPr="004B068E">
        <w:rPr>
          <w:rFonts w:eastAsiaTheme="minorHAnsi" w:cstheme="minorBidi"/>
          <w:b/>
          <w:bCs/>
          <w:i w:val="0"/>
          <w:iCs w:val="0"/>
          <w:color w:val="93D500" w:themeColor="accent1"/>
          <w:sz w:val="20"/>
          <w:szCs w:val="20"/>
        </w:rPr>
        <w:t xml:space="preserve">. </w:t>
      </w:r>
      <w:r>
        <w:rPr>
          <w:rFonts w:eastAsiaTheme="minorHAnsi" w:cstheme="minorBidi"/>
          <w:b/>
          <w:bCs/>
          <w:i w:val="0"/>
          <w:iCs w:val="0"/>
          <w:color w:val="93D500" w:themeColor="accent1"/>
          <w:sz w:val="20"/>
          <w:szCs w:val="20"/>
        </w:rPr>
        <w:t>COBRA Baseline and Portfolio Years</w:t>
      </w:r>
    </w:p>
    <w:tbl>
      <w:tblPr>
        <w:tblStyle w:val="EnergyTable"/>
        <w:tblW w:w="3474" w:type="dxa"/>
        <w:tblLook w:val="04A0" w:firstRow="1" w:lastRow="0" w:firstColumn="1" w:lastColumn="0" w:noHBand="0" w:noVBand="1"/>
      </w:tblPr>
      <w:tblGrid>
        <w:gridCol w:w="1917"/>
        <w:gridCol w:w="1557"/>
      </w:tblGrid>
      <w:tr w:rsidR="00D708F0" w:rsidRPr="003250F9" w14:paraId="64313156" w14:textId="77777777" w:rsidTr="00D708F0">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917" w:type="dxa"/>
          </w:tcPr>
          <w:p w14:paraId="7854313C" w14:textId="77777777" w:rsidR="00D708F0" w:rsidRDefault="00D708F0" w:rsidP="00D708F0">
            <w:pPr>
              <w:rPr>
                <w:rFonts w:ascii="Arial Narrow" w:hAnsi="Arial Narrow" w:cstheme="minorHAnsi"/>
                <w:color w:val="FFFFFF" w:themeColor="background2"/>
                <w:szCs w:val="20"/>
              </w:rPr>
            </w:pPr>
            <w:r>
              <w:rPr>
                <w:rFonts w:ascii="Arial Narrow" w:hAnsi="Arial Narrow" w:cstheme="minorHAnsi"/>
                <w:color w:val="FFFFFF" w:themeColor="background2"/>
                <w:szCs w:val="20"/>
              </w:rPr>
              <w:t>COBRA Baseline Used</w:t>
            </w:r>
          </w:p>
        </w:tc>
        <w:tc>
          <w:tcPr>
            <w:tcW w:w="1557" w:type="dxa"/>
            <w:noWrap/>
            <w:hideMark/>
          </w:tcPr>
          <w:p w14:paraId="50F1B81E" w14:textId="77777777" w:rsidR="00D708F0" w:rsidRPr="003250F9" w:rsidRDefault="00D708F0" w:rsidP="00D708F0">
            <w:pPr>
              <w:cnfStyle w:val="100000000000" w:firstRow="1" w:lastRow="0" w:firstColumn="0" w:lastColumn="0" w:oddVBand="0" w:evenVBand="0" w:oddHBand="0" w:evenHBand="0" w:firstRowFirstColumn="0" w:firstRowLastColumn="0" w:lastRowFirstColumn="0" w:lastRowLastColumn="0"/>
              <w:rPr>
                <w:rFonts w:ascii="Arial Narrow" w:hAnsi="Arial Narrow" w:cstheme="minorHAnsi"/>
                <w:color w:val="FFFFFF" w:themeColor="background2"/>
                <w:szCs w:val="20"/>
              </w:rPr>
            </w:pPr>
            <w:r>
              <w:rPr>
                <w:rFonts w:ascii="Arial Narrow" w:hAnsi="Arial Narrow" w:cstheme="minorHAnsi"/>
                <w:color w:val="FFFFFF" w:themeColor="background2"/>
                <w:szCs w:val="20"/>
              </w:rPr>
              <w:t xml:space="preserve">Portfolio Years </w:t>
            </w:r>
          </w:p>
        </w:tc>
      </w:tr>
      <w:tr w:rsidR="00D708F0" w:rsidRPr="003250F9" w14:paraId="5B6058EA" w14:textId="77777777" w:rsidTr="00D708F0">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917" w:type="dxa"/>
          </w:tcPr>
          <w:p w14:paraId="4E3E934C" w14:textId="77777777" w:rsidR="00D708F0" w:rsidRDefault="00D708F0" w:rsidP="00D708F0">
            <w:pPr>
              <w:rPr>
                <w:rFonts w:ascii="Arial Narrow" w:hAnsi="Arial Narrow" w:cstheme="minorHAnsi"/>
                <w:szCs w:val="20"/>
              </w:rPr>
            </w:pPr>
            <w:r>
              <w:rPr>
                <w:rFonts w:ascii="Arial Narrow" w:hAnsi="Arial Narrow" w:cstheme="minorHAnsi"/>
                <w:szCs w:val="20"/>
              </w:rPr>
              <w:t>2016</w:t>
            </w:r>
          </w:p>
        </w:tc>
        <w:tc>
          <w:tcPr>
            <w:tcW w:w="1557" w:type="dxa"/>
            <w:noWrap/>
            <w:hideMark/>
          </w:tcPr>
          <w:p w14:paraId="51A5A965" w14:textId="77777777" w:rsidR="00D708F0" w:rsidRPr="003250F9" w:rsidRDefault="00D708F0" w:rsidP="00D708F0">
            <w:pP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Cs w:val="20"/>
              </w:rPr>
            </w:pPr>
            <w:r>
              <w:rPr>
                <w:rFonts w:ascii="Arial Narrow" w:hAnsi="Arial Narrow" w:cstheme="minorHAnsi"/>
                <w:szCs w:val="20"/>
              </w:rPr>
              <w:t>2022</w:t>
            </w:r>
          </w:p>
        </w:tc>
      </w:tr>
      <w:tr w:rsidR="00D708F0" w:rsidRPr="003250F9" w14:paraId="33115BF0" w14:textId="77777777" w:rsidTr="00D708F0">
        <w:trPr>
          <w:cnfStyle w:val="000000010000" w:firstRow="0" w:lastRow="0" w:firstColumn="0" w:lastColumn="0" w:oddVBand="0" w:evenVBand="0" w:oddHBand="0" w:evenHBand="1"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917" w:type="dxa"/>
          </w:tcPr>
          <w:p w14:paraId="1A3FDEF4" w14:textId="77777777" w:rsidR="00D708F0" w:rsidRDefault="00D708F0" w:rsidP="00D708F0">
            <w:pPr>
              <w:rPr>
                <w:rFonts w:ascii="Arial Narrow" w:hAnsi="Arial Narrow" w:cstheme="minorHAnsi"/>
                <w:szCs w:val="20"/>
              </w:rPr>
            </w:pPr>
            <w:r>
              <w:rPr>
                <w:rFonts w:ascii="Arial Narrow" w:hAnsi="Arial Narrow" w:cstheme="minorHAnsi"/>
                <w:szCs w:val="20"/>
              </w:rPr>
              <w:t>2023</w:t>
            </w:r>
          </w:p>
        </w:tc>
        <w:tc>
          <w:tcPr>
            <w:tcW w:w="1557" w:type="dxa"/>
            <w:noWrap/>
            <w:hideMark/>
          </w:tcPr>
          <w:p w14:paraId="1F58F73B" w14:textId="77777777" w:rsidR="00D708F0" w:rsidRPr="003250F9" w:rsidRDefault="00D708F0" w:rsidP="00D708F0">
            <w:pPr>
              <w:cnfStyle w:val="000000010000" w:firstRow="0" w:lastRow="0" w:firstColumn="0" w:lastColumn="0" w:oddVBand="0" w:evenVBand="0" w:oddHBand="0" w:evenHBand="1" w:firstRowFirstColumn="0" w:firstRowLastColumn="0" w:lastRowFirstColumn="0" w:lastRowLastColumn="0"/>
              <w:rPr>
                <w:rFonts w:ascii="Arial Narrow" w:hAnsi="Arial Narrow" w:cstheme="minorHAnsi"/>
                <w:szCs w:val="20"/>
              </w:rPr>
            </w:pPr>
            <w:r>
              <w:rPr>
                <w:rFonts w:ascii="Arial Narrow" w:hAnsi="Arial Narrow" w:cstheme="minorHAnsi"/>
                <w:szCs w:val="20"/>
              </w:rPr>
              <w:t>2023-2027</w:t>
            </w:r>
          </w:p>
        </w:tc>
      </w:tr>
      <w:tr w:rsidR="00D708F0" w:rsidRPr="003250F9" w14:paraId="28D0BCC4" w14:textId="77777777" w:rsidTr="00D708F0">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917" w:type="dxa"/>
          </w:tcPr>
          <w:p w14:paraId="3C00E74C" w14:textId="77777777" w:rsidR="00D708F0" w:rsidRDefault="00D708F0" w:rsidP="00D708F0">
            <w:pPr>
              <w:rPr>
                <w:rFonts w:ascii="Arial Narrow" w:hAnsi="Arial Narrow" w:cstheme="minorHAnsi"/>
                <w:szCs w:val="20"/>
              </w:rPr>
            </w:pPr>
            <w:r>
              <w:rPr>
                <w:rFonts w:ascii="Arial Narrow" w:hAnsi="Arial Narrow" w:cstheme="minorHAnsi"/>
                <w:szCs w:val="20"/>
              </w:rPr>
              <w:t>2028</w:t>
            </w:r>
          </w:p>
        </w:tc>
        <w:tc>
          <w:tcPr>
            <w:tcW w:w="1557" w:type="dxa"/>
            <w:noWrap/>
            <w:hideMark/>
          </w:tcPr>
          <w:p w14:paraId="09B611AD" w14:textId="77777777" w:rsidR="00D708F0" w:rsidRPr="003250F9" w:rsidRDefault="00D708F0" w:rsidP="00D708F0">
            <w:pPr>
              <w:keepNex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Cs w:val="20"/>
              </w:rPr>
            </w:pPr>
            <w:r>
              <w:rPr>
                <w:rFonts w:ascii="Arial Narrow" w:hAnsi="Arial Narrow" w:cstheme="minorHAnsi"/>
                <w:szCs w:val="20"/>
              </w:rPr>
              <w:t>2028-2049</w:t>
            </w:r>
          </w:p>
        </w:tc>
      </w:tr>
    </w:tbl>
    <w:p w14:paraId="6AE67767" w14:textId="77777777" w:rsidR="00D708F0" w:rsidRDefault="00D708F0" w:rsidP="00D708F0">
      <w:pPr>
        <w:pStyle w:val="Caption"/>
        <w:ind w:left="2880"/>
        <w:rPr>
          <w:rFonts w:eastAsia="Arial"/>
        </w:rPr>
      </w:pPr>
      <w:r w:rsidRPr="00D8461E">
        <w:rPr>
          <w:color w:val="auto"/>
          <w:sz w:val="16"/>
          <w:szCs w:val="16"/>
        </w:rPr>
        <w:t>Source: Guidehouse</w:t>
      </w:r>
      <w:r>
        <w:rPr>
          <w:color w:val="auto"/>
          <w:sz w:val="16"/>
          <w:szCs w:val="16"/>
        </w:rPr>
        <w:t>.</w:t>
      </w:r>
    </w:p>
    <w:p w14:paraId="267FA035" w14:textId="276BE07F" w:rsidR="00D708F0" w:rsidRDefault="00D708F0" w:rsidP="00D708F0">
      <w:pPr>
        <w:rPr>
          <w:rFonts w:eastAsia="Arial"/>
          <w:sz w:val="20"/>
          <w:szCs w:val="20"/>
        </w:rPr>
      </w:pPr>
      <w:r w:rsidRPr="00C404B6">
        <w:rPr>
          <w:sz w:val="20"/>
          <w:szCs w:val="20"/>
        </w:rPr>
        <w:t xml:space="preserve">The COBRA </w:t>
      </w:r>
      <w:r>
        <w:rPr>
          <w:sz w:val="20"/>
          <w:szCs w:val="20"/>
        </w:rPr>
        <w:t>model</w:t>
      </w:r>
      <w:r w:rsidRPr="00C404B6">
        <w:rPr>
          <w:sz w:val="20"/>
          <w:szCs w:val="20"/>
        </w:rPr>
        <w:t xml:space="preserve"> </w:t>
      </w:r>
      <w:r>
        <w:rPr>
          <w:sz w:val="20"/>
          <w:szCs w:val="20"/>
        </w:rPr>
        <w:t>also allows the user</w:t>
      </w:r>
      <w:r w:rsidRPr="00C404B6">
        <w:rPr>
          <w:sz w:val="20"/>
          <w:szCs w:val="20"/>
        </w:rPr>
        <w:t xml:space="preserve"> to choose </w:t>
      </w:r>
      <w:r>
        <w:rPr>
          <w:sz w:val="20"/>
          <w:szCs w:val="20"/>
        </w:rPr>
        <w:t xml:space="preserve">the location of </w:t>
      </w:r>
      <w:r w:rsidRPr="00C404B6">
        <w:rPr>
          <w:sz w:val="20"/>
          <w:szCs w:val="20"/>
        </w:rPr>
        <w:t>emission</w:t>
      </w:r>
      <w:r>
        <w:rPr>
          <w:sz w:val="20"/>
          <w:szCs w:val="20"/>
        </w:rPr>
        <w:t xml:space="preserve">s </w:t>
      </w:r>
      <w:r w:rsidRPr="00C404B6">
        <w:rPr>
          <w:sz w:val="20"/>
          <w:szCs w:val="20"/>
        </w:rPr>
        <w:t xml:space="preserve">and </w:t>
      </w:r>
      <w:r>
        <w:rPr>
          <w:sz w:val="20"/>
          <w:szCs w:val="20"/>
        </w:rPr>
        <w:t>energy mix</w:t>
      </w:r>
      <w:r w:rsidRPr="00C404B6">
        <w:rPr>
          <w:sz w:val="20"/>
          <w:szCs w:val="20"/>
        </w:rPr>
        <w:t xml:space="preserve">. Guidehouse </w:t>
      </w:r>
      <w:r>
        <w:rPr>
          <w:sz w:val="20"/>
          <w:szCs w:val="20"/>
        </w:rPr>
        <w:t>selected</w:t>
      </w:r>
      <w:r w:rsidRPr="00C404B6">
        <w:rPr>
          <w:sz w:val="20"/>
          <w:szCs w:val="20"/>
        </w:rPr>
        <w:t xml:space="preserve"> </w:t>
      </w:r>
      <w:r>
        <w:rPr>
          <w:sz w:val="20"/>
          <w:szCs w:val="20"/>
        </w:rPr>
        <w:t xml:space="preserve">the </w:t>
      </w:r>
      <w:r w:rsidR="00363BBB">
        <w:rPr>
          <w:sz w:val="20"/>
          <w:szCs w:val="20"/>
        </w:rPr>
        <w:t>Peoples</w:t>
      </w:r>
      <w:r>
        <w:rPr>
          <w:sz w:val="20"/>
          <w:szCs w:val="20"/>
        </w:rPr>
        <w:t xml:space="preserve"> Gas territory’s count</w:t>
      </w:r>
      <w:r w:rsidR="00855A0C">
        <w:rPr>
          <w:sz w:val="20"/>
          <w:szCs w:val="20"/>
        </w:rPr>
        <w:t>y</w:t>
      </w:r>
      <w:r w:rsidRPr="00C404B6">
        <w:rPr>
          <w:sz w:val="20"/>
          <w:szCs w:val="20"/>
        </w:rPr>
        <w:t xml:space="preserve"> for the emissions location</w:t>
      </w:r>
      <w:r>
        <w:rPr>
          <w:sz w:val="20"/>
          <w:szCs w:val="20"/>
        </w:rPr>
        <w:t xml:space="preserve"> and selected residential and </w:t>
      </w:r>
      <w:r w:rsidR="00CD527A">
        <w:rPr>
          <w:sz w:val="20"/>
          <w:szCs w:val="20"/>
        </w:rPr>
        <w:t>non-residential</w:t>
      </w:r>
      <w:r>
        <w:rPr>
          <w:sz w:val="20"/>
          <w:szCs w:val="20"/>
        </w:rPr>
        <w:t xml:space="preserve"> natural gas emissions tiers</w:t>
      </w:r>
      <w:r w:rsidRPr="00C404B6">
        <w:rPr>
          <w:sz w:val="20"/>
          <w:szCs w:val="20"/>
        </w:rPr>
        <w:t>.</w:t>
      </w:r>
      <w:r>
        <w:rPr>
          <w:rFonts w:eastAsia="Arial"/>
          <w:sz w:val="20"/>
          <w:szCs w:val="20"/>
        </w:rPr>
        <w:t xml:space="preserve"> As natural gas emissions are created on a local scale relative to electricity, the distinction between residential and </w:t>
      </w:r>
      <w:r w:rsidR="00CD527A">
        <w:rPr>
          <w:rFonts w:eastAsia="Arial"/>
          <w:sz w:val="20"/>
          <w:szCs w:val="20"/>
        </w:rPr>
        <w:t>non-residential</w:t>
      </w:r>
      <w:r>
        <w:rPr>
          <w:rFonts w:eastAsia="Arial"/>
          <w:sz w:val="20"/>
          <w:szCs w:val="20"/>
        </w:rPr>
        <w:t xml:space="preserve"> emissions is essential. Guidehouse evaluated the benefits resulting from these portfolio sectors separately and applied the discounted benefits per therm values annually to each program encompassed in the sectors in CY2019. </w:t>
      </w:r>
    </w:p>
    <w:p w14:paraId="0931D96A" w14:textId="77777777" w:rsidR="00D708F0" w:rsidRDefault="00D708F0" w:rsidP="00D708F0">
      <w:pPr>
        <w:rPr>
          <w:rFonts w:eastAsia="Arial"/>
          <w:sz w:val="20"/>
          <w:szCs w:val="20"/>
        </w:rPr>
      </w:pPr>
    </w:p>
    <w:p w14:paraId="43EAC2B5" w14:textId="51C53BE2" w:rsidR="0052032C" w:rsidRPr="0052032C" w:rsidRDefault="0052032C" w:rsidP="0052032C">
      <w:pPr>
        <w:rPr>
          <w:rFonts w:eastAsia="Arial"/>
          <w:sz w:val="20"/>
          <w:szCs w:val="20"/>
        </w:rPr>
      </w:pPr>
      <w:r w:rsidRPr="0052032C">
        <w:rPr>
          <w:rFonts w:eastAsia="Arial"/>
          <w:sz w:val="20"/>
          <w:szCs w:val="20"/>
        </w:rPr>
        <w:t>The EPA provided Guidehouse a custom valuation file using a 2.40 percent discount rate, as will be deemed by the Illinois Technical Reference Manual (IL TRM) beginning in v9.0</w:t>
      </w:r>
      <w:r w:rsidRPr="0052032C">
        <w:rPr>
          <w:rFonts w:eastAsia="Arial"/>
          <w:sz w:val="20"/>
          <w:szCs w:val="20"/>
          <w:vertAlign w:val="superscript"/>
        </w:rPr>
        <w:footnoteReference w:id="19"/>
      </w:r>
      <w:r w:rsidRPr="0052032C">
        <w:rPr>
          <w:rFonts w:eastAsia="Arial"/>
          <w:sz w:val="20"/>
          <w:szCs w:val="20"/>
        </w:rPr>
        <w:t xml:space="preserve">. COBRA currently estimates the low- and high-sensitivity health impacts of reduced pollution exposure over a 20 year period, as reduced exposure to emissions in one year reduces acute morbidity in the year of analysis </w:t>
      </w:r>
      <w:r w:rsidRPr="0052032C">
        <w:rPr>
          <w:rFonts w:eastAsia="Arial"/>
          <w:sz w:val="20"/>
          <w:szCs w:val="20"/>
        </w:rPr>
        <w:lastRenderedPageBreak/>
        <w:t>and reduces the incidence of premature mortality for up to 20 years.</w:t>
      </w:r>
      <w:r w:rsidRPr="0052032C">
        <w:rPr>
          <w:rFonts w:eastAsia="Arial"/>
          <w:sz w:val="20"/>
          <w:szCs w:val="20"/>
          <w:vertAlign w:val="superscript"/>
        </w:rPr>
        <w:footnoteReference w:id="20"/>
      </w:r>
      <w:r w:rsidRPr="0052032C">
        <w:rPr>
          <w:rFonts w:eastAsia="Arial"/>
          <w:sz w:val="20"/>
          <w:szCs w:val="20"/>
        </w:rPr>
        <w:t xml:space="preserve"> COBRA then discounts this stream of health benefits back to the year in which </w:t>
      </w:r>
      <w:r>
        <w:rPr>
          <w:rFonts w:eastAsia="Arial"/>
          <w:sz w:val="20"/>
          <w:szCs w:val="20"/>
        </w:rPr>
        <w:t>savings</w:t>
      </w:r>
      <w:r w:rsidRPr="0052032C">
        <w:rPr>
          <w:rFonts w:eastAsia="Arial"/>
          <w:sz w:val="20"/>
          <w:szCs w:val="20"/>
        </w:rPr>
        <w:t xml:space="preserve"> are realized, which in this example is 2032.</w:t>
      </w:r>
      <w:r w:rsidRPr="0052032C">
        <w:rPr>
          <w:rFonts w:eastAsia="Arial"/>
          <w:sz w:val="20"/>
          <w:szCs w:val="20"/>
          <w:vertAlign w:val="superscript"/>
        </w:rPr>
        <w:footnoteReference w:id="21"/>
      </w:r>
      <w:r w:rsidRPr="0052032C">
        <w:rPr>
          <w:rFonts w:eastAsia="Arial"/>
          <w:sz w:val="20"/>
          <w:szCs w:val="20"/>
        </w:rPr>
        <w:t xml:space="preserve"> Guidehouse applied the custom valuation file with a 2.40 percent discount rate to evaluate the low- and high-sensitivity economic benefits resulting from emissions reductions attributed to 2032 </w:t>
      </w:r>
      <w:r w:rsidR="006725C6">
        <w:rPr>
          <w:rFonts w:eastAsia="Arial"/>
          <w:sz w:val="20"/>
          <w:szCs w:val="20"/>
        </w:rPr>
        <w:t>s</w:t>
      </w:r>
      <w:r>
        <w:rPr>
          <w:rFonts w:eastAsia="Arial"/>
          <w:sz w:val="20"/>
          <w:szCs w:val="20"/>
        </w:rPr>
        <w:t>avings</w:t>
      </w:r>
      <w:r w:rsidRPr="0052032C">
        <w:rPr>
          <w:rFonts w:eastAsia="Arial"/>
          <w:sz w:val="20"/>
          <w:szCs w:val="20"/>
        </w:rPr>
        <w:t xml:space="preserve">. The mean of national low- and high-sensitivity estimates was used as the health benefit estimate for 2032. </w:t>
      </w:r>
    </w:p>
    <w:p w14:paraId="2A1D248E" w14:textId="3BA6FB24" w:rsidR="00D708F0" w:rsidRDefault="00D708F0" w:rsidP="003D65A0">
      <w:pPr>
        <w:rPr>
          <w:rFonts w:eastAsiaTheme="minorHAnsi" w:cstheme="minorBidi"/>
          <w:color w:val="auto"/>
          <w:sz w:val="20"/>
          <w:szCs w:val="22"/>
        </w:rPr>
      </w:pPr>
    </w:p>
    <w:p w14:paraId="224DBE11" w14:textId="41981760" w:rsidR="0052032C" w:rsidRPr="00304BF4" w:rsidRDefault="0052032C" w:rsidP="0052032C">
      <w:pPr>
        <w:rPr>
          <w:rFonts w:eastAsiaTheme="minorEastAsia"/>
          <w:b/>
          <w:bCs/>
          <w:sz w:val="20"/>
          <w:szCs w:val="20"/>
        </w:rPr>
      </w:pPr>
      <w:r w:rsidRPr="00304BF4">
        <w:rPr>
          <w:rFonts w:eastAsiaTheme="minorEastAsia"/>
          <w:b/>
          <w:bCs/>
          <w:sz w:val="20"/>
          <w:szCs w:val="20"/>
        </w:rPr>
        <w:t xml:space="preserve">Step </w:t>
      </w:r>
      <w:r w:rsidR="002218B9">
        <w:rPr>
          <w:rFonts w:eastAsiaTheme="minorEastAsia"/>
          <w:b/>
          <w:bCs/>
          <w:sz w:val="20"/>
          <w:szCs w:val="20"/>
        </w:rPr>
        <w:t>4</w:t>
      </w:r>
      <w:r w:rsidRPr="00304BF4">
        <w:rPr>
          <w:rFonts w:eastAsiaTheme="minorEastAsia"/>
          <w:b/>
          <w:bCs/>
          <w:sz w:val="20"/>
          <w:szCs w:val="20"/>
        </w:rPr>
        <w:t>: Discount results to CY2022</w:t>
      </w:r>
    </w:p>
    <w:p w14:paraId="1B814534" w14:textId="4CE31932" w:rsidR="0052032C" w:rsidRPr="00304BF4" w:rsidRDefault="0052032C" w:rsidP="0052032C">
      <w:pPr>
        <w:rPr>
          <w:rFonts w:eastAsiaTheme="minorEastAsia"/>
          <w:sz w:val="20"/>
          <w:szCs w:val="20"/>
        </w:rPr>
      </w:pPr>
      <w:r w:rsidRPr="00304BF4">
        <w:rPr>
          <w:rFonts w:eastAsiaTheme="minorEastAsia"/>
          <w:sz w:val="20"/>
          <w:szCs w:val="20"/>
        </w:rPr>
        <w:t xml:space="preserve">Under the annual analysis methodology employed in steps two </w:t>
      </w:r>
      <w:r>
        <w:rPr>
          <w:rFonts w:eastAsiaTheme="minorEastAsia"/>
          <w:sz w:val="20"/>
          <w:szCs w:val="20"/>
        </w:rPr>
        <w:t>and</w:t>
      </w:r>
      <w:r w:rsidRPr="00304BF4">
        <w:rPr>
          <w:rFonts w:eastAsiaTheme="minorEastAsia"/>
          <w:sz w:val="20"/>
          <w:szCs w:val="20"/>
        </w:rPr>
        <w:t xml:space="preserve"> </w:t>
      </w:r>
      <w:r>
        <w:rPr>
          <w:rFonts w:eastAsiaTheme="minorEastAsia"/>
          <w:sz w:val="20"/>
          <w:szCs w:val="20"/>
        </w:rPr>
        <w:t>three</w:t>
      </w:r>
      <w:r w:rsidRPr="00304BF4">
        <w:rPr>
          <w:rFonts w:eastAsiaTheme="minorEastAsia"/>
          <w:sz w:val="20"/>
          <w:szCs w:val="20"/>
        </w:rPr>
        <w:t xml:space="preserve">, health benefits estimates are expressed in terms of dollars in the analysis year of interest. In the case of 2022 implementation of CY2019 programs, Societal NEIs are being used to inform TRC tests of the 2022 implementation of programs, which use cost and benefit inputs expressed in terms of 2022 dollars. To remain consistent with other inputs to TRC tests, Guidehouse discounted each year’s county-level COBRA results back to 2022 using a </w:t>
      </w:r>
      <w:r w:rsidR="003921E2">
        <w:rPr>
          <w:rFonts w:eastAsiaTheme="minorEastAsia"/>
          <w:sz w:val="20"/>
          <w:szCs w:val="20"/>
        </w:rPr>
        <w:t>0.42</w:t>
      </w:r>
      <w:r w:rsidRPr="00304BF4">
        <w:rPr>
          <w:rFonts w:eastAsiaTheme="minorEastAsia"/>
          <w:sz w:val="20"/>
          <w:szCs w:val="20"/>
        </w:rPr>
        <w:t xml:space="preserve"> percent discount rate.</w:t>
      </w:r>
      <w:r w:rsidR="00702B8A">
        <w:rPr>
          <w:rFonts w:eastAsiaTheme="minorEastAsia"/>
          <w:sz w:val="20"/>
          <w:szCs w:val="20"/>
        </w:rPr>
        <w:t xml:space="preserve"> </w:t>
      </w:r>
    </w:p>
    <w:p w14:paraId="4948AA1E" w14:textId="77777777" w:rsidR="0052032C" w:rsidRPr="00304BF4" w:rsidRDefault="0052032C" w:rsidP="0052032C">
      <w:pPr>
        <w:rPr>
          <w:rFonts w:eastAsiaTheme="minorEastAsia"/>
          <w:sz w:val="20"/>
          <w:szCs w:val="20"/>
        </w:rPr>
      </w:pPr>
    </w:p>
    <w:p w14:paraId="03B30CA8" w14:textId="02C593F9" w:rsidR="0052032C" w:rsidRPr="00304BF4" w:rsidRDefault="0052032C" w:rsidP="0052032C">
      <w:pPr>
        <w:rPr>
          <w:rFonts w:eastAsiaTheme="minorEastAsia"/>
          <w:b/>
          <w:bCs/>
          <w:sz w:val="20"/>
          <w:szCs w:val="20"/>
        </w:rPr>
      </w:pPr>
      <w:r w:rsidRPr="00304BF4">
        <w:rPr>
          <w:rFonts w:eastAsiaTheme="minorEastAsia"/>
          <w:b/>
          <w:bCs/>
          <w:sz w:val="20"/>
          <w:szCs w:val="20"/>
        </w:rPr>
        <w:t xml:space="preserve">Step </w:t>
      </w:r>
      <w:r w:rsidR="002218B9">
        <w:rPr>
          <w:rFonts w:eastAsiaTheme="minorEastAsia"/>
          <w:b/>
          <w:bCs/>
          <w:sz w:val="20"/>
          <w:szCs w:val="20"/>
        </w:rPr>
        <w:t>5</w:t>
      </w:r>
      <w:r w:rsidRPr="00304BF4">
        <w:rPr>
          <w:rFonts w:eastAsiaTheme="minorEastAsia"/>
          <w:b/>
          <w:bCs/>
          <w:sz w:val="20"/>
          <w:szCs w:val="20"/>
        </w:rPr>
        <w:t xml:space="preserve">: Divide by analysis year </w:t>
      </w:r>
      <w:r w:rsidR="00517D6E">
        <w:rPr>
          <w:rFonts w:eastAsiaTheme="minorEastAsia"/>
          <w:b/>
          <w:bCs/>
          <w:sz w:val="20"/>
          <w:szCs w:val="20"/>
        </w:rPr>
        <w:t>sector</w:t>
      </w:r>
      <w:r w:rsidRPr="00304BF4">
        <w:rPr>
          <w:rFonts w:eastAsiaTheme="minorEastAsia"/>
          <w:b/>
          <w:bCs/>
          <w:sz w:val="20"/>
          <w:szCs w:val="20"/>
        </w:rPr>
        <w:t xml:space="preserve">-wide </w:t>
      </w:r>
      <w:r w:rsidR="00517D6E">
        <w:rPr>
          <w:rFonts w:eastAsiaTheme="minorEastAsia"/>
          <w:b/>
          <w:bCs/>
          <w:sz w:val="20"/>
          <w:szCs w:val="20"/>
        </w:rPr>
        <w:t>savings</w:t>
      </w:r>
    </w:p>
    <w:p w14:paraId="06F92EA6" w14:textId="61DEC510" w:rsidR="0052032C" w:rsidRPr="00304BF4" w:rsidRDefault="0052032C" w:rsidP="0052032C">
      <w:pPr>
        <w:rPr>
          <w:rFonts w:eastAsiaTheme="minorEastAsia"/>
          <w:sz w:val="20"/>
          <w:szCs w:val="20"/>
        </w:rPr>
      </w:pPr>
      <w:r w:rsidRPr="00304BF4">
        <w:rPr>
          <w:rFonts w:eastAsiaTheme="minorEastAsia"/>
          <w:sz w:val="20"/>
          <w:szCs w:val="20"/>
        </w:rPr>
        <w:t xml:space="preserve">After discounting each year’s </w:t>
      </w:r>
      <w:r>
        <w:rPr>
          <w:rFonts w:eastAsiaTheme="minorEastAsia"/>
          <w:sz w:val="20"/>
          <w:szCs w:val="20"/>
        </w:rPr>
        <w:t>sector</w:t>
      </w:r>
      <w:r w:rsidRPr="00304BF4">
        <w:rPr>
          <w:rFonts w:eastAsiaTheme="minorEastAsia"/>
          <w:sz w:val="20"/>
          <w:szCs w:val="20"/>
        </w:rPr>
        <w:t xml:space="preserve">-level health benefits to 2022, discounted health benefits were divided by the </w:t>
      </w:r>
      <w:r w:rsidRPr="00517D6E">
        <w:rPr>
          <w:rFonts w:eastAsiaTheme="minorEastAsia"/>
          <w:sz w:val="20"/>
          <w:szCs w:val="20"/>
        </w:rPr>
        <w:t>sector</w:t>
      </w:r>
      <w:r w:rsidRPr="00304BF4">
        <w:rPr>
          <w:rFonts w:eastAsiaTheme="minorEastAsia"/>
          <w:sz w:val="20"/>
          <w:szCs w:val="20"/>
        </w:rPr>
        <w:t>-level</w:t>
      </w:r>
      <w:r w:rsidR="00100B4E" w:rsidRPr="00517D6E">
        <w:rPr>
          <w:rFonts w:eastAsiaTheme="minorEastAsia"/>
          <w:sz w:val="20"/>
          <w:szCs w:val="20"/>
        </w:rPr>
        <w:t>’s yearly savings</w:t>
      </w:r>
      <w:r w:rsidRPr="00304BF4">
        <w:rPr>
          <w:rFonts w:eastAsiaTheme="minorEastAsia"/>
          <w:sz w:val="20"/>
          <w:szCs w:val="20"/>
        </w:rPr>
        <w:t>. In the case of 2032 estimation of health benefits, the discounted health benefits of approximately $</w:t>
      </w:r>
      <w:r w:rsidR="006725C6">
        <w:rPr>
          <w:rFonts w:eastAsiaTheme="minorEastAsia"/>
          <w:sz w:val="20"/>
          <w:szCs w:val="20"/>
        </w:rPr>
        <w:t>2</w:t>
      </w:r>
      <w:r w:rsidR="00855A0C">
        <w:rPr>
          <w:rFonts w:eastAsiaTheme="minorEastAsia"/>
          <w:sz w:val="20"/>
          <w:szCs w:val="20"/>
        </w:rPr>
        <w:t>49,111</w:t>
      </w:r>
      <w:r w:rsidRPr="00304BF4">
        <w:rPr>
          <w:rFonts w:eastAsiaTheme="minorEastAsia"/>
          <w:sz w:val="20"/>
          <w:szCs w:val="20"/>
        </w:rPr>
        <w:t xml:space="preserve"> dollars from Step </w:t>
      </w:r>
      <w:r w:rsidR="00100B4E" w:rsidRPr="00304BF4">
        <w:rPr>
          <w:rFonts w:eastAsiaTheme="minorEastAsia"/>
          <w:sz w:val="20"/>
          <w:szCs w:val="20"/>
        </w:rPr>
        <w:t>3</w:t>
      </w:r>
      <w:r w:rsidRPr="00304BF4">
        <w:rPr>
          <w:rFonts w:eastAsiaTheme="minorEastAsia"/>
          <w:sz w:val="20"/>
          <w:szCs w:val="20"/>
        </w:rPr>
        <w:t xml:space="preserve"> were divided by 2032’s </w:t>
      </w:r>
      <w:r w:rsidR="00100B4E" w:rsidRPr="00304BF4">
        <w:rPr>
          <w:rFonts w:eastAsiaTheme="minorEastAsia"/>
          <w:sz w:val="20"/>
          <w:szCs w:val="20"/>
        </w:rPr>
        <w:t>1</w:t>
      </w:r>
      <w:r w:rsidR="001F1FCC">
        <w:rPr>
          <w:rFonts w:eastAsiaTheme="minorEastAsia"/>
          <w:sz w:val="20"/>
          <w:szCs w:val="20"/>
        </w:rPr>
        <w:t>,213,183</w:t>
      </w:r>
      <w:r w:rsidR="00517D6E" w:rsidRPr="00304BF4">
        <w:rPr>
          <w:rFonts w:eastAsiaTheme="minorEastAsia"/>
          <w:sz w:val="20"/>
          <w:szCs w:val="20"/>
        </w:rPr>
        <w:t xml:space="preserve"> therms </w:t>
      </w:r>
      <w:r w:rsidRPr="00304BF4">
        <w:rPr>
          <w:rFonts w:eastAsiaTheme="minorEastAsia"/>
          <w:sz w:val="20"/>
          <w:szCs w:val="20"/>
        </w:rPr>
        <w:t xml:space="preserve">of </w:t>
      </w:r>
      <w:r w:rsidR="00517D6E" w:rsidRPr="00304BF4">
        <w:rPr>
          <w:rFonts w:eastAsiaTheme="minorEastAsia"/>
          <w:sz w:val="20"/>
          <w:szCs w:val="20"/>
        </w:rPr>
        <w:t>non-residential sector-level</w:t>
      </w:r>
      <w:r w:rsidRPr="00304BF4">
        <w:rPr>
          <w:rFonts w:eastAsiaTheme="minorEastAsia"/>
          <w:sz w:val="20"/>
          <w:szCs w:val="20"/>
        </w:rPr>
        <w:t xml:space="preserve"> savings, generating an estimate of </w:t>
      </w:r>
      <w:r w:rsidR="00517D6E" w:rsidRPr="00304BF4">
        <w:rPr>
          <w:rFonts w:eastAsiaTheme="minorEastAsia"/>
          <w:sz w:val="20"/>
          <w:szCs w:val="20"/>
        </w:rPr>
        <w:t>0</w:t>
      </w:r>
      <w:r w:rsidRPr="00304BF4">
        <w:rPr>
          <w:rFonts w:eastAsiaTheme="minorEastAsia"/>
          <w:sz w:val="20"/>
          <w:szCs w:val="20"/>
        </w:rPr>
        <w:t>.</w:t>
      </w:r>
      <w:r w:rsidR="00517D6E" w:rsidRPr="00304BF4">
        <w:rPr>
          <w:rFonts w:eastAsiaTheme="minorEastAsia"/>
          <w:sz w:val="20"/>
          <w:szCs w:val="20"/>
        </w:rPr>
        <w:t>1</w:t>
      </w:r>
      <w:r w:rsidR="006725C6">
        <w:rPr>
          <w:rFonts w:eastAsiaTheme="minorEastAsia"/>
          <w:sz w:val="20"/>
          <w:szCs w:val="20"/>
        </w:rPr>
        <w:t>8</w:t>
      </w:r>
      <w:r w:rsidRPr="00304BF4">
        <w:rPr>
          <w:rFonts w:eastAsiaTheme="minorEastAsia"/>
          <w:sz w:val="20"/>
          <w:szCs w:val="20"/>
        </w:rPr>
        <w:t xml:space="preserve"> cents in discounted health benefits per </w:t>
      </w:r>
      <w:r w:rsidR="00517D6E" w:rsidRPr="00304BF4">
        <w:rPr>
          <w:rFonts w:eastAsiaTheme="minorEastAsia"/>
          <w:sz w:val="20"/>
          <w:szCs w:val="20"/>
        </w:rPr>
        <w:t>therm</w:t>
      </w:r>
      <w:r w:rsidR="00517D6E">
        <w:rPr>
          <w:rFonts w:eastAsiaTheme="minorEastAsia"/>
          <w:sz w:val="20"/>
          <w:szCs w:val="20"/>
        </w:rPr>
        <w:t xml:space="preserve"> (BPT)</w:t>
      </w:r>
      <w:r w:rsidRPr="00304BF4">
        <w:rPr>
          <w:rFonts w:eastAsiaTheme="minorEastAsia"/>
          <w:sz w:val="20"/>
          <w:szCs w:val="20"/>
        </w:rPr>
        <w:t xml:space="preserve"> of energy saved in 2032. </w:t>
      </w:r>
    </w:p>
    <w:p w14:paraId="207F50D3" w14:textId="77777777" w:rsidR="0052032C" w:rsidRPr="00304BF4" w:rsidRDefault="0052032C" w:rsidP="0052032C">
      <w:pPr>
        <w:rPr>
          <w:rFonts w:eastAsiaTheme="minorEastAsia"/>
          <w:sz w:val="20"/>
          <w:szCs w:val="20"/>
        </w:rPr>
      </w:pPr>
    </w:p>
    <w:p w14:paraId="4F4C832C" w14:textId="70CA5F9E" w:rsidR="0052032C" w:rsidRPr="00304BF4" w:rsidRDefault="0052032C" w:rsidP="0052032C">
      <w:pPr>
        <w:rPr>
          <w:rFonts w:eastAsiaTheme="minorEastAsia"/>
          <w:b/>
          <w:bCs/>
          <w:sz w:val="20"/>
          <w:szCs w:val="20"/>
        </w:rPr>
      </w:pPr>
      <w:r w:rsidRPr="00304BF4">
        <w:rPr>
          <w:rFonts w:eastAsiaTheme="minorEastAsia"/>
          <w:b/>
          <w:bCs/>
          <w:sz w:val="20"/>
          <w:szCs w:val="20"/>
        </w:rPr>
        <w:t xml:space="preserve">Step </w:t>
      </w:r>
      <w:r w:rsidR="002218B9">
        <w:rPr>
          <w:rFonts w:eastAsiaTheme="minorEastAsia"/>
          <w:b/>
          <w:bCs/>
          <w:sz w:val="20"/>
          <w:szCs w:val="20"/>
        </w:rPr>
        <w:t>6</w:t>
      </w:r>
      <w:r w:rsidRPr="00304BF4">
        <w:rPr>
          <w:rFonts w:eastAsiaTheme="minorEastAsia"/>
          <w:b/>
          <w:bCs/>
          <w:sz w:val="20"/>
          <w:szCs w:val="20"/>
        </w:rPr>
        <w:t xml:space="preserve">: Multiply by </w:t>
      </w:r>
      <w:r w:rsidR="00517D6E">
        <w:rPr>
          <w:rFonts w:eastAsiaTheme="minorEastAsia"/>
          <w:b/>
          <w:bCs/>
          <w:sz w:val="20"/>
          <w:szCs w:val="20"/>
        </w:rPr>
        <w:t>program</w:t>
      </w:r>
      <w:r w:rsidRPr="00304BF4">
        <w:rPr>
          <w:rFonts w:eastAsiaTheme="minorEastAsia"/>
          <w:b/>
          <w:bCs/>
          <w:sz w:val="20"/>
          <w:szCs w:val="20"/>
        </w:rPr>
        <w:t xml:space="preserve">-level </w:t>
      </w:r>
      <w:r w:rsidR="00517D6E">
        <w:rPr>
          <w:rFonts w:eastAsiaTheme="minorEastAsia"/>
          <w:b/>
          <w:bCs/>
          <w:sz w:val="20"/>
          <w:szCs w:val="20"/>
        </w:rPr>
        <w:t>savings</w:t>
      </w:r>
    </w:p>
    <w:p w14:paraId="0FFD73C4" w14:textId="732B4E64" w:rsidR="0052032C" w:rsidRPr="000D61D6" w:rsidRDefault="0052032C" w:rsidP="0052032C">
      <w:pPr>
        <w:rPr>
          <w:rFonts w:eastAsiaTheme="minorHAnsi" w:cstheme="minorBidi"/>
          <w:color w:val="auto"/>
          <w:sz w:val="20"/>
          <w:szCs w:val="20"/>
        </w:rPr>
      </w:pPr>
      <w:r w:rsidRPr="00304BF4">
        <w:rPr>
          <w:rFonts w:eastAsiaTheme="minorEastAsia"/>
          <w:sz w:val="20"/>
          <w:szCs w:val="20"/>
        </w:rPr>
        <w:t xml:space="preserve">The final step in generating a program-level Societal NEI estimate for a specific year is multiplying the </w:t>
      </w:r>
      <w:r w:rsidR="00517D6E">
        <w:rPr>
          <w:rFonts w:eastAsiaTheme="minorEastAsia"/>
          <w:sz w:val="20"/>
          <w:szCs w:val="20"/>
        </w:rPr>
        <w:t>sector</w:t>
      </w:r>
      <w:r w:rsidRPr="00304BF4">
        <w:rPr>
          <w:rFonts w:eastAsiaTheme="minorEastAsia"/>
          <w:sz w:val="20"/>
          <w:szCs w:val="20"/>
        </w:rPr>
        <w:t xml:space="preserve">-level </w:t>
      </w:r>
      <w:r w:rsidR="00517D6E">
        <w:rPr>
          <w:rFonts w:eastAsiaTheme="minorEastAsia"/>
          <w:sz w:val="20"/>
          <w:szCs w:val="20"/>
        </w:rPr>
        <w:t>BPT</w:t>
      </w:r>
      <w:r w:rsidRPr="00304BF4">
        <w:rPr>
          <w:rFonts w:eastAsiaTheme="minorEastAsia"/>
          <w:sz w:val="20"/>
          <w:szCs w:val="20"/>
        </w:rPr>
        <w:t xml:space="preserve"> value resulting from Step </w:t>
      </w:r>
      <w:r w:rsidR="00517D6E">
        <w:rPr>
          <w:rFonts w:eastAsiaTheme="minorEastAsia"/>
          <w:sz w:val="20"/>
          <w:szCs w:val="20"/>
        </w:rPr>
        <w:t>4</w:t>
      </w:r>
      <w:r w:rsidRPr="00304BF4">
        <w:rPr>
          <w:rFonts w:eastAsiaTheme="minorEastAsia"/>
          <w:sz w:val="20"/>
          <w:szCs w:val="20"/>
        </w:rPr>
        <w:t xml:space="preserve"> by the program-level </w:t>
      </w:r>
      <w:r w:rsidR="00517D6E">
        <w:rPr>
          <w:rFonts w:eastAsiaTheme="minorEastAsia"/>
          <w:sz w:val="20"/>
          <w:szCs w:val="20"/>
        </w:rPr>
        <w:t>savings</w:t>
      </w:r>
      <w:r w:rsidRPr="00304BF4">
        <w:rPr>
          <w:rFonts w:eastAsiaTheme="minorEastAsia"/>
          <w:sz w:val="20"/>
          <w:szCs w:val="20"/>
        </w:rPr>
        <w:t>. The result is a total estimated benefit of approximately $</w:t>
      </w:r>
      <w:r w:rsidR="00517D6E">
        <w:rPr>
          <w:rFonts w:eastAsiaTheme="minorEastAsia"/>
          <w:sz w:val="20"/>
          <w:szCs w:val="20"/>
        </w:rPr>
        <w:t>1.</w:t>
      </w:r>
      <w:r w:rsidR="001F1FCC">
        <w:rPr>
          <w:rFonts w:eastAsiaTheme="minorEastAsia"/>
          <w:sz w:val="20"/>
          <w:szCs w:val="20"/>
        </w:rPr>
        <w:t>78</w:t>
      </w:r>
      <w:r w:rsidRPr="00304BF4">
        <w:rPr>
          <w:rFonts w:eastAsiaTheme="minorEastAsia"/>
          <w:sz w:val="20"/>
          <w:szCs w:val="20"/>
        </w:rPr>
        <w:t xml:space="preserve"> million dollars for the Small Business program.</w:t>
      </w:r>
    </w:p>
    <w:p w14:paraId="30BF9CDC" w14:textId="77777777" w:rsidR="0052032C" w:rsidRPr="0052032C" w:rsidRDefault="0052032C" w:rsidP="003D65A0">
      <w:pPr>
        <w:rPr>
          <w:rFonts w:eastAsiaTheme="minorHAnsi"/>
          <w:color w:val="auto"/>
          <w:sz w:val="20"/>
          <w:szCs w:val="20"/>
        </w:rPr>
      </w:pPr>
    </w:p>
    <w:p w14:paraId="78099D54" w14:textId="7AEB70BF" w:rsidR="00D708F0" w:rsidRPr="00304BF4" w:rsidRDefault="00156E3E" w:rsidP="00304BF4">
      <w:pPr>
        <w:keepNext/>
        <w:keepLines/>
        <w:spacing w:before="360" w:after="240" w:line="240" w:lineRule="auto"/>
        <w:contextualSpacing/>
        <w:outlineLvl w:val="1"/>
        <w:rPr>
          <w:rFonts w:eastAsia="Arial" w:cs="Arial"/>
          <w:b/>
          <w:bCs/>
          <w:iCs/>
          <w:color w:val="0093C9"/>
          <w:sz w:val="26"/>
          <w:szCs w:val="28"/>
        </w:rPr>
      </w:pPr>
      <w:r w:rsidRPr="00304BF4">
        <w:rPr>
          <w:rFonts w:eastAsia="Arial" w:cs="Arial"/>
          <w:b/>
          <w:bCs/>
          <w:iCs/>
          <w:color w:val="0093C9"/>
          <w:sz w:val="26"/>
          <w:szCs w:val="28"/>
        </w:rPr>
        <w:t>Annual Sector-Level Benefits per Therm Estimates</w:t>
      </w:r>
    </w:p>
    <w:p w14:paraId="3BFC1E48" w14:textId="77777777" w:rsidR="00D708F0" w:rsidRPr="0052032C" w:rsidRDefault="00D708F0" w:rsidP="003D65A0">
      <w:pPr>
        <w:rPr>
          <w:rFonts w:eastAsiaTheme="minorHAnsi"/>
          <w:color w:val="auto"/>
          <w:sz w:val="20"/>
          <w:szCs w:val="20"/>
        </w:rPr>
      </w:pPr>
    </w:p>
    <w:p w14:paraId="4FE8FB92" w14:textId="70902DE4" w:rsidR="006725C6" w:rsidRDefault="00DC73A9" w:rsidP="003D65A0">
      <w:pPr>
        <w:rPr>
          <w:rFonts w:eastAsiaTheme="minorHAnsi"/>
          <w:color w:val="auto"/>
          <w:sz w:val="20"/>
          <w:szCs w:val="20"/>
        </w:rPr>
      </w:pPr>
      <w:r w:rsidRPr="00156E3E">
        <w:rPr>
          <w:rFonts w:eastAsiaTheme="minorHAnsi"/>
          <w:color w:val="auto"/>
          <w:sz w:val="20"/>
          <w:szCs w:val="20"/>
        </w:rPr>
        <w:fldChar w:fldCharType="begin"/>
      </w:r>
      <w:r w:rsidRPr="00156E3E">
        <w:rPr>
          <w:rFonts w:eastAsiaTheme="minorHAnsi"/>
          <w:color w:val="auto"/>
          <w:sz w:val="20"/>
          <w:szCs w:val="20"/>
        </w:rPr>
        <w:instrText xml:space="preserve"> REF _Ref51828931 \h  \* MERGEFORMAT </w:instrText>
      </w:r>
      <w:r w:rsidRPr="00156E3E">
        <w:rPr>
          <w:rFonts w:eastAsiaTheme="minorHAnsi"/>
          <w:color w:val="auto"/>
          <w:sz w:val="20"/>
          <w:szCs w:val="20"/>
        </w:rPr>
      </w:r>
      <w:r w:rsidRPr="00156E3E">
        <w:rPr>
          <w:rFonts w:eastAsiaTheme="minorHAnsi"/>
          <w:color w:val="auto"/>
          <w:sz w:val="20"/>
          <w:szCs w:val="20"/>
        </w:rPr>
        <w:fldChar w:fldCharType="separate"/>
      </w:r>
      <w:r w:rsidR="00DD5440" w:rsidRPr="00304BF4">
        <w:rPr>
          <w:rFonts w:eastAsiaTheme="minorHAnsi" w:cstheme="minorBidi"/>
          <w:color w:val="auto"/>
          <w:sz w:val="20"/>
          <w:szCs w:val="20"/>
        </w:rPr>
        <w:t xml:space="preserve">Table </w:t>
      </w:r>
      <w:r w:rsidR="00DD5440" w:rsidRPr="00304BF4">
        <w:rPr>
          <w:rFonts w:eastAsiaTheme="minorHAnsi" w:cstheme="minorBidi"/>
          <w:noProof/>
          <w:color w:val="auto"/>
          <w:sz w:val="20"/>
          <w:szCs w:val="20"/>
        </w:rPr>
        <w:t>11</w:t>
      </w:r>
      <w:r w:rsidRPr="00156E3E">
        <w:rPr>
          <w:rFonts w:eastAsiaTheme="minorHAnsi"/>
          <w:color w:val="auto"/>
          <w:sz w:val="20"/>
          <w:szCs w:val="20"/>
        </w:rPr>
        <w:fldChar w:fldCharType="end"/>
      </w:r>
      <w:r>
        <w:rPr>
          <w:rFonts w:eastAsiaTheme="minorHAnsi"/>
          <w:color w:val="auto"/>
          <w:sz w:val="20"/>
          <w:szCs w:val="20"/>
        </w:rPr>
        <w:t xml:space="preserve"> through</w:t>
      </w:r>
      <w:r w:rsidRPr="00156E3E">
        <w:rPr>
          <w:rFonts w:eastAsiaTheme="minorHAnsi"/>
          <w:color w:val="auto"/>
          <w:sz w:val="20"/>
          <w:szCs w:val="20"/>
        </w:rPr>
        <w:t xml:space="preserve"> </w:t>
      </w:r>
      <w:r w:rsidRPr="00156E3E">
        <w:rPr>
          <w:rFonts w:eastAsiaTheme="minorHAnsi"/>
          <w:color w:val="auto"/>
          <w:sz w:val="20"/>
          <w:szCs w:val="20"/>
        </w:rPr>
        <w:fldChar w:fldCharType="begin"/>
      </w:r>
      <w:r w:rsidRPr="00156E3E">
        <w:rPr>
          <w:rFonts w:eastAsiaTheme="minorHAnsi"/>
          <w:color w:val="auto"/>
          <w:sz w:val="20"/>
          <w:szCs w:val="20"/>
        </w:rPr>
        <w:instrText xml:space="preserve"> REF _Ref51828938 \h  \* MERGEFORMAT </w:instrText>
      </w:r>
      <w:r w:rsidRPr="00156E3E">
        <w:rPr>
          <w:rFonts w:eastAsiaTheme="minorHAnsi"/>
          <w:color w:val="auto"/>
          <w:sz w:val="20"/>
          <w:szCs w:val="20"/>
        </w:rPr>
      </w:r>
      <w:r w:rsidRPr="00156E3E">
        <w:rPr>
          <w:rFonts w:eastAsiaTheme="minorHAnsi"/>
          <w:color w:val="auto"/>
          <w:sz w:val="20"/>
          <w:szCs w:val="20"/>
        </w:rPr>
        <w:fldChar w:fldCharType="separate"/>
      </w:r>
      <w:r w:rsidR="00DD5440" w:rsidRPr="00304BF4">
        <w:rPr>
          <w:rFonts w:eastAsiaTheme="minorHAnsi" w:cstheme="minorBidi"/>
          <w:color w:val="auto"/>
          <w:sz w:val="20"/>
          <w:szCs w:val="20"/>
        </w:rPr>
        <w:t>Table 14</w:t>
      </w:r>
      <w:r w:rsidRPr="00156E3E">
        <w:rPr>
          <w:rFonts w:eastAsiaTheme="minorHAnsi"/>
          <w:color w:val="auto"/>
          <w:sz w:val="20"/>
          <w:szCs w:val="20"/>
        </w:rPr>
        <w:fldChar w:fldCharType="end"/>
      </w:r>
      <w:r>
        <w:rPr>
          <w:rFonts w:eastAsiaTheme="minorHAnsi"/>
          <w:color w:val="auto"/>
          <w:sz w:val="20"/>
          <w:szCs w:val="20"/>
        </w:rPr>
        <w:t xml:space="preserve"> show the sector level dollar per therm estimates by program year, based on the CY2019 portfolio. </w:t>
      </w:r>
      <w:r w:rsidR="003921E2">
        <w:rPr>
          <w:rFonts w:eastAsiaTheme="minorHAnsi"/>
          <w:color w:val="auto"/>
          <w:sz w:val="20"/>
          <w:szCs w:val="20"/>
        </w:rPr>
        <w:t xml:space="preserve">The values </w:t>
      </w:r>
      <w:r w:rsidR="006677D3">
        <w:rPr>
          <w:rFonts w:eastAsiaTheme="minorHAnsi"/>
          <w:color w:val="auto"/>
          <w:sz w:val="20"/>
          <w:szCs w:val="20"/>
        </w:rPr>
        <w:t>provided have not been adjusted for inflation or discount</w:t>
      </w:r>
      <w:r w:rsidR="006725C6">
        <w:rPr>
          <w:rFonts w:eastAsiaTheme="minorHAnsi"/>
          <w:color w:val="auto"/>
          <w:sz w:val="20"/>
          <w:szCs w:val="20"/>
        </w:rPr>
        <w:t xml:space="preserve">ed following </w:t>
      </w:r>
      <w:r w:rsidR="006677D3">
        <w:rPr>
          <w:rFonts w:eastAsiaTheme="minorHAnsi"/>
          <w:color w:val="auto"/>
          <w:sz w:val="20"/>
          <w:szCs w:val="20"/>
        </w:rPr>
        <w:t>the COBRA model</w:t>
      </w:r>
      <w:r w:rsidR="006725C6">
        <w:rPr>
          <w:rFonts w:eastAsiaTheme="minorHAnsi"/>
          <w:color w:val="auto"/>
          <w:sz w:val="20"/>
          <w:szCs w:val="20"/>
        </w:rPr>
        <w:t xml:space="preserve"> runs</w:t>
      </w:r>
      <w:r w:rsidR="006677D3">
        <w:rPr>
          <w:rFonts w:eastAsiaTheme="minorHAnsi"/>
          <w:color w:val="auto"/>
          <w:sz w:val="20"/>
          <w:szCs w:val="20"/>
        </w:rPr>
        <w:t>.</w:t>
      </w:r>
      <w:r w:rsidR="003921E2">
        <w:rPr>
          <w:rFonts w:eastAsiaTheme="minorHAnsi"/>
          <w:color w:val="auto"/>
          <w:sz w:val="20"/>
          <w:szCs w:val="20"/>
        </w:rPr>
        <w:t xml:space="preserve"> </w:t>
      </w:r>
      <w:r w:rsidR="00E01A0C">
        <w:rPr>
          <w:rFonts w:eastAsiaTheme="minorHAnsi"/>
          <w:color w:val="auto"/>
          <w:sz w:val="20"/>
          <w:szCs w:val="20"/>
        </w:rPr>
        <w:t xml:space="preserve">Thus, these values are presented in real dollars. </w:t>
      </w:r>
    </w:p>
    <w:p w14:paraId="2541F047" w14:textId="77777777" w:rsidR="006725C6" w:rsidRDefault="006725C6" w:rsidP="003D65A0">
      <w:pPr>
        <w:rPr>
          <w:rFonts w:eastAsiaTheme="minorHAnsi"/>
          <w:color w:val="auto"/>
          <w:sz w:val="20"/>
          <w:szCs w:val="20"/>
        </w:rPr>
      </w:pPr>
    </w:p>
    <w:p w14:paraId="0545BC7A" w14:textId="3807FB56" w:rsidR="00DC73A9" w:rsidRPr="00304BF4" w:rsidRDefault="00DC73A9" w:rsidP="003D65A0">
      <w:pPr>
        <w:rPr>
          <w:rFonts w:eastAsiaTheme="minorHAnsi"/>
          <w:color w:val="auto"/>
          <w:sz w:val="20"/>
          <w:szCs w:val="20"/>
        </w:rPr>
      </w:pPr>
      <w:r>
        <w:rPr>
          <w:rFonts w:eastAsiaTheme="minorHAnsi"/>
          <w:color w:val="auto"/>
          <w:sz w:val="20"/>
          <w:szCs w:val="20"/>
        </w:rPr>
        <w:t>Please note the dollar per therm values should only be applied to</w:t>
      </w:r>
      <w:r w:rsidR="00517D6E">
        <w:rPr>
          <w:rFonts w:eastAsiaTheme="minorHAnsi"/>
          <w:color w:val="auto"/>
          <w:sz w:val="20"/>
          <w:szCs w:val="20"/>
        </w:rPr>
        <w:t xml:space="preserve"> annual</w:t>
      </w:r>
      <w:r>
        <w:rPr>
          <w:rFonts w:eastAsiaTheme="minorHAnsi"/>
          <w:color w:val="auto"/>
          <w:sz w:val="20"/>
          <w:szCs w:val="20"/>
        </w:rPr>
        <w:t xml:space="preserve"> therms sav</w:t>
      </w:r>
      <w:r w:rsidR="00517D6E">
        <w:rPr>
          <w:rFonts w:eastAsiaTheme="minorHAnsi"/>
          <w:color w:val="auto"/>
          <w:sz w:val="20"/>
          <w:szCs w:val="20"/>
        </w:rPr>
        <w:t>ed</w:t>
      </w:r>
      <w:r>
        <w:rPr>
          <w:rFonts w:eastAsiaTheme="minorHAnsi"/>
          <w:color w:val="auto"/>
          <w:sz w:val="20"/>
          <w:szCs w:val="20"/>
        </w:rPr>
        <w:t xml:space="preserve"> from measures </w:t>
      </w:r>
      <w:r w:rsidR="00517D6E">
        <w:rPr>
          <w:rFonts w:eastAsiaTheme="minorHAnsi"/>
          <w:color w:val="auto"/>
          <w:sz w:val="20"/>
          <w:szCs w:val="20"/>
        </w:rPr>
        <w:t xml:space="preserve">installed </w:t>
      </w:r>
      <w:r>
        <w:rPr>
          <w:rFonts w:eastAsiaTheme="minorHAnsi"/>
          <w:color w:val="auto"/>
          <w:sz w:val="20"/>
          <w:szCs w:val="20"/>
        </w:rPr>
        <w:t xml:space="preserve">in the respective year’s implementation. This method avoids double counting benefits. </w:t>
      </w:r>
    </w:p>
    <w:p w14:paraId="744E2E97" w14:textId="77777777" w:rsidR="00DC73A9" w:rsidRDefault="00DC73A9" w:rsidP="003D65A0">
      <w:pPr>
        <w:rPr>
          <w:rFonts w:eastAsiaTheme="minorHAnsi"/>
          <w:sz w:val="20"/>
          <w:szCs w:val="20"/>
        </w:rPr>
      </w:pPr>
    </w:p>
    <w:p w14:paraId="1B052407" w14:textId="584DD9F2" w:rsidR="00DC73A9" w:rsidRPr="00304BF4" w:rsidRDefault="00DC73A9" w:rsidP="00156E3E">
      <w:pPr>
        <w:pStyle w:val="Caption"/>
        <w:keepNext/>
        <w:spacing w:after="120"/>
        <w:jc w:val="center"/>
        <w:rPr>
          <w:rFonts w:eastAsiaTheme="minorHAnsi" w:cstheme="minorBidi"/>
          <w:b/>
          <w:bCs/>
          <w:color w:val="93D500" w:themeColor="accent1"/>
          <w:sz w:val="20"/>
          <w:szCs w:val="20"/>
        </w:rPr>
      </w:pPr>
      <w:bookmarkStart w:id="22" w:name="_Ref51828931"/>
      <w:r w:rsidRPr="00156E3E">
        <w:rPr>
          <w:rFonts w:eastAsiaTheme="minorHAnsi" w:cstheme="minorBidi"/>
          <w:b/>
          <w:bCs/>
          <w:i w:val="0"/>
          <w:iCs w:val="0"/>
          <w:color w:val="93D500" w:themeColor="accent1"/>
          <w:sz w:val="20"/>
          <w:szCs w:val="20"/>
        </w:rPr>
        <w:lastRenderedPageBreak/>
        <w:t xml:space="preserve">Table </w:t>
      </w:r>
      <w:r w:rsidRPr="00156E3E">
        <w:rPr>
          <w:rFonts w:eastAsiaTheme="minorHAnsi" w:cstheme="minorBidi"/>
          <w:b/>
          <w:bCs/>
          <w:i w:val="0"/>
          <w:iCs w:val="0"/>
          <w:color w:val="93D500" w:themeColor="accent1"/>
          <w:sz w:val="20"/>
          <w:szCs w:val="20"/>
        </w:rPr>
        <w:fldChar w:fldCharType="begin"/>
      </w:r>
      <w:r w:rsidRPr="00156E3E">
        <w:rPr>
          <w:rFonts w:eastAsiaTheme="minorHAnsi" w:cstheme="minorBidi"/>
          <w:b/>
          <w:bCs/>
          <w:i w:val="0"/>
          <w:iCs w:val="0"/>
          <w:color w:val="93D500" w:themeColor="accent1"/>
          <w:sz w:val="20"/>
          <w:szCs w:val="20"/>
        </w:rPr>
        <w:instrText xml:space="preserve"> SEQ Table \* ARABIC </w:instrText>
      </w:r>
      <w:r w:rsidRPr="00156E3E">
        <w:rPr>
          <w:rFonts w:eastAsiaTheme="minorHAnsi" w:cstheme="minorBidi"/>
          <w:b/>
          <w:bCs/>
          <w:i w:val="0"/>
          <w:iCs w:val="0"/>
          <w:color w:val="93D500" w:themeColor="accent1"/>
          <w:sz w:val="20"/>
          <w:szCs w:val="20"/>
        </w:rPr>
        <w:fldChar w:fldCharType="separate"/>
      </w:r>
      <w:r w:rsidR="00DD5440">
        <w:rPr>
          <w:rFonts w:eastAsiaTheme="minorHAnsi" w:cstheme="minorBidi"/>
          <w:b/>
          <w:bCs/>
          <w:i w:val="0"/>
          <w:iCs w:val="0"/>
          <w:noProof/>
          <w:color w:val="93D500" w:themeColor="accent1"/>
          <w:sz w:val="20"/>
          <w:szCs w:val="20"/>
        </w:rPr>
        <w:t>11</w:t>
      </w:r>
      <w:r w:rsidRPr="00156E3E">
        <w:rPr>
          <w:rFonts w:eastAsiaTheme="minorHAnsi" w:cstheme="minorBidi"/>
          <w:b/>
          <w:bCs/>
          <w:i w:val="0"/>
          <w:iCs w:val="0"/>
          <w:color w:val="93D500" w:themeColor="accent1"/>
          <w:sz w:val="20"/>
          <w:szCs w:val="20"/>
        </w:rPr>
        <w:fldChar w:fldCharType="end"/>
      </w:r>
      <w:bookmarkEnd w:id="22"/>
      <w:r w:rsidRPr="00156E3E">
        <w:rPr>
          <w:rFonts w:eastAsiaTheme="minorHAnsi" w:cstheme="minorBidi"/>
          <w:b/>
          <w:bCs/>
          <w:i w:val="0"/>
          <w:iCs w:val="0"/>
          <w:color w:val="93D500" w:themeColor="accent1"/>
          <w:sz w:val="20"/>
          <w:szCs w:val="20"/>
        </w:rPr>
        <w:t xml:space="preserve">. </w:t>
      </w:r>
      <w:r w:rsidRPr="00304BF4">
        <w:rPr>
          <w:rFonts w:eastAsiaTheme="minorHAnsi" w:cstheme="minorBidi"/>
          <w:b/>
          <w:bCs/>
          <w:i w:val="0"/>
          <w:iCs w:val="0"/>
          <w:color w:val="93D500" w:themeColor="accent1"/>
          <w:sz w:val="20"/>
          <w:szCs w:val="20"/>
        </w:rPr>
        <w:t xml:space="preserve">Sector Level Dollars per Therms Savings </w:t>
      </w:r>
      <w:r>
        <w:rPr>
          <w:rFonts w:eastAsiaTheme="minorHAnsi" w:cstheme="minorBidi"/>
          <w:b/>
          <w:bCs/>
          <w:i w:val="0"/>
          <w:iCs w:val="0"/>
          <w:color w:val="93D500" w:themeColor="accent1"/>
          <w:sz w:val="20"/>
          <w:szCs w:val="20"/>
        </w:rPr>
        <w:t>–</w:t>
      </w:r>
      <w:r w:rsidRPr="00304BF4">
        <w:rPr>
          <w:rFonts w:eastAsiaTheme="minorHAnsi" w:cstheme="minorBidi"/>
          <w:b/>
          <w:bCs/>
          <w:i w:val="0"/>
          <w:iCs w:val="0"/>
          <w:color w:val="93D500" w:themeColor="accent1"/>
          <w:sz w:val="20"/>
          <w:szCs w:val="20"/>
        </w:rPr>
        <w:t xml:space="preserve"> </w:t>
      </w:r>
      <w:r>
        <w:rPr>
          <w:rFonts w:eastAsiaTheme="minorHAnsi" w:cstheme="minorBidi"/>
          <w:b/>
          <w:bCs/>
          <w:i w:val="0"/>
          <w:iCs w:val="0"/>
          <w:color w:val="93D500" w:themeColor="accent1"/>
          <w:sz w:val="20"/>
          <w:szCs w:val="20"/>
        </w:rPr>
        <w:t>CY2022</w:t>
      </w:r>
      <w:r w:rsidR="00E01A0C">
        <w:rPr>
          <w:rFonts w:eastAsiaTheme="minorHAnsi" w:cstheme="minorBidi"/>
          <w:b/>
          <w:bCs/>
          <w:i w:val="0"/>
          <w:iCs w:val="0"/>
          <w:color w:val="93D500" w:themeColor="accent1"/>
          <w:sz w:val="20"/>
          <w:szCs w:val="20"/>
        </w:rPr>
        <w:t xml:space="preserve"> (Real Dollars)</w:t>
      </w:r>
    </w:p>
    <w:tbl>
      <w:tblPr>
        <w:tblW w:w="9360" w:type="dxa"/>
        <w:tblLook w:val="04A0" w:firstRow="1" w:lastRow="0" w:firstColumn="1" w:lastColumn="0" w:noHBand="0" w:noVBand="1"/>
      </w:tblPr>
      <w:tblGrid>
        <w:gridCol w:w="990"/>
        <w:gridCol w:w="1117"/>
        <w:gridCol w:w="1598"/>
        <w:gridCol w:w="1605"/>
        <w:gridCol w:w="1232"/>
        <w:gridCol w:w="1217"/>
        <w:gridCol w:w="1601"/>
      </w:tblGrid>
      <w:tr w:rsidR="00304BF4" w:rsidRPr="001F1FCC" w14:paraId="65985745" w14:textId="77777777" w:rsidTr="001F1FCC">
        <w:trPr>
          <w:trHeight w:val="825"/>
        </w:trPr>
        <w:tc>
          <w:tcPr>
            <w:tcW w:w="990" w:type="dxa"/>
            <w:tcBorders>
              <w:top w:val="nil"/>
              <w:left w:val="nil"/>
              <w:bottom w:val="single" w:sz="12" w:space="0" w:color="93D500"/>
              <w:right w:val="nil"/>
            </w:tcBorders>
            <w:shd w:val="clear" w:color="000000" w:fill="53575A"/>
            <w:vAlign w:val="center"/>
            <w:hideMark/>
          </w:tcPr>
          <w:p w14:paraId="009A780F" w14:textId="77777777" w:rsidR="00DC73A9" w:rsidRPr="001F1FCC" w:rsidRDefault="00DC73A9" w:rsidP="001F1FCC">
            <w:pPr>
              <w:spacing w:line="240" w:lineRule="auto"/>
              <w:jc w:val="right"/>
              <w:rPr>
                <w:rFonts w:ascii="Arial Narrow" w:hAnsi="Arial Narrow" w:cs="Calibri"/>
                <w:b/>
                <w:bCs/>
                <w:color w:val="FFFFFF"/>
                <w:szCs w:val="18"/>
              </w:rPr>
            </w:pPr>
            <w:r w:rsidRPr="001F1FCC">
              <w:rPr>
                <w:rFonts w:ascii="Arial Narrow" w:hAnsi="Arial Narrow" w:cs="Calibri"/>
                <w:b/>
                <w:bCs/>
                <w:color w:val="FFFFFF"/>
                <w:szCs w:val="18"/>
              </w:rPr>
              <w:t>Year</w:t>
            </w:r>
          </w:p>
        </w:tc>
        <w:tc>
          <w:tcPr>
            <w:tcW w:w="1117" w:type="dxa"/>
            <w:tcBorders>
              <w:top w:val="nil"/>
              <w:left w:val="nil"/>
              <w:bottom w:val="single" w:sz="12" w:space="0" w:color="93D500"/>
              <w:right w:val="nil"/>
            </w:tcBorders>
            <w:shd w:val="clear" w:color="000000" w:fill="53575A"/>
            <w:vAlign w:val="center"/>
            <w:hideMark/>
          </w:tcPr>
          <w:p w14:paraId="40FC8648" w14:textId="77777777" w:rsidR="00DC73A9" w:rsidRPr="001F1FCC" w:rsidRDefault="00DC73A9" w:rsidP="001F1FCC">
            <w:pPr>
              <w:spacing w:line="240" w:lineRule="auto"/>
              <w:jc w:val="right"/>
              <w:rPr>
                <w:rFonts w:ascii="Arial Narrow" w:hAnsi="Arial Narrow" w:cs="Calibri"/>
                <w:b/>
                <w:bCs/>
                <w:color w:val="FFFFFF"/>
                <w:szCs w:val="18"/>
              </w:rPr>
            </w:pPr>
            <w:r w:rsidRPr="001F1FCC">
              <w:rPr>
                <w:rFonts w:ascii="Arial Narrow" w:hAnsi="Arial Narrow" w:cs="Calibri"/>
                <w:b/>
                <w:bCs/>
                <w:color w:val="FFFFFF"/>
                <w:szCs w:val="18"/>
              </w:rPr>
              <w:t>Therms Savings (Residential)</w:t>
            </w:r>
          </w:p>
        </w:tc>
        <w:tc>
          <w:tcPr>
            <w:tcW w:w="1598" w:type="dxa"/>
            <w:tcBorders>
              <w:top w:val="nil"/>
              <w:left w:val="nil"/>
              <w:bottom w:val="single" w:sz="12" w:space="0" w:color="93D500"/>
              <w:right w:val="nil"/>
            </w:tcBorders>
            <w:shd w:val="clear" w:color="000000" w:fill="53575A"/>
            <w:vAlign w:val="center"/>
            <w:hideMark/>
          </w:tcPr>
          <w:p w14:paraId="32B83FCA" w14:textId="77777777" w:rsidR="00DC73A9" w:rsidRPr="001F1FCC" w:rsidRDefault="00DC73A9" w:rsidP="001F1FCC">
            <w:pPr>
              <w:spacing w:line="240" w:lineRule="auto"/>
              <w:jc w:val="right"/>
              <w:rPr>
                <w:rFonts w:ascii="Arial Narrow" w:hAnsi="Arial Narrow" w:cs="Calibri"/>
                <w:b/>
                <w:bCs/>
                <w:color w:val="FFFFFF"/>
                <w:szCs w:val="18"/>
              </w:rPr>
            </w:pPr>
            <w:r w:rsidRPr="001F1FCC">
              <w:rPr>
                <w:rFonts w:ascii="Arial Narrow" w:hAnsi="Arial Narrow" w:cs="Calibri"/>
                <w:b/>
                <w:bCs/>
                <w:color w:val="FFFFFF"/>
                <w:szCs w:val="18"/>
              </w:rPr>
              <w:t>$ Total Health Benefits (average)</w:t>
            </w:r>
            <w:r w:rsidRPr="001F1FCC">
              <w:rPr>
                <w:rFonts w:ascii="Arial Narrow" w:hAnsi="Arial Narrow" w:cs="Calibri"/>
                <w:szCs w:val="18"/>
              </w:rPr>
              <w:t> </w:t>
            </w:r>
          </w:p>
        </w:tc>
        <w:tc>
          <w:tcPr>
            <w:tcW w:w="1605" w:type="dxa"/>
            <w:tcBorders>
              <w:top w:val="nil"/>
              <w:left w:val="nil"/>
              <w:bottom w:val="single" w:sz="12" w:space="0" w:color="93D500"/>
              <w:right w:val="nil"/>
            </w:tcBorders>
            <w:shd w:val="clear" w:color="000000" w:fill="53575A"/>
            <w:vAlign w:val="center"/>
            <w:hideMark/>
          </w:tcPr>
          <w:p w14:paraId="61740032" w14:textId="781261E3" w:rsidR="00DC73A9" w:rsidRPr="001F1FCC" w:rsidRDefault="00DC73A9" w:rsidP="001F1FCC">
            <w:pPr>
              <w:spacing w:line="240" w:lineRule="auto"/>
              <w:jc w:val="right"/>
              <w:rPr>
                <w:rFonts w:ascii="Arial Narrow" w:hAnsi="Arial Narrow" w:cs="Calibri"/>
                <w:b/>
                <w:bCs/>
                <w:color w:val="FFFFFF"/>
                <w:szCs w:val="18"/>
              </w:rPr>
            </w:pPr>
            <w:r w:rsidRPr="001F1FCC">
              <w:rPr>
                <w:rFonts w:ascii="Arial Narrow" w:hAnsi="Arial Narrow" w:cs="Calibri"/>
                <w:b/>
                <w:bCs/>
                <w:color w:val="FFFFFF"/>
                <w:szCs w:val="18"/>
              </w:rPr>
              <w:t xml:space="preserve">$Total Health Benefits per Therm </w:t>
            </w:r>
            <w:r w:rsidR="00702B8A" w:rsidRPr="001F1FCC">
              <w:rPr>
                <w:rFonts w:ascii="Arial Narrow" w:hAnsi="Arial Narrow" w:cs="Calibri"/>
                <w:b/>
                <w:bCs/>
                <w:color w:val="FFFFFF"/>
                <w:szCs w:val="18"/>
              </w:rPr>
              <w:t>(average</w:t>
            </w:r>
            <w:r w:rsidRPr="001F1FCC">
              <w:rPr>
                <w:rFonts w:ascii="Arial Narrow" w:hAnsi="Arial Narrow" w:cs="Calibri"/>
                <w:b/>
                <w:bCs/>
                <w:color w:val="FFFFFF"/>
                <w:szCs w:val="18"/>
              </w:rPr>
              <w:t>)</w:t>
            </w:r>
          </w:p>
        </w:tc>
        <w:tc>
          <w:tcPr>
            <w:tcW w:w="1232" w:type="dxa"/>
            <w:tcBorders>
              <w:top w:val="nil"/>
              <w:left w:val="nil"/>
              <w:bottom w:val="single" w:sz="12" w:space="0" w:color="93D500"/>
              <w:right w:val="nil"/>
            </w:tcBorders>
            <w:shd w:val="clear" w:color="000000" w:fill="53575A"/>
            <w:vAlign w:val="center"/>
            <w:hideMark/>
          </w:tcPr>
          <w:p w14:paraId="3A3879DF" w14:textId="77777777" w:rsidR="00DC73A9" w:rsidRPr="001F1FCC" w:rsidRDefault="00DC73A9" w:rsidP="001F1FCC">
            <w:pPr>
              <w:spacing w:line="240" w:lineRule="auto"/>
              <w:jc w:val="right"/>
              <w:rPr>
                <w:rFonts w:ascii="Arial Narrow" w:hAnsi="Arial Narrow" w:cs="Calibri"/>
                <w:b/>
                <w:bCs/>
                <w:color w:val="FFFFFF"/>
                <w:szCs w:val="18"/>
              </w:rPr>
            </w:pPr>
            <w:r w:rsidRPr="001F1FCC">
              <w:rPr>
                <w:rFonts w:ascii="Arial Narrow" w:hAnsi="Arial Narrow" w:cs="Calibri"/>
                <w:b/>
                <w:bCs/>
                <w:color w:val="FFFFFF"/>
                <w:szCs w:val="18"/>
              </w:rPr>
              <w:t>Therms Savings (Non-Residential)</w:t>
            </w:r>
          </w:p>
        </w:tc>
        <w:tc>
          <w:tcPr>
            <w:tcW w:w="1217" w:type="dxa"/>
            <w:tcBorders>
              <w:top w:val="nil"/>
              <w:left w:val="nil"/>
              <w:bottom w:val="single" w:sz="12" w:space="0" w:color="93D500"/>
              <w:right w:val="nil"/>
            </w:tcBorders>
            <w:shd w:val="clear" w:color="000000" w:fill="53575A"/>
            <w:vAlign w:val="center"/>
            <w:hideMark/>
          </w:tcPr>
          <w:p w14:paraId="23A83595" w14:textId="77777777" w:rsidR="00DC73A9" w:rsidRPr="001F1FCC" w:rsidRDefault="00DC73A9" w:rsidP="001F1FCC">
            <w:pPr>
              <w:spacing w:line="240" w:lineRule="auto"/>
              <w:jc w:val="right"/>
              <w:rPr>
                <w:rFonts w:ascii="Arial Narrow" w:hAnsi="Arial Narrow" w:cs="Calibri"/>
                <w:b/>
                <w:bCs/>
                <w:color w:val="FFFFFF"/>
                <w:szCs w:val="18"/>
              </w:rPr>
            </w:pPr>
            <w:r w:rsidRPr="001F1FCC">
              <w:rPr>
                <w:rFonts w:ascii="Arial Narrow" w:hAnsi="Arial Narrow" w:cs="Calibri"/>
                <w:b/>
                <w:bCs/>
                <w:color w:val="FFFFFF"/>
                <w:szCs w:val="18"/>
              </w:rPr>
              <w:t>$ Total Health Benefits (average) </w:t>
            </w:r>
          </w:p>
        </w:tc>
        <w:tc>
          <w:tcPr>
            <w:tcW w:w="1601" w:type="dxa"/>
            <w:tcBorders>
              <w:top w:val="nil"/>
              <w:left w:val="nil"/>
              <w:bottom w:val="single" w:sz="12" w:space="0" w:color="93D500"/>
              <w:right w:val="nil"/>
            </w:tcBorders>
            <w:shd w:val="clear" w:color="000000" w:fill="53575A"/>
            <w:vAlign w:val="center"/>
            <w:hideMark/>
          </w:tcPr>
          <w:p w14:paraId="071C593E" w14:textId="74424350" w:rsidR="00DC73A9" w:rsidRPr="001F1FCC" w:rsidRDefault="00DC73A9" w:rsidP="001F1FCC">
            <w:pPr>
              <w:spacing w:line="240" w:lineRule="auto"/>
              <w:jc w:val="right"/>
              <w:rPr>
                <w:rFonts w:ascii="Arial Narrow" w:hAnsi="Arial Narrow" w:cs="Calibri"/>
                <w:b/>
                <w:bCs/>
                <w:color w:val="FFFFFF"/>
                <w:szCs w:val="18"/>
              </w:rPr>
            </w:pPr>
            <w:r w:rsidRPr="001F1FCC">
              <w:rPr>
                <w:rFonts w:ascii="Arial Narrow" w:hAnsi="Arial Narrow" w:cs="Calibri"/>
                <w:b/>
                <w:bCs/>
                <w:color w:val="FFFFFF"/>
                <w:szCs w:val="18"/>
              </w:rPr>
              <w:t>$Total Health Benefits per Therm (</w:t>
            </w:r>
            <w:r w:rsidR="00702B8A" w:rsidRPr="001F1FCC">
              <w:rPr>
                <w:rFonts w:ascii="Arial Narrow" w:hAnsi="Arial Narrow" w:cs="Calibri"/>
                <w:b/>
                <w:bCs/>
                <w:color w:val="FFFFFF"/>
                <w:szCs w:val="18"/>
              </w:rPr>
              <w:t>average</w:t>
            </w:r>
            <w:r w:rsidRPr="001F1FCC">
              <w:rPr>
                <w:rFonts w:ascii="Arial Narrow" w:hAnsi="Arial Narrow" w:cs="Calibri"/>
                <w:b/>
                <w:bCs/>
                <w:color w:val="FFFFFF"/>
                <w:szCs w:val="18"/>
              </w:rPr>
              <w:t>)</w:t>
            </w:r>
          </w:p>
        </w:tc>
      </w:tr>
      <w:tr w:rsidR="00265568" w:rsidRPr="001F1FCC" w14:paraId="208E21E7" w14:textId="77777777" w:rsidTr="00F577DE">
        <w:trPr>
          <w:trHeight w:val="270"/>
        </w:trPr>
        <w:tc>
          <w:tcPr>
            <w:tcW w:w="990" w:type="dxa"/>
            <w:tcBorders>
              <w:top w:val="nil"/>
              <w:left w:val="nil"/>
              <w:bottom w:val="nil"/>
              <w:right w:val="nil"/>
            </w:tcBorders>
            <w:shd w:val="clear" w:color="auto" w:fill="auto"/>
            <w:noWrap/>
            <w:vAlign w:val="center"/>
            <w:hideMark/>
          </w:tcPr>
          <w:p w14:paraId="2058D14D" w14:textId="53F3D465"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2022</w:t>
            </w:r>
          </w:p>
        </w:tc>
        <w:tc>
          <w:tcPr>
            <w:tcW w:w="1117" w:type="dxa"/>
            <w:tcBorders>
              <w:top w:val="nil"/>
              <w:left w:val="nil"/>
              <w:bottom w:val="nil"/>
              <w:right w:val="nil"/>
            </w:tcBorders>
            <w:shd w:val="clear" w:color="auto" w:fill="auto"/>
            <w:noWrap/>
            <w:vAlign w:val="center"/>
            <w:hideMark/>
          </w:tcPr>
          <w:p w14:paraId="0A624BA5" w14:textId="4630477B"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5,944,299 </w:t>
            </w:r>
          </w:p>
        </w:tc>
        <w:tc>
          <w:tcPr>
            <w:tcW w:w="1598" w:type="dxa"/>
            <w:tcBorders>
              <w:top w:val="nil"/>
              <w:left w:val="nil"/>
              <w:bottom w:val="nil"/>
              <w:right w:val="nil"/>
            </w:tcBorders>
            <w:shd w:val="clear" w:color="auto" w:fill="auto"/>
            <w:noWrap/>
            <w:vAlign w:val="center"/>
            <w:hideMark/>
          </w:tcPr>
          <w:p w14:paraId="77FCB628" w14:textId="50E30B7C"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$1,196,062 </w:t>
            </w:r>
          </w:p>
        </w:tc>
        <w:tc>
          <w:tcPr>
            <w:tcW w:w="1605" w:type="dxa"/>
            <w:tcBorders>
              <w:top w:val="nil"/>
              <w:left w:val="nil"/>
              <w:bottom w:val="nil"/>
              <w:right w:val="nil"/>
            </w:tcBorders>
            <w:shd w:val="clear" w:color="auto" w:fill="auto"/>
            <w:noWrap/>
            <w:vAlign w:val="center"/>
            <w:hideMark/>
          </w:tcPr>
          <w:p w14:paraId="34E505BB" w14:textId="5BECB088"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$0.2012 </w:t>
            </w:r>
          </w:p>
        </w:tc>
        <w:tc>
          <w:tcPr>
            <w:tcW w:w="1232" w:type="dxa"/>
            <w:tcBorders>
              <w:top w:val="nil"/>
              <w:left w:val="nil"/>
              <w:bottom w:val="nil"/>
              <w:right w:val="nil"/>
            </w:tcBorders>
            <w:shd w:val="clear" w:color="auto" w:fill="auto"/>
            <w:noWrap/>
            <w:vAlign w:val="center"/>
            <w:hideMark/>
          </w:tcPr>
          <w:p w14:paraId="5119B1AC" w14:textId="38A0792D"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3,968,899 </w:t>
            </w:r>
          </w:p>
        </w:tc>
        <w:tc>
          <w:tcPr>
            <w:tcW w:w="1217" w:type="dxa"/>
            <w:tcBorders>
              <w:top w:val="nil"/>
              <w:left w:val="nil"/>
              <w:bottom w:val="nil"/>
              <w:right w:val="nil"/>
            </w:tcBorders>
            <w:shd w:val="clear" w:color="auto" w:fill="auto"/>
            <w:noWrap/>
            <w:hideMark/>
          </w:tcPr>
          <w:p w14:paraId="61C1EC0C" w14:textId="18998675"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$816,490 </w:t>
            </w:r>
          </w:p>
        </w:tc>
        <w:tc>
          <w:tcPr>
            <w:tcW w:w="1601" w:type="dxa"/>
            <w:tcBorders>
              <w:top w:val="nil"/>
              <w:left w:val="nil"/>
              <w:bottom w:val="nil"/>
              <w:right w:val="nil"/>
            </w:tcBorders>
            <w:shd w:val="clear" w:color="auto" w:fill="auto"/>
            <w:noWrap/>
            <w:vAlign w:val="center"/>
            <w:hideMark/>
          </w:tcPr>
          <w:p w14:paraId="67897D05" w14:textId="2B81C034"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$0.2057 </w:t>
            </w:r>
          </w:p>
        </w:tc>
      </w:tr>
      <w:tr w:rsidR="00265568" w:rsidRPr="001F1FCC" w14:paraId="2D5281DA" w14:textId="77777777" w:rsidTr="00F577DE">
        <w:trPr>
          <w:trHeight w:val="255"/>
        </w:trPr>
        <w:tc>
          <w:tcPr>
            <w:tcW w:w="990" w:type="dxa"/>
            <w:tcBorders>
              <w:top w:val="nil"/>
              <w:left w:val="nil"/>
              <w:bottom w:val="nil"/>
              <w:right w:val="nil"/>
            </w:tcBorders>
            <w:shd w:val="clear" w:color="auto" w:fill="auto"/>
            <w:noWrap/>
            <w:vAlign w:val="center"/>
            <w:hideMark/>
          </w:tcPr>
          <w:p w14:paraId="07B762C7" w14:textId="3702238F"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2023</w:t>
            </w:r>
          </w:p>
        </w:tc>
        <w:tc>
          <w:tcPr>
            <w:tcW w:w="1117" w:type="dxa"/>
            <w:tcBorders>
              <w:top w:val="nil"/>
              <w:left w:val="nil"/>
              <w:bottom w:val="nil"/>
              <w:right w:val="nil"/>
            </w:tcBorders>
            <w:shd w:val="clear" w:color="auto" w:fill="auto"/>
            <w:noWrap/>
            <w:vAlign w:val="center"/>
            <w:hideMark/>
          </w:tcPr>
          <w:p w14:paraId="21552730" w14:textId="55FC8B02"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5,897,053 </w:t>
            </w:r>
          </w:p>
        </w:tc>
        <w:tc>
          <w:tcPr>
            <w:tcW w:w="1598" w:type="dxa"/>
            <w:tcBorders>
              <w:top w:val="nil"/>
              <w:left w:val="nil"/>
              <w:bottom w:val="nil"/>
              <w:right w:val="nil"/>
            </w:tcBorders>
            <w:shd w:val="clear" w:color="auto" w:fill="auto"/>
            <w:noWrap/>
            <w:vAlign w:val="center"/>
            <w:hideMark/>
          </w:tcPr>
          <w:p w14:paraId="5ACD2D6F" w14:textId="0E6F921A"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$1,193,341 </w:t>
            </w:r>
          </w:p>
        </w:tc>
        <w:tc>
          <w:tcPr>
            <w:tcW w:w="1605" w:type="dxa"/>
            <w:tcBorders>
              <w:top w:val="nil"/>
              <w:left w:val="nil"/>
              <w:bottom w:val="nil"/>
              <w:right w:val="nil"/>
            </w:tcBorders>
            <w:shd w:val="clear" w:color="auto" w:fill="auto"/>
            <w:noWrap/>
            <w:vAlign w:val="center"/>
            <w:hideMark/>
          </w:tcPr>
          <w:p w14:paraId="0C54E2BB" w14:textId="213D8FB7"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$0.2024 </w:t>
            </w:r>
          </w:p>
        </w:tc>
        <w:tc>
          <w:tcPr>
            <w:tcW w:w="1232" w:type="dxa"/>
            <w:tcBorders>
              <w:top w:val="nil"/>
              <w:left w:val="nil"/>
              <w:bottom w:val="nil"/>
              <w:right w:val="nil"/>
            </w:tcBorders>
            <w:shd w:val="clear" w:color="auto" w:fill="auto"/>
            <w:noWrap/>
            <w:vAlign w:val="center"/>
            <w:hideMark/>
          </w:tcPr>
          <w:p w14:paraId="2F8AC686" w14:textId="6658779F"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3,968,899 </w:t>
            </w:r>
          </w:p>
        </w:tc>
        <w:tc>
          <w:tcPr>
            <w:tcW w:w="1217" w:type="dxa"/>
            <w:tcBorders>
              <w:top w:val="nil"/>
              <w:left w:val="nil"/>
              <w:bottom w:val="nil"/>
              <w:right w:val="nil"/>
            </w:tcBorders>
            <w:shd w:val="clear" w:color="auto" w:fill="auto"/>
            <w:noWrap/>
            <w:hideMark/>
          </w:tcPr>
          <w:p w14:paraId="79EECB0F" w14:textId="157087F6"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$821,856 </w:t>
            </w:r>
          </w:p>
        </w:tc>
        <w:tc>
          <w:tcPr>
            <w:tcW w:w="1601" w:type="dxa"/>
            <w:tcBorders>
              <w:top w:val="nil"/>
              <w:left w:val="nil"/>
              <w:bottom w:val="nil"/>
              <w:right w:val="nil"/>
            </w:tcBorders>
            <w:shd w:val="clear" w:color="auto" w:fill="auto"/>
            <w:noWrap/>
            <w:vAlign w:val="center"/>
            <w:hideMark/>
          </w:tcPr>
          <w:p w14:paraId="58F0EA1F" w14:textId="3535D064"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$0.2071 </w:t>
            </w:r>
          </w:p>
        </w:tc>
      </w:tr>
      <w:tr w:rsidR="00265568" w:rsidRPr="001F1FCC" w14:paraId="1814DEB3" w14:textId="77777777" w:rsidTr="00F577DE">
        <w:trPr>
          <w:trHeight w:val="255"/>
        </w:trPr>
        <w:tc>
          <w:tcPr>
            <w:tcW w:w="990" w:type="dxa"/>
            <w:tcBorders>
              <w:top w:val="nil"/>
              <w:left w:val="nil"/>
              <w:bottom w:val="nil"/>
              <w:right w:val="nil"/>
            </w:tcBorders>
            <w:shd w:val="clear" w:color="auto" w:fill="auto"/>
            <w:noWrap/>
            <w:vAlign w:val="center"/>
            <w:hideMark/>
          </w:tcPr>
          <w:p w14:paraId="514C52D3" w14:textId="6F3D1696"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2024</w:t>
            </w:r>
          </w:p>
        </w:tc>
        <w:tc>
          <w:tcPr>
            <w:tcW w:w="1117" w:type="dxa"/>
            <w:tcBorders>
              <w:top w:val="nil"/>
              <w:left w:val="nil"/>
              <w:bottom w:val="nil"/>
              <w:right w:val="nil"/>
            </w:tcBorders>
            <w:shd w:val="clear" w:color="auto" w:fill="auto"/>
            <w:noWrap/>
            <w:vAlign w:val="center"/>
            <w:hideMark/>
          </w:tcPr>
          <w:p w14:paraId="78123F31" w14:textId="00C3751C"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5,788,718 </w:t>
            </w:r>
          </w:p>
        </w:tc>
        <w:tc>
          <w:tcPr>
            <w:tcW w:w="1598" w:type="dxa"/>
            <w:tcBorders>
              <w:top w:val="nil"/>
              <w:left w:val="nil"/>
              <w:bottom w:val="nil"/>
              <w:right w:val="nil"/>
            </w:tcBorders>
            <w:shd w:val="clear" w:color="auto" w:fill="auto"/>
            <w:noWrap/>
            <w:vAlign w:val="center"/>
            <w:hideMark/>
          </w:tcPr>
          <w:p w14:paraId="6F0F3322" w14:textId="20DD257C"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$1,171,491 </w:t>
            </w:r>
          </w:p>
        </w:tc>
        <w:tc>
          <w:tcPr>
            <w:tcW w:w="1605" w:type="dxa"/>
            <w:tcBorders>
              <w:top w:val="nil"/>
              <w:left w:val="nil"/>
              <w:bottom w:val="nil"/>
              <w:right w:val="nil"/>
            </w:tcBorders>
            <w:shd w:val="clear" w:color="auto" w:fill="auto"/>
            <w:noWrap/>
            <w:vAlign w:val="center"/>
            <w:hideMark/>
          </w:tcPr>
          <w:p w14:paraId="352994C4" w14:textId="2B3887D0"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$0.2024 </w:t>
            </w:r>
          </w:p>
        </w:tc>
        <w:tc>
          <w:tcPr>
            <w:tcW w:w="1232" w:type="dxa"/>
            <w:tcBorders>
              <w:top w:val="nil"/>
              <w:left w:val="nil"/>
              <w:bottom w:val="nil"/>
              <w:right w:val="nil"/>
            </w:tcBorders>
            <w:shd w:val="clear" w:color="auto" w:fill="auto"/>
            <w:noWrap/>
            <w:vAlign w:val="center"/>
            <w:hideMark/>
          </w:tcPr>
          <w:p w14:paraId="173CEEF5" w14:textId="6FF30067"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3,968,899 </w:t>
            </w:r>
          </w:p>
        </w:tc>
        <w:tc>
          <w:tcPr>
            <w:tcW w:w="1217" w:type="dxa"/>
            <w:tcBorders>
              <w:top w:val="nil"/>
              <w:left w:val="nil"/>
              <w:bottom w:val="nil"/>
              <w:right w:val="nil"/>
            </w:tcBorders>
            <w:shd w:val="clear" w:color="auto" w:fill="auto"/>
            <w:noWrap/>
            <w:hideMark/>
          </w:tcPr>
          <w:p w14:paraId="17A7F8FC" w14:textId="7A2EB827"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$821,856 </w:t>
            </w:r>
          </w:p>
        </w:tc>
        <w:tc>
          <w:tcPr>
            <w:tcW w:w="1601" w:type="dxa"/>
            <w:tcBorders>
              <w:top w:val="nil"/>
              <w:left w:val="nil"/>
              <w:bottom w:val="nil"/>
              <w:right w:val="nil"/>
            </w:tcBorders>
            <w:shd w:val="clear" w:color="auto" w:fill="auto"/>
            <w:noWrap/>
            <w:vAlign w:val="center"/>
            <w:hideMark/>
          </w:tcPr>
          <w:p w14:paraId="22079611" w14:textId="478DB3C0"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$0.2071 </w:t>
            </w:r>
          </w:p>
        </w:tc>
      </w:tr>
      <w:tr w:rsidR="00265568" w:rsidRPr="001F1FCC" w14:paraId="43FE551B" w14:textId="77777777" w:rsidTr="00F577DE">
        <w:trPr>
          <w:trHeight w:val="255"/>
        </w:trPr>
        <w:tc>
          <w:tcPr>
            <w:tcW w:w="990" w:type="dxa"/>
            <w:tcBorders>
              <w:top w:val="nil"/>
              <w:left w:val="nil"/>
              <w:bottom w:val="nil"/>
              <w:right w:val="nil"/>
            </w:tcBorders>
            <w:shd w:val="clear" w:color="auto" w:fill="auto"/>
            <w:noWrap/>
            <w:vAlign w:val="center"/>
            <w:hideMark/>
          </w:tcPr>
          <w:p w14:paraId="73B0284E" w14:textId="1327AFC3"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2025</w:t>
            </w:r>
          </w:p>
        </w:tc>
        <w:tc>
          <w:tcPr>
            <w:tcW w:w="1117" w:type="dxa"/>
            <w:tcBorders>
              <w:top w:val="nil"/>
              <w:left w:val="nil"/>
              <w:bottom w:val="nil"/>
              <w:right w:val="nil"/>
            </w:tcBorders>
            <w:shd w:val="clear" w:color="auto" w:fill="auto"/>
            <w:noWrap/>
            <w:vAlign w:val="center"/>
            <w:hideMark/>
          </w:tcPr>
          <w:p w14:paraId="480729C7" w14:textId="316508D7"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5,588,430 </w:t>
            </w:r>
          </w:p>
        </w:tc>
        <w:tc>
          <w:tcPr>
            <w:tcW w:w="1598" w:type="dxa"/>
            <w:tcBorders>
              <w:top w:val="nil"/>
              <w:left w:val="nil"/>
              <w:bottom w:val="nil"/>
              <w:right w:val="nil"/>
            </w:tcBorders>
            <w:shd w:val="clear" w:color="auto" w:fill="auto"/>
            <w:noWrap/>
            <w:vAlign w:val="center"/>
            <w:hideMark/>
          </w:tcPr>
          <w:p w14:paraId="55DA916E" w14:textId="0231EC03"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$1,131,205 </w:t>
            </w:r>
          </w:p>
        </w:tc>
        <w:tc>
          <w:tcPr>
            <w:tcW w:w="1605" w:type="dxa"/>
            <w:tcBorders>
              <w:top w:val="nil"/>
              <w:left w:val="nil"/>
              <w:bottom w:val="nil"/>
              <w:right w:val="nil"/>
            </w:tcBorders>
            <w:shd w:val="clear" w:color="auto" w:fill="auto"/>
            <w:noWrap/>
            <w:vAlign w:val="center"/>
            <w:hideMark/>
          </w:tcPr>
          <w:p w14:paraId="3D0A1682" w14:textId="66B1536A"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$0.2024 </w:t>
            </w:r>
          </w:p>
        </w:tc>
        <w:tc>
          <w:tcPr>
            <w:tcW w:w="1232" w:type="dxa"/>
            <w:tcBorders>
              <w:top w:val="nil"/>
              <w:left w:val="nil"/>
              <w:bottom w:val="nil"/>
              <w:right w:val="nil"/>
            </w:tcBorders>
            <w:shd w:val="clear" w:color="auto" w:fill="auto"/>
            <w:noWrap/>
            <w:vAlign w:val="center"/>
            <w:hideMark/>
          </w:tcPr>
          <w:p w14:paraId="470E4222" w14:textId="513E8C00"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3,344,715 </w:t>
            </w:r>
          </w:p>
        </w:tc>
        <w:tc>
          <w:tcPr>
            <w:tcW w:w="1217" w:type="dxa"/>
            <w:tcBorders>
              <w:top w:val="nil"/>
              <w:left w:val="nil"/>
              <w:bottom w:val="nil"/>
              <w:right w:val="nil"/>
            </w:tcBorders>
            <w:shd w:val="clear" w:color="auto" w:fill="auto"/>
            <w:noWrap/>
            <w:hideMark/>
          </w:tcPr>
          <w:p w14:paraId="090BE214" w14:textId="729DF1D7"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$692,548 </w:t>
            </w:r>
          </w:p>
        </w:tc>
        <w:tc>
          <w:tcPr>
            <w:tcW w:w="1601" w:type="dxa"/>
            <w:tcBorders>
              <w:top w:val="nil"/>
              <w:left w:val="nil"/>
              <w:bottom w:val="nil"/>
              <w:right w:val="nil"/>
            </w:tcBorders>
            <w:shd w:val="clear" w:color="auto" w:fill="auto"/>
            <w:noWrap/>
            <w:vAlign w:val="center"/>
            <w:hideMark/>
          </w:tcPr>
          <w:p w14:paraId="27ECD6EF" w14:textId="7F72BE74"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$0.2071 </w:t>
            </w:r>
          </w:p>
        </w:tc>
      </w:tr>
      <w:tr w:rsidR="00265568" w:rsidRPr="001F1FCC" w14:paraId="7BBDBE1A" w14:textId="77777777" w:rsidTr="00F577DE">
        <w:trPr>
          <w:trHeight w:val="255"/>
        </w:trPr>
        <w:tc>
          <w:tcPr>
            <w:tcW w:w="990" w:type="dxa"/>
            <w:tcBorders>
              <w:top w:val="nil"/>
              <w:left w:val="nil"/>
              <w:bottom w:val="nil"/>
              <w:right w:val="nil"/>
            </w:tcBorders>
            <w:shd w:val="clear" w:color="auto" w:fill="auto"/>
            <w:noWrap/>
            <w:vAlign w:val="center"/>
            <w:hideMark/>
          </w:tcPr>
          <w:p w14:paraId="0F13D530" w14:textId="1B01A93A"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2026</w:t>
            </w:r>
          </w:p>
        </w:tc>
        <w:tc>
          <w:tcPr>
            <w:tcW w:w="1117" w:type="dxa"/>
            <w:tcBorders>
              <w:top w:val="nil"/>
              <w:left w:val="nil"/>
              <w:bottom w:val="nil"/>
              <w:right w:val="nil"/>
            </w:tcBorders>
            <w:shd w:val="clear" w:color="auto" w:fill="auto"/>
            <w:noWrap/>
            <w:vAlign w:val="center"/>
            <w:hideMark/>
          </w:tcPr>
          <w:p w14:paraId="06E646E4" w14:textId="3C2AAA5F"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5,588,430 </w:t>
            </w:r>
          </w:p>
        </w:tc>
        <w:tc>
          <w:tcPr>
            <w:tcW w:w="1598" w:type="dxa"/>
            <w:tcBorders>
              <w:top w:val="nil"/>
              <w:left w:val="nil"/>
              <w:bottom w:val="nil"/>
              <w:right w:val="nil"/>
            </w:tcBorders>
            <w:shd w:val="clear" w:color="auto" w:fill="auto"/>
            <w:noWrap/>
            <w:vAlign w:val="center"/>
            <w:hideMark/>
          </w:tcPr>
          <w:p w14:paraId="4B3A5200" w14:textId="0A53DC19"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$1,131,205 </w:t>
            </w:r>
          </w:p>
        </w:tc>
        <w:tc>
          <w:tcPr>
            <w:tcW w:w="1605" w:type="dxa"/>
            <w:tcBorders>
              <w:top w:val="nil"/>
              <w:left w:val="nil"/>
              <w:bottom w:val="nil"/>
              <w:right w:val="nil"/>
            </w:tcBorders>
            <w:shd w:val="clear" w:color="auto" w:fill="auto"/>
            <w:noWrap/>
            <w:vAlign w:val="center"/>
            <w:hideMark/>
          </w:tcPr>
          <w:p w14:paraId="1768942F" w14:textId="364061F7"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$0.2024 </w:t>
            </w:r>
          </w:p>
        </w:tc>
        <w:tc>
          <w:tcPr>
            <w:tcW w:w="1232" w:type="dxa"/>
            <w:tcBorders>
              <w:top w:val="nil"/>
              <w:left w:val="nil"/>
              <w:bottom w:val="nil"/>
              <w:right w:val="nil"/>
            </w:tcBorders>
            <w:shd w:val="clear" w:color="auto" w:fill="auto"/>
            <w:noWrap/>
            <w:vAlign w:val="center"/>
            <w:hideMark/>
          </w:tcPr>
          <w:p w14:paraId="22097BCF" w14:textId="66F4622A"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3,344,715 </w:t>
            </w:r>
          </w:p>
        </w:tc>
        <w:tc>
          <w:tcPr>
            <w:tcW w:w="1217" w:type="dxa"/>
            <w:tcBorders>
              <w:top w:val="nil"/>
              <w:left w:val="nil"/>
              <w:bottom w:val="nil"/>
              <w:right w:val="nil"/>
            </w:tcBorders>
            <w:shd w:val="clear" w:color="auto" w:fill="auto"/>
            <w:noWrap/>
            <w:hideMark/>
          </w:tcPr>
          <w:p w14:paraId="60DF7888" w14:textId="17F642C3"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$692,548 </w:t>
            </w:r>
          </w:p>
        </w:tc>
        <w:tc>
          <w:tcPr>
            <w:tcW w:w="1601" w:type="dxa"/>
            <w:tcBorders>
              <w:top w:val="nil"/>
              <w:left w:val="nil"/>
              <w:bottom w:val="nil"/>
              <w:right w:val="nil"/>
            </w:tcBorders>
            <w:shd w:val="clear" w:color="auto" w:fill="auto"/>
            <w:noWrap/>
            <w:vAlign w:val="center"/>
            <w:hideMark/>
          </w:tcPr>
          <w:p w14:paraId="781FEC6B" w14:textId="029977DF"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$0.2071 </w:t>
            </w:r>
          </w:p>
        </w:tc>
      </w:tr>
      <w:tr w:rsidR="00265568" w:rsidRPr="001F1FCC" w14:paraId="79012754" w14:textId="77777777" w:rsidTr="00F577DE">
        <w:trPr>
          <w:trHeight w:val="255"/>
        </w:trPr>
        <w:tc>
          <w:tcPr>
            <w:tcW w:w="990" w:type="dxa"/>
            <w:tcBorders>
              <w:top w:val="nil"/>
              <w:left w:val="nil"/>
              <w:bottom w:val="nil"/>
              <w:right w:val="nil"/>
            </w:tcBorders>
            <w:shd w:val="clear" w:color="auto" w:fill="auto"/>
            <w:noWrap/>
            <w:vAlign w:val="center"/>
            <w:hideMark/>
          </w:tcPr>
          <w:p w14:paraId="3932E7C1" w14:textId="277AE75F"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2027</w:t>
            </w:r>
          </w:p>
        </w:tc>
        <w:tc>
          <w:tcPr>
            <w:tcW w:w="1117" w:type="dxa"/>
            <w:tcBorders>
              <w:top w:val="nil"/>
              <w:left w:val="nil"/>
              <w:bottom w:val="nil"/>
              <w:right w:val="nil"/>
            </w:tcBorders>
            <w:shd w:val="clear" w:color="auto" w:fill="auto"/>
            <w:noWrap/>
            <w:vAlign w:val="center"/>
            <w:hideMark/>
          </w:tcPr>
          <w:p w14:paraId="70F197C6" w14:textId="3E34700B"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4,811,107 </w:t>
            </w:r>
          </w:p>
        </w:tc>
        <w:tc>
          <w:tcPr>
            <w:tcW w:w="1598" w:type="dxa"/>
            <w:tcBorders>
              <w:top w:val="nil"/>
              <w:left w:val="nil"/>
              <w:bottom w:val="nil"/>
              <w:right w:val="nil"/>
            </w:tcBorders>
            <w:shd w:val="clear" w:color="auto" w:fill="auto"/>
            <w:noWrap/>
            <w:vAlign w:val="center"/>
            <w:hideMark/>
          </w:tcPr>
          <w:p w14:paraId="7F587DC3" w14:textId="340A37B5"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$973,904 </w:t>
            </w:r>
          </w:p>
        </w:tc>
        <w:tc>
          <w:tcPr>
            <w:tcW w:w="1605" w:type="dxa"/>
            <w:tcBorders>
              <w:top w:val="nil"/>
              <w:left w:val="nil"/>
              <w:bottom w:val="nil"/>
              <w:right w:val="nil"/>
            </w:tcBorders>
            <w:shd w:val="clear" w:color="auto" w:fill="auto"/>
            <w:noWrap/>
            <w:vAlign w:val="center"/>
            <w:hideMark/>
          </w:tcPr>
          <w:p w14:paraId="00DDA558" w14:textId="5E1B140B"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$0.2024 </w:t>
            </w:r>
          </w:p>
        </w:tc>
        <w:tc>
          <w:tcPr>
            <w:tcW w:w="1232" w:type="dxa"/>
            <w:tcBorders>
              <w:top w:val="nil"/>
              <w:left w:val="nil"/>
              <w:bottom w:val="nil"/>
              <w:right w:val="nil"/>
            </w:tcBorders>
            <w:shd w:val="clear" w:color="auto" w:fill="auto"/>
            <w:noWrap/>
            <w:vAlign w:val="center"/>
            <w:hideMark/>
          </w:tcPr>
          <w:p w14:paraId="521CCC0D" w14:textId="4B839797"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3,318,182 </w:t>
            </w:r>
          </w:p>
        </w:tc>
        <w:tc>
          <w:tcPr>
            <w:tcW w:w="1217" w:type="dxa"/>
            <w:tcBorders>
              <w:top w:val="nil"/>
              <w:left w:val="nil"/>
              <w:bottom w:val="nil"/>
              <w:right w:val="nil"/>
            </w:tcBorders>
            <w:shd w:val="clear" w:color="auto" w:fill="auto"/>
            <w:noWrap/>
            <w:hideMark/>
          </w:tcPr>
          <w:p w14:paraId="35CCF993" w14:textId="0EE2A970"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$687,477 </w:t>
            </w:r>
          </w:p>
        </w:tc>
        <w:tc>
          <w:tcPr>
            <w:tcW w:w="1601" w:type="dxa"/>
            <w:tcBorders>
              <w:top w:val="nil"/>
              <w:left w:val="nil"/>
              <w:bottom w:val="nil"/>
              <w:right w:val="nil"/>
            </w:tcBorders>
            <w:shd w:val="clear" w:color="auto" w:fill="auto"/>
            <w:noWrap/>
            <w:vAlign w:val="center"/>
            <w:hideMark/>
          </w:tcPr>
          <w:p w14:paraId="138F3C18" w14:textId="75AD8B10"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$0.2072 </w:t>
            </w:r>
          </w:p>
        </w:tc>
      </w:tr>
      <w:tr w:rsidR="00265568" w:rsidRPr="001F1FCC" w14:paraId="2820CF3C" w14:textId="77777777" w:rsidTr="00F577DE">
        <w:trPr>
          <w:trHeight w:val="255"/>
        </w:trPr>
        <w:tc>
          <w:tcPr>
            <w:tcW w:w="990" w:type="dxa"/>
            <w:tcBorders>
              <w:top w:val="nil"/>
              <w:left w:val="nil"/>
              <w:bottom w:val="nil"/>
              <w:right w:val="nil"/>
            </w:tcBorders>
            <w:shd w:val="clear" w:color="auto" w:fill="auto"/>
            <w:noWrap/>
            <w:vAlign w:val="center"/>
            <w:hideMark/>
          </w:tcPr>
          <w:p w14:paraId="3C4EADB6" w14:textId="0E11AD71"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2028</w:t>
            </w:r>
          </w:p>
        </w:tc>
        <w:tc>
          <w:tcPr>
            <w:tcW w:w="1117" w:type="dxa"/>
            <w:tcBorders>
              <w:top w:val="nil"/>
              <w:left w:val="nil"/>
              <w:bottom w:val="nil"/>
              <w:right w:val="nil"/>
            </w:tcBorders>
            <w:shd w:val="clear" w:color="auto" w:fill="auto"/>
            <w:noWrap/>
            <w:vAlign w:val="center"/>
            <w:hideMark/>
          </w:tcPr>
          <w:p w14:paraId="316B040C" w14:textId="533DC90E"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3,642,144 </w:t>
            </w:r>
          </w:p>
        </w:tc>
        <w:tc>
          <w:tcPr>
            <w:tcW w:w="1598" w:type="dxa"/>
            <w:tcBorders>
              <w:top w:val="nil"/>
              <w:left w:val="nil"/>
              <w:bottom w:val="nil"/>
              <w:right w:val="nil"/>
            </w:tcBorders>
            <w:shd w:val="clear" w:color="auto" w:fill="auto"/>
            <w:noWrap/>
            <w:vAlign w:val="center"/>
            <w:hideMark/>
          </w:tcPr>
          <w:p w14:paraId="71870D88" w14:textId="1B7162BB"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$763,976 </w:t>
            </w:r>
          </w:p>
        </w:tc>
        <w:tc>
          <w:tcPr>
            <w:tcW w:w="1605" w:type="dxa"/>
            <w:tcBorders>
              <w:top w:val="nil"/>
              <w:left w:val="nil"/>
              <w:bottom w:val="nil"/>
              <w:right w:val="nil"/>
            </w:tcBorders>
            <w:shd w:val="clear" w:color="auto" w:fill="auto"/>
            <w:noWrap/>
            <w:vAlign w:val="center"/>
            <w:hideMark/>
          </w:tcPr>
          <w:p w14:paraId="651F1E0E" w14:textId="6512263D"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$0.2098 </w:t>
            </w:r>
          </w:p>
        </w:tc>
        <w:tc>
          <w:tcPr>
            <w:tcW w:w="1232" w:type="dxa"/>
            <w:tcBorders>
              <w:top w:val="nil"/>
              <w:left w:val="nil"/>
              <w:bottom w:val="nil"/>
              <w:right w:val="nil"/>
            </w:tcBorders>
            <w:shd w:val="clear" w:color="auto" w:fill="auto"/>
            <w:noWrap/>
            <w:vAlign w:val="center"/>
            <w:hideMark/>
          </w:tcPr>
          <w:p w14:paraId="75D0DE77" w14:textId="41843D64"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1,849,999 </w:t>
            </w:r>
          </w:p>
        </w:tc>
        <w:tc>
          <w:tcPr>
            <w:tcW w:w="1217" w:type="dxa"/>
            <w:tcBorders>
              <w:top w:val="nil"/>
              <w:left w:val="nil"/>
              <w:bottom w:val="nil"/>
              <w:right w:val="nil"/>
            </w:tcBorders>
            <w:shd w:val="clear" w:color="auto" w:fill="auto"/>
            <w:noWrap/>
            <w:hideMark/>
          </w:tcPr>
          <w:p w14:paraId="68F38432" w14:textId="745FA93E"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$396,151 </w:t>
            </w:r>
          </w:p>
        </w:tc>
        <w:tc>
          <w:tcPr>
            <w:tcW w:w="1601" w:type="dxa"/>
            <w:tcBorders>
              <w:top w:val="nil"/>
              <w:left w:val="nil"/>
              <w:bottom w:val="nil"/>
              <w:right w:val="nil"/>
            </w:tcBorders>
            <w:shd w:val="clear" w:color="auto" w:fill="auto"/>
            <w:noWrap/>
            <w:vAlign w:val="center"/>
            <w:hideMark/>
          </w:tcPr>
          <w:p w14:paraId="612373DD" w14:textId="6F99DF94"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$0.2141 </w:t>
            </w:r>
          </w:p>
        </w:tc>
      </w:tr>
      <w:tr w:rsidR="00265568" w:rsidRPr="001F1FCC" w14:paraId="3342045D" w14:textId="77777777" w:rsidTr="00F577DE">
        <w:trPr>
          <w:trHeight w:val="255"/>
        </w:trPr>
        <w:tc>
          <w:tcPr>
            <w:tcW w:w="990" w:type="dxa"/>
            <w:tcBorders>
              <w:top w:val="nil"/>
              <w:left w:val="nil"/>
              <w:bottom w:val="nil"/>
              <w:right w:val="nil"/>
            </w:tcBorders>
            <w:shd w:val="clear" w:color="auto" w:fill="auto"/>
            <w:noWrap/>
            <w:vAlign w:val="center"/>
            <w:hideMark/>
          </w:tcPr>
          <w:p w14:paraId="0DBB047F" w14:textId="04DB8F1E"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2029</w:t>
            </w:r>
          </w:p>
        </w:tc>
        <w:tc>
          <w:tcPr>
            <w:tcW w:w="1117" w:type="dxa"/>
            <w:tcBorders>
              <w:top w:val="nil"/>
              <w:left w:val="nil"/>
              <w:bottom w:val="nil"/>
              <w:right w:val="nil"/>
            </w:tcBorders>
            <w:shd w:val="clear" w:color="auto" w:fill="auto"/>
            <w:noWrap/>
            <w:vAlign w:val="center"/>
            <w:hideMark/>
          </w:tcPr>
          <w:p w14:paraId="5AA82B7D" w14:textId="1E3C921C"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3,642,144 </w:t>
            </w:r>
          </w:p>
        </w:tc>
        <w:tc>
          <w:tcPr>
            <w:tcW w:w="1598" w:type="dxa"/>
            <w:tcBorders>
              <w:top w:val="nil"/>
              <w:left w:val="nil"/>
              <w:bottom w:val="nil"/>
              <w:right w:val="nil"/>
            </w:tcBorders>
            <w:shd w:val="clear" w:color="auto" w:fill="auto"/>
            <w:noWrap/>
            <w:vAlign w:val="center"/>
            <w:hideMark/>
          </w:tcPr>
          <w:p w14:paraId="009952D3" w14:textId="58E11F79"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$763,976 </w:t>
            </w:r>
          </w:p>
        </w:tc>
        <w:tc>
          <w:tcPr>
            <w:tcW w:w="1605" w:type="dxa"/>
            <w:tcBorders>
              <w:top w:val="nil"/>
              <w:left w:val="nil"/>
              <w:bottom w:val="nil"/>
              <w:right w:val="nil"/>
            </w:tcBorders>
            <w:shd w:val="clear" w:color="auto" w:fill="auto"/>
            <w:noWrap/>
            <w:vAlign w:val="center"/>
            <w:hideMark/>
          </w:tcPr>
          <w:p w14:paraId="150B1829" w14:textId="525F1E69"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$0.2098 </w:t>
            </w:r>
          </w:p>
        </w:tc>
        <w:tc>
          <w:tcPr>
            <w:tcW w:w="1232" w:type="dxa"/>
            <w:tcBorders>
              <w:top w:val="nil"/>
              <w:left w:val="nil"/>
              <w:bottom w:val="nil"/>
              <w:right w:val="nil"/>
            </w:tcBorders>
            <w:shd w:val="clear" w:color="auto" w:fill="auto"/>
            <w:noWrap/>
            <w:vAlign w:val="center"/>
            <w:hideMark/>
          </w:tcPr>
          <w:p w14:paraId="65AA9683" w14:textId="236EBE96"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1,839,868 </w:t>
            </w:r>
          </w:p>
        </w:tc>
        <w:tc>
          <w:tcPr>
            <w:tcW w:w="1217" w:type="dxa"/>
            <w:tcBorders>
              <w:top w:val="nil"/>
              <w:left w:val="nil"/>
              <w:bottom w:val="nil"/>
              <w:right w:val="nil"/>
            </w:tcBorders>
            <w:shd w:val="clear" w:color="auto" w:fill="auto"/>
            <w:noWrap/>
            <w:hideMark/>
          </w:tcPr>
          <w:p w14:paraId="5C5D1F14" w14:textId="57DEDBBA"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$394,051 </w:t>
            </w:r>
          </w:p>
        </w:tc>
        <w:tc>
          <w:tcPr>
            <w:tcW w:w="1601" w:type="dxa"/>
            <w:tcBorders>
              <w:top w:val="nil"/>
              <w:left w:val="nil"/>
              <w:bottom w:val="nil"/>
              <w:right w:val="nil"/>
            </w:tcBorders>
            <w:shd w:val="clear" w:color="auto" w:fill="auto"/>
            <w:noWrap/>
            <w:vAlign w:val="center"/>
            <w:hideMark/>
          </w:tcPr>
          <w:p w14:paraId="7B7E319B" w14:textId="48402141"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$0.2142 </w:t>
            </w:r>
          </w:p>
        </w:tc>
      </w:tr>
      <w:tr w:rsidR="00265568" w:rsidRPr="001F1FCC" w14:paraId="148B691E" w14:textId="77777777" w:rsidTr="00F577DE">
        <w:trPr>
          <w:trHeight w:val="255"/>
        </w:trPr>
        <w:tc>
          <w:tcPr>
            <w:tcW w:w="990" w:type="dxa"/>
            <w:tcBorders>
              <w:top w:val="nil"/>
              <w:left w:val="nil"/>
              <w:bottom w:val="nil"/>
              <w:right w:val="nil"/>
            </w:tcBorders>
            <w:shd w:val="clear" w:color="auto" w:fill="auto"/>
            <w:noWrap/>
            <w:vAlign w:val="center"/>
            <w:hideMark/>
          </w:tcPr>
          <w:p w14:paraId="06AE43C6" w14:textId="18521ED3"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2030</w:t>
            </w:r>
          </w:p>
        </w:tc>
        <w:tc>
          <w:tcPr>
            <w:tcW w:w="1117" w:type="dxa"/>
            <w:tcBorders>
              <w:top w:val="nil"/>
              <w:left w:val="nil"/>
              <w:bottom w:val="nil"/>
              <w:right w:val="nil"/>
            </w:tcBorders>
            <w:shd w:val="clear" w:color="auto" w:fill="auto"/>
            <w:noWrap/>
            <w:vAlign w:val="center"/>
            <w:hideMark/>
          </w:tcPr>
          <w:p w14:paraId="666AAA31" w14:textId="19DC848E"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3,546,260 </w:t>
            </w:r>
          </w:p>
        </w:tc>
        <w:tc>
          <w:tcPr>
            <w:tcW w:w="1598" w:type="dxa"/>
            <w:tcBorders>
              <w:top w:val="nil"/>
              <w:left w:val="nil"/>
              <w:bottom w:val="nil"/>
              <w:right w:val="nil"/>
            </w:tcBorders>
            <w:shd w:val="clear" w:color="auto" w:fill="auto"/>
            <w:noWrap/>
            <w:vAlign w:val="center"/>
            <w:hideMark/>
          </w:tcPr>
          <w:p w14:paraId="250FFA89" w14:textId="1B3AF3BA"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$745,811 </w:t>
            </w:r>
          </w:p>
        </w:tc>
        <w:tc>
          <w:tcPr>
            <w:tcW w:w="1605" w:type="dxa"/>
            <w:tcBorders>
              <w:top w:val="nil"/>
              <w:left w:val="nil"/>
              <w:bottom w:val="nil"/>
              <w:right w:val="nil"/>
            </w:tcBorders>
            <w:shd w:val="clear" w:color="auto" w:fill="auto"/>
            <w:noWrap/>
            <w:vAlign w:val="center"/>
            <w:hideMark/>
          </w:tcPr>
          <w:p w14:paraId="710B2059" w14:textId="7C532F86"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$0.2103 </w:t>
            </w:r>
          </w:p>
        </w:tc>
        <w:tc>
          <w:tcPr>
            <w:tcW w:w="1232" w:type="dxa"/>
            <w:tcBorders>
              <w:top w:val="nil"/>
              <w:left w:val="nil"/>
              <w:bottom w:val="nil"/>
              <w:right w:val="nil"/>
            </w:tcBorders>
            <w:shd w:val="clear" w:color="auto" w:fill="auto"/>
            <w:noWrap/>
            <w:vAlign w:val="center"/>
            <w:hideMark/>
          </w:tcPr>
          <w:p w14:paraId="52E4FA94" w14:textId="75BE3121"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1,585,433 </w:t>
            </w:r>
          </w:p>
        </w:tc>
        <w:tc>
          <w:tcPr>
            <w:tcW w:w="1217" w:type="dxa"/>
            <w:tcBorders>
              <w:top w:val="nil"/>
              <w:left w:val="nil"/>
              <w:bottom w:val="nil"/>
              <w:right w:val="nil"/>
            </w:tcBorders>
            <w:shd w:val="clear" w:color="auto" w:fill="auto"/>
            <w:noWrap/>
            <w:hideMark/>
          </w:tcPr>
          <w:p w14:paraId="356DF089" w14:textId="6FE9CB99"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$339,817 </w:t>
            </w:r>
          </w:p>
        </w:tc>
        <w:tc>
          <w:tcPr>
            <w:tcW w:w="1601" w:type="dxa"/>
            <w:tcBorders>
              <w:top w:val="nil"/>
              <w:left w:val="nil"/>
              <w:bottom w:val="nil"/>
              <w:right w:val="nil"/>
            </w:tcBorders>
            <w:shd w:val="clear" w:color="auto" w:fill="auto"/>
            <w:noWrap/>
            <w:vAlign w:val="center"/>
            <w:hideMark/>
          </w:tcPr>
          <w:p w14:paraId="55B17968" w14:textId="7EE6F2A3"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$0.2143 </w:t>
            </w:r>
          </w:p>
        </w:tc>
      </w:tr>
      <w:tr w:rsidR="00265568" w:rsidRPr="001F1FCC" w14:paraId="68AAF029" w14:textId="77777777" w:rsidTr="00F577DE">
        <w:trPr>
          <w:trHeight w:val="255"/>
        </w:trPr>
        <w:tc>
          <w:tcPr>
            <w:tcW w:w="990" w:type="dxa"/>
            <w:tcBorders>
              <w:top w:val="nil"/>
              <w:left w:val="nil"/>
              <w:bottom w:val="nil"/>
              <w:right w:val="nil"/>
            </w:tcBorders>
            <w:shd w:val="clear" w:color="auto" w:fill="auto"/>
            <w:noWrap/>
            <w:vAlign w:val="center"/>
            <w:hideMark/>
          </w:tcPr>
          <w:p w14:paraId="434C71AD" w14:textId="2B4D00C3"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2031</w:t>
            </w:r>
          </w:p>
        </w:tc>
        <w:tc>
          <w:tcPr>
            <w:tcW w:w="1117" w:type="dxa"/>
            <w:tcBorders>
              <w:top w:val="nil"/>
              <w:left w:val="nil"/>
              <w:bottom w:val="nil"/>
              <w:right w:val="nil"/>
            </w:tcBorders>
            <w:shd w:val="clear" w:color="auto" w:fill="auto"/>
            <w:noWrap/>
            <w:vAlign w:val="center"/>
            <w:hideMark/>
          </w:tcPr>
          <w:p w14:paraId="66B1C227" w14:textId="3128065A"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3,546,260 </w:t>
            </w:r>
          </w:p>
        </w:tc>
        <w:tc>
          <w:tcPr>
            <w:tcW w:w="1598" w:type="dxa"/>
            <w:tcBorders>
              <w:top w:val="nil"/>
              <w:left w:val="nil"/>
              <w:bottom w:val="nil"/>
              <w:right w:val="nil"/>
            </w:tcBorders>
            <w:shd w:val="clear" w:color="auto" w:fill="auto"/>
            <w:noWrap/>
            <w:vAlign w:val="center"/>
            <w:hideMark/>
          </w:tcPr>
          <w:p w14:paraId="4C7236DF" w14:textId="7A099C2E"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$745,811 </w:t>
            </w:r>
          </w:p>
        </w:tc>
        <w:tc>
          <w:tcPr>
            <w:tcW w:w="1605" w:type="dxa"/>
            <w:tcBorders>
              <w:top w:val="nil"/>
              <w:left w:val="nil"/>
              <w:bottom w:val="nil"/>
              <w:right w:val="nil"/>
            </w:tcBorders>
            <w:shd w:val="clear" w:color="auto" w:fill="auto"/>
            <w:noWrap/>
            <w:vAlign w:val="center"/>
            <w:hideMark/>
          </w:tcPr>
          <w:p w14:paraId="54AFE7A5" w14:textId="7608A809"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$0.2103 </w:t>
            </w:r>
          </w:p>
        </w:tc>
        <w:tc>
          <w:tcPr>
            <w:tcW w:w="1232" w:type="dxa"/>
            <w:tcBorders>
              <w:top w:val="nil"/>
              <w:left w:val="nil"/>
              <w:bottom w:val="nil"/>
              <w:right w:val="nil"/>
            </w:tcBorders>
            <w:shd w:val="clear" w:color="auto" w:fill="auto"/>
            <w:noWrap/>
            <w:vAlign w:val="center"/>
            <w:hideMark/>
          </w:tcPr>
          <w:p w14:paraId="7B568E96" w14:textId="6E9CFD66"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1,232,799 </w:t>
            </w:r>
          </w:p>
        </w:tc>
        <w:tc>
          <w:tcPr>
            <w:tcW w:w="1217" w:type="dxa"/>
            <w:tcBorders>
              <w:top w:val="nil"/>
              <w:left w:val="nil"/>
              <w:bottom w:val="nil"/>
              <w:right w:val="nil"/>
            </w:tcBorders>
            <w:shd w:val="clear" w:color="auto" w:fill="auto"/>
            <w:noWrap/>
            <w:hideMark/>
          </w:tcPr>
          <w:p w14:paraId="42A9150A" w14:textId="37F86DAC"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$264,571 </w:t>
            </w:r>
          </w:p>
        </w:tc>
        <w:tc>
          <w:tcPr>
            <w:tcW w:w="1601" w:type="dxa"/>
            <w:tcBorders>
              <w:top w:val="nil"/>
              <w:left w:val="nil"/>
              <w:bottom w:val="nil"/>
              <w:right w:val="nil"/>
            </w:tcBorders>
            <w:shd w:val="clear" w:color="auto" w:fill="auto"/>
            <w:noWrap/>
            <w:vAlign w:val="center"/>
            <w:hideMark/>
          </w:tcPr>
          <w:p w14:paraId="6B9906E8" w14:textId="361B4A0D"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$0.2146 </w:t>
            </w:r>
          </w:p>
        </w:tc>
      </w:tr>
      <w:tr w:rsidR="00265568" w:rsidRPr="001F1FCC" w14:paraId="0C9668C4" w14:textId="77777777" w:rsidTr="00F577DE">
        <w:trPr>
          <w:trHeight w:val="255"/>
        </w:trPr>
        <w:tc>
          <w:tcPr>
            <w:tcW w:w="990" w:type="dxa"/>
            <w:tcBorders>
              <w:top w:val="nil"/>
              <w:left w:val="nil"/>
              <w:bottom w:val="nil"/>
              <w:right w:val="nil"/>
            </w:tcBorders>
            <w:shd w:val="clear" w:color="auto" w:fill="auto"/>
            <w:noWrap/>
            <w:vAlign w:val="center"/>
            <w:hideMark/>
          </w:tcPr>
          <w:p w14:paraId="00CC34BB" w14:textId="0E85466C"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2032</w:t>
            </w:r>
          </w:p>
        </w:tc>
        <w:tc>
          <w:tcPr>
            <w:tcW w:w="1117" w:type="dxa"/>
            <w:tcBorders>
              <w:top w:val="nil"/>
              <w:left w:val="nil"/>
              <w:bottom w:val="nil"/>
              <w:right w:val="nil"/>
            </w:tcBorders>
            <w:shd w:val="clear" w:color="auto" w:fill="auto"/>
            <w:noWrap/>
            <w:vAlign w:val="center"/>
            <w:hideMark/>
          </w:tcPr>
          <w:p w14:paraId="350FA9A0" w14:textId="06EDE266"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3,140,904 </w:t>
            </w:r>
          </w:p>
        </w:tc>
        <w:tc>
          <w:tcPr>
            <w:tcW w:w="1598" w:type="dxa"/>
            <w:tcBorders>
              <w:top w:val="nil"/>
              <w:left w:val="nil"/>
              <w:bottom w:val="nil"/>
              <w:right w:val="nil"/>
            </w:tcBorders>
            <w:shd w:val="clear" w:color="auto" w:fill="auto"/>
            <w:noWrap/>
            <w:vAlign w:val="center"/>
            <w:hideMark/>
          </w:tcPr>
          <w:p w14:paraId="34EB21BD" w14:textId="482F29C7"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$658,454 </w:t>
            </w:r>
          </w:p>
        </w:tc>
        <w:tc>
          <w:tcPr>
            <w:tcW w:w="1605" w:type="dxa"/>
            <w:tcBorders>
              <w:top w:val="nil"/>
              <w:left w:val="nil"/>
              <w:bottom w:val="nil"/>
              <w:right w:val="nil"/>
            </w:tcBorders>
            <w:shd w:val="clear" w:color="auto" w:fill="auto"/>
            <w:noWrap/>
            <w:vAlign w:val="center"/>
            <w:hideMark/>
          </w:tcPr>
          <w:p w14:paraId="3B7A20FF" w14:textId="7A1A0838"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$0.2096 </w:t>
            </w:r>
          </w:p>
        </w:tc>
        <w:tc>
          <w:tcPr>
            <w:tcW w:w="1232" w:type="dxa"/>
            <w:tcBorders>
              <w:top w:val="nil"/>
              <w:left w:val="nil"/>
              <w:bottom w:val="nil"/>
              <w:right w:val="nil"/>
            </w:tcBorders>
            <w:shd w:val="clear" w:color="auto" w:fill="auto"/>
            <w:noWrap/>
            <w:vAlign w:val="center"/>
            <w:hideMark/>
          </w:tcPr>
          <w:p w14:paraId="5750A3D9" w14:textId="7C80C58B"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1,213,183 </w:t>
            </w:r>
          </w:p>
        </w:tc>
        <w:tc>
          <w:tcPr>
            <w:tcW w:w="1217" w:type="dxa"/>
            <w:tcBorders>
              <w:top w:val="nil"/>
              <w:left w:val="nil"/>
              <w:bottom w:val="nil"/>
              <w:right w:val="nil"/>
            </w:tcBorders>
            <w:shd w:val="clear" w:color="auto" w:fill="auto"/>
            <w:noWrap/>
            <w:hideMark/>
          </w:tcPr>
          <w:p w14:paraId="4BAAAFD2" w14:textId="5DDB9FB1"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$259,774 </w:t>
            </w:r>
          </w:p>
        </w:tc>
        <w:tc>
          <w:tcPr>
            <w:tcW w:w="1601" w:type="dxa"/>
            <w:tcBorders>
              <w:top w:val="nil"/>
              <w:left w:val="nil"/>
              <w:bottom w:val="nil"/>
              <w:right w:val="nil"/>
            </w:tcBorders>
            <w:shd w:val="clear" w:color="auto" w:fill="auto"/>
            <w:noWrap/>
            <w:vAlign w:val="center"/>
            <w:hideMark/>
          </w:tcPr>
          <w:p w14:paraId="6E27EC05" w14:textId="79AE5269"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$0.2141 </w:t>
            </w:r>
          </w:p>
        </w:tc>
      </w:tr>
      <w:tr w:rsidR="00265568" w:rsidRPr="001F1FCC" w14:paraId="21103AC7" w14:textId="77777777" w:rsidTr="00F577DE">
        <w:trPr>
          <w:trHeight w:val="255"/>
        </w:trPr>
        <w:tc>
          <w:tcPr>
            <w:tcW w:w="990" w:type="dxa"/>
            <w:tcBorders>
              <w:top w:val="nil"/>
              <w:left w:val="nil"/>
              <w:bottom w:val="nil"/>
              <w:right w:val="nil"/>
            </w:tcBorders>
            <w:shd w:val="clear" w:color="auto" w:fill="auto"/>
            <w:noWrap/>
            <w:vAlign w:val="center"/>
            <w:hideMark/>
          </w:tcPr>
          <w:p w14:paraId="013DDEE1" w14:textId="469D8418"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2033</w:t>
            </w:r>
          </w:p>
        </w:tc>
        <w:tc>
          <w:tcPr>
            <w:tcW w:w="1117" w:type="dxa"/>
            <w:tcBorders>
              <w:top w:val="nil"/>
              <w:left w:val="nil"/>
              <w:bottom w:val="nil"/>
              <w:right w:val="nil"/>
            </w:tcBorders>
            <w:shd w:val="clear" w:color="auto" w:fill="auto"/>
            <w:noWrap/>
            <w:vAlign w:val="center"/>
            <w:hideMark/>
          </w:tcPr>
          <w:p w14:paraId="3D9C0FA4" w14:textId="0E0415FD"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2,286,791 </w:t>
            </w:r>
          </w:p>
        </w:tc>
        <w:tc>
          <w:tcPr>
            <w:tcW w:w="1598" w:type="dxa"/>
            <w:tcBorders>
              <w:top w:val="nil"/>
              <w:left w:val="nil"/>
              <w:bottom w:val="nil"/>
              <w:right w:val="nil"/>
            </w:tcBorders>
            <w:shd w:val="clear" w:color="auto" w:fill="auto"/>
            <w:noWrap/>
            <w:vAlign w:val="center"/>
            <w:hideMark/>
          </w:tcPr>
          <w:p w14:paraId="2710DF5F" w14:textId="2E293D28"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$479,033 </w:t>
            </w:r>
          </w:p>
        </w:tc>
        <w:tc>
          <w:tcPr>
            <w:tcW w:w="1605" w:type="dxa"/>
            <w:tcBorders>
              <w:top w:val="nil"/>
              <w:left w:val="nil"/>
              <w:bottom w:val="nil"/>
              <w:right w:val="nil"/>
            </w:tcBorders>
            <w:shd w:val="clear" w:color="auto" w:fill="auto"/>
            <w:noWrap/>
            <w:vAlign w:val="center"/>
            <w:hideMark/>
          </w:tcPr>
          <w:p w14:paraId="4D5607D1" w14:textId="2D20084B"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$0.2095 </w:t>
            </w:r>
          </w:p>
        </w:tc>
        <w:tc>
          <w:tcPr>
            <w:tcW w:w="1232" w:type="dxa"/>
            <w:tcBorders>
              <w:top w:val="nil"/>
              <w:left w:val="nil"/>
              <w:bottom w:val="nil"/>
              <w:right w:val="nil"/>
            </w:tcBorders>
            <w:shd w:val="clear" w:color="auto" w:fill="auto"/>
            <w:noWrap/>
            <w:vAlign w:val="center"/>
            <w:hideMark/>
          </w:tcPr>
          <w:p w14:paraId="7876C1A0" w14:textId="734F318D"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1,211,881 </w:t>
            </w:r>
          </w:p>
        </w:tc>
        <w:tc>
          <w:tcPr>
            <w:tcW w:w="1217" w:type="dxa"/>
            <w:tcBorders>
              <w:top w:val="nil"/>
              <w:left w:val="nil"/>
              <w:bottom w:val="nil"/>
              <w:right w:val="nil"/>
            </w:tcBorders>
            <w:shd w:val="clear" w:color="auto" w:fill="auto"/>
            <w:noWrap/>
            <w:hideMark/>
          </w:tcPr>
          <w:p w14:paraId="7EEF1C1F" w14:textId="47113226"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$259,535 </w:t>
            </w:r>
          </w:p>
        </w:tc>
        <w:tc>
          <w:tcPr>
            <w:tcW w:w="1601" w:type="dxa"/>
            <w:tcBorders>
              <w:top w:val="nil"/>
              <w:left w:val="nil"/>
              <w:bottom w:val="nil"/>
              <w:right w:val="nil"/>
            </w:tcBorders>
            <w:shd w:val="clear" w:color="auto" w:fill="auto"/>
            <w:noWrap/>
            <w:vAlign w:val="center"/>
            <w:hideMark/>
          </w:tcPr>
          <w:p w14:paraId="3616BAFD" w14:textId="2314537F"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$0.2142 </w:t>
            </w:r>
          </w:p>
        </w:tc>
      </w:tr>
      <w:tr w:rsidR="00265568" w:rsidRPr="001F1FCC" w14:paraId="31922319" w14:textId="77777777" w:rsidTr="00F577DE">
        <w:trPr>
          <w:trHeight w:val="255"/>
        </w:trPr>
        <w:tc>
          <w:tcPr>
            <w:tcW w:w="990" w:type="dxa"/>
            <w:tcBorders>
              <w:top w:val="nil"/>
              <w:left w:val="nil"/>
              <w:bottom w:val="nil"/>
              <w:right w:val="nil"/>
            </w:tcBorders>
            <w:shd w:val="clear" w:color="auto" w:fill="auto"/>
            <w:noWrap/>
            <w:vAlign w:val="center"/>
            <w:hideMark/>
          </w:tcPr>
          <w:p w14:paraId="06ABA6FC" w14:textId="1B1C771F"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2034</w:t>
            </w:r>
          </w:p>
        </w:tc>
        <w:tc>
          <w:tcPr>
            <w:tcW w:w="1117" w:type="dxa"/>
            <w:tcBorders>
              <w:top w:val="nil"/>
              <w:left w:val="nil"/>
              <w:bottom w:val="nil"/>
              <w:right w:val="nil"/>
            </w:tcBorders>
            <w:shd w:val="clear" w:color="auto" w:fill="auto"/>
            <w:noWrap/>
            <w:vAlign w:val="center"/>
            <w:hideMark/>
          </w:tcPr>
          <w:p w14:paraId="0231B7FD" w14:textId="7B9D0DF5"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2,286,791 </w:t>
            </w:r>
          </w:p>
        </w:tc>
        <w:tc>
          <w:tcPr>
            <w:tcW w:w="1598" w:type="dxa"/>
            <w:tcBorders>
              <w:top w:val="nil"/>
              <w:left w:val="nil"/>
              <w:bottom w:val="nil"/>
              <w:right w:val="nil"/>
            </w:tcBorders>
            <w:shd w:val="clear" w:color="auto" w:fill="auto"/>
            <w:noWrap/>
            <w:vAlign w:val="center"/>
            <w:hideMark/>
          </w:tcPr>
          <w:p w14:paraId="486C1F5B" w14:textId="0E621398"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$479,033 </w:t>
            </w:r>
          </w:p>
        </w:tc>
        <w:tc>
          <w:tcPr>
            <w:tcW w:w="1605" w:type="dxa"/>
            <w:tcBorders>
              <w:top w:val="nil"/>
              <w:left w:val="nil"/>
              <w:bottom w:val="nil"/>
              <w:right w:val="nil"/>
            </w:tcBorders>
            <w:shd w:val="clear" w:color="auto" w:fill="auto"/>
            <w:noWrap/>
            <w:vAlign w:val="center"/>
            <w:hideMark/>
          </w:tcPr>
          <w:p w14:paraId="76FBB39C" w14:textId="1273DEBA"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$0.2095 </w:t>
            </w:r>
          </w:p>
        </w:tc>
        <w:tc>
          <w:tcPr>
            <w:tcW w:w="1232" w:type="dxa"/>
            <w:tcBorders>
              <w:top w:val="nil"/>
              <w:left w:val="nil"/>
              <w:bottom w:val="nil"/>
              <w:right w:val="nil"/>
            </w:tcBorders>
            <w:shd w:val="clear" w:color="auto" w:fill="auto"/>
            <w:noWrap/>
            <w:vAlign w:val="center"/>
            <w:hideMark/>
          </w:tcPr>
          <w:p w14:paraId="31265871" w14:textId="3C7E10F6"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1,210,725 </w:t>
            </w:r>
          </w:p>
        </w:tc>
        <w:tc>
          <w:tcPr>
            <w:tcW w:w="1217" w:type="dxa"/>
            <w:tcBorders>
              <w:top w:val="nil"/>
              <w:left w:val="nil"/>
              <w:bottom w:val="nil"/>
              <w:right w:val="nil"/>
            </w:tcBorders>
            <w:shd w:val="clear" w:color="auto" w:fill="auto"/>
            <w:noWrap/>
            <w:hideMark/>
          </w:tcPr>
          <w:p w14:paraId="271BA8C4" w14:textId="7BDD6468"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$259,336 </w:t>
            </w:r>
          </w:p>
        </w:tc>
        <w:tc>
          <w:tcPr>
            <w:tcW w:w="1601" w:type="dxa"/>
            <w:tcBorders>
              <w:top w:val="nil"/>
              <w:left w:val="nil"/>
              <w:bottom w:val="nil"/>
              <w:right w:val="nil"/>
            </w:tcBorders>
            <w:shd w:val="clear" w:color="auto" w:fill="auto"/>
            <w:noWrap/>
            <w:vAlign w:val="center"/>
            <w:hideMark/>
          </w:tcPr>
          <w:p w14:paraId="6B262624" w14:textId="24C91149"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$0.2142 </w:t>
            </w:r>
          </w:p>
        </w:tc>
      </w:tr>
      <w:tr w:rsidR="00265568" w:rsidRPr="001F1FCC" w14:paraId="3EF78D4C" w14:textId="77777777" w:rsidTr="00F577DE">
        <w:trPr>
          <w:trHeight w:val="255"/>
        </w:trPr>
        <w:tc>
          <w:tcPr>
            <w:tcW w:w="990" w:type="dxa"/>
            <w:tcBorders>
              <w:top w:val="nil"/>
              <w:left w:val="nil"/>
              <w:bottom w:val="nil"/>
              <w:right w:val="nil"/>
            </w:tcBorders>
            <w:shd w:val="clear" w:color="auto" w:fill="auto"/>
            <w:noWrap/>
            <w:vAlign w:val="center"/>
            <w:hideMark/>
          </w:tcPr>
          <w:p w14:paraId="4E593ED6" w14:textId="1B6F77AD"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2035</w:t>
            </w:r>
          </w:p>
        </w:tc>
        <w:tc>
          <w:tcPr>
            <w:tcW w:w="1117" w:type="dxa"/>
            <w:tcBorders>
              <w:top w:val="nil"/>
              <w:left w:val="nil"/>
              <w:bottom w:val="nil"/>
              <w:right w:val="nil"/>
            </w:tcBorders>
            <w:shd w:val="clear" w:color="auto" w:fill="auto"/>
            <w:noWrap/>
            <w:vAlign w:val="center"/>
            <w:hideMark/>
          </w:tcPr>
          <w:p w14:paraId="50CC7FE4" w14:textId="37D0BD05"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2,279,386 </w:t>
            </w:r>
          </w:p>
        </w:tc>
        <w:tc>
          <w:tcPr>
            <w:tcW w:w="1598" w:type="dxa"/>
            <w:tcBorders>
              <w:top w:val="nil"/>
              <w:left w:val="nil"/>
              <w:bottom w:val="nil"/>
              <w:right w:val="nil"/>
            </w:tcBorders>
            <w:shd w:val="clear" w:color="auto" w:fill="auto"/>
            <w:noWrap/>
            <w:vAlign w:val="center"/>
            <w:hideMark/>
          </w:tcPr>
          <w:p w14:paraId="50533A19" w14:textId="61714449"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$477,677 </w:t>
            </w:r>
          </w:p>
        </w:tc>
        <w:tc>
          <w:tcPr>
            <w:tcW w:w="1605" w:type="dxa"/>
            <w:tcBorders>
              <w:top w:val="nil"/>
              <w:left w:val="nil"/>
              <w:bottom w:val="nil"/>
              <w:right w:val="nil"/>
            </w:tcBorders>
            <w:shd w:val="clear" w:color="auto" w:fill="auto"/>
            <w:noWrap/>
            <w:vAlign w:val="center"/>
            <w:hideMark/>
          </w:tcPr>
          <w:p w14:paraId="23E8BCFB" w14:textId="2AA81A13"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$0.2096 </w:t>
            </w:r>
          </w:p>
        </w:tc>
        <w:tc>
          <w:tcPr>
            <w:tcW w:w="1232" w:type="dxa"/>
            <w:tcBorders>
              <w:top w:val="nil"/>
              <w:left w:val="nil"/>
              <w:bottom w:val="nil"/>
              <w:right w:val="nil"/>
            </w:tcBorders>
            <w:shd w:val="clear" w:color="auto" w:fill="auto"/>
            <w:noWrap/>
            <w:vAlign w:val="center"/>
            <w:hideMark/>
          </w:tcPr>
          <w:p w14:paraId="32A6B23D" w14:textId="34D73E6C"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933,957 </w:t>
            </w:r>
          </w:p>
        </w:tc>
        <w:tc>
          <w:tcPr>
            <w:tcW w:w="1217" w:type="dxa"/>
            <w:tcBorders>
              <w:top w:val="nil"/>
              <w:left w:val="nil"/>
              <w:bottom w:val="nil"/>
              <w:right w:val="nil"/>
            </w:tcBorders>
            <w:shd w:val="clear" w:color="auto" w:fill="auto"/>
            <w:noWrap/>
            <w:hideMark/>
          </w:tcPr>
          <w:p w14:paraId="4010ABD2" w14:textId="00F5CA56"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$199,788 </w:t>
            </w:r>
          </w:p>
        </w:tc>
        <w:tc>
          <w:tcPr>
            <w:tcW w:w="1601" w:type="dxa"/>
            <w:tcBorders>
              <w:top w:val="nil"/>
              <w:left w:val="nil"/>
              <w:bottom w:val="nil"/>
              <w:right w:val="nil"/>
            </w:tcBorders>
            <w:shd w:val="clear" w:color="auto" w:fill="auto"/>
            <w:noWrap/>
            <w:vAlign w:val="center"/>
            <w:hideMark/>
          </w:tcPr>
          <w:p w14:paraId="5A9C7313" w14:textId="7C09C2E5"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$0.2139 </w:t>
            </w:r>
          </w:p>
        </w:tc>
      </w:tr>
      <w:tr w:rsidR="00265568" w:rsidRPr="001F1FCC" w14:paraId="08CBC5AC" w14:textId="77777777" w:rsidTr="00F577DE">
        <w:trPr>
          <w:trHeight w:val="255"/>
        </w:trPr>
        <w:tc>
          <w:tcPr>
            <w:tcW w:w="990" w:type="dxa"/>
            <w:tcBorders>
              <w:top w:val="nil"/>
              <w:left w:val="nil"/>
              <w:bottom w:val="nil"/>
              <w:right w:val="nil"/>
            </w:tcBorders>
            <w:shd w:val="clear" w:color="auto" w:fill="auto"/>
            <w:noWrap/>
            <w:vAlign w:val="center"/>
            <w:hideMark/>
          </w:tcPr>
          <w:p w14:paraId="39F47DF1" w14:textId="560C651C"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2036</w:t>
            </w:r>
          </w:p>
        </w:tc>
        <w:tc>
          <w:tcPr>
            <w:tcW w:w="1117" w:type="dxa"/>
            <w:tcBorders>
              <w:top w:val="nil"/>
              <w:left w:val="nil"/>
              <w:bottom w:val="nil"/>
              <w:right w:val="nil"/>
            </w:tcBorders>
            <w:shd w:val="clear" w:color="auto" w:fill="auto"/>
            <w:noWrap/>
            <w:vAlign w:val="center"/>
            <w:hideMark/>
          </w:tcPr>
          <w:p w14:paraId="73905E84" w14:textId="6D4EF710"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2,279,364 </w:t>
            </w:r>
          </w:p>
        </w:tc>
        <w:tc>
          <w:tcPr>
            <w:tcW w:w="1598" w:type="dxa"/>
            <w:tcBorders>
              <w:top w:val="nil"/>
              <w:left w:val="nil"/>
              <w:bottom w:val="nil"/>
              <w:right w:val="nil"/>
            </w:tcBorders>
            <w:shd w:val="clear" w:color="auto" w:fill="auto"/>
            <w:noWrap/>
            <w:vAlign w:val="center"/>
            <w:hideMark/>
          </w:tcPr>
          <w:p w14:paraId="0486D13D" w14:textId="1F94DA1B"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$477,677 </w:t>
            </w:r>
          </w:p>
        </w:tc>
        <w:tc>
          <w:tcPr>
            <w:tcW w:w="1605" w:type="dxa"/>
            <w:tcBorders>
              <w:top w:val="nil"/>
              <w:left w:val="nil"/>
              <w:bottom w:val="nil"/>
              <w:right w:val="nil"/>
            </w:tcBorders>
            <w:shd w:val="clear" w:color="auto" w:fill="auto"/>
            <w:noWrap/>
            <w:vAlign w:val="center"/>
            <w:hideMark/>
          </w:tcPr>
          <w:p w14:paraId="4315B833" w14:textId="3F3046F9"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$0.2096 </w:t>
            </w:r>
          </w:p>
        </w:tc>
        <w:tc>
          <w:tcPr>
            <w:tcW w:w="1232" w:type="dxa"/>
            <w:tcBorders>
              <w:top w:val="nil"/>
              <w:left w:val="nil"/>
              <w:bottom w:val="nil"/>
              <w:right w:val="nil"/>
            </w:tcBorders>
            <w:shd w:val="clear" w:color="auto" w:fill="auto"/>
            <w:noWrap/>
            <w:vAlign w:val="center"/>
            <w:hideMark/>
          </w:tcPr>
          <w:p w14:paraId="3348485B" w14:textId="1FBCF451"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933,534 </w:t>
            </w:r>
          </w:p>
        </w:tc>
        <w:tc>
          <w:tcPr>
            <w:tcW w:w="1217" w:type="dxa"/>
            <w:tcBorders>
              <w:top w:val="nil"/>
              <w:left w:val="nil"/>
              <w:bottom w:val="nil"/>
              <w:right w:val="nil"/>
            </w:tcBorders>
            <w:shd w:val="clear" w:color="auto" w:fill="auto"/>
            <w:noWrap/>
            <w:hideMark/>
          </w:tcPr>
          <w:p w14:paraId="770C9E00" w14:textId="29EA1E25"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$199,709 </w:t>
            </w:r>
          </w:p>
        </w:tc>
        <w:tc>
          <w:tcPr>
            <w:tcW w:w="1601" w:type="dxa"/>
            <w:tcBorders>
              <w:top w:val="nil"/>
              <w:left w:val="nil"/>
              <w:bottom w:val="nil"/>
              <w:right w:val="nil"/>
            </w:tcBorders>
            <w:shd w:val="clear" w:color="auto" w:fill="auto"/>
            <w:noWrap/>
            <w:vAlign w:val="center"/>
            <w:hideMark/>
          </w:tcPr>
          <w:p w14:paraId="3A166920" w14:textId="550AEC79"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$0.2139 </w:t>
            </w:r>
          </w:p>
        </w:tc>
      </w:tr>
      <w:tr w:rsidR="00265568" w:rsidRPr="001F1FCC" w14:paraId="12B33C75" w14:textId="77777777" w:rsidTr="00F577DE">
        <w:trPr>
          <w:trHeight w:val="255"/>
        </w:trPr>
        <w:tc>
          <w:tcPr>
            <w:tcW w:w="990" w:type="dxa"/>
            <w:tcBorders>
              <w:top w:val="nil"/>
              <w:left w:val="nil"/>
              <w:bottom w:val="nil"/>
              <w:right w:val="nil"/>
            </w:tcBorders>
            <w:shd w:val="clear" w:color="auto" w:fill="auto"/>
            <w:noWrap/>
            <w:vAlign w:val="center"/>
            <w:hideMark/>
          </w:tcPr>
          <w:p w14:paraId="0C6B112F" w14:textId="0D3B40C2"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2037</w:t>
            </w:r>
          </w:p>
        </w:tc>
        <w:tc>
          <w:tcPr>
            <w:tcW w:w="1117" w:type="dxa"/>
            <w:tcBorders>
              <w:top w:val="nil"/>
              <w:left w:val="nil"/>
              <w:bottom w:val="nil"/>
              <w:right w:val="nil"/>
            </w:tcBorders>
            <w:shd w:val="clear" w:color="auto" w:fill="auto"/>
            <w:noWrap/>
            <w:vAlign w:val="center"/>
            <w:hideMark/>
          </w:tcPr>
          <w:p w14:paraId="027EE64F" w14:textId="6D2021B6"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1,920,573 </w:t>
            </w:r>
          </w:p>
        </w:tc>
        <w:tc>
          <w:tcPr>
            <w:tcW w:w="1598" w:type="dxa"/>
            <w:tcBorders>
              <w:top w:val="nil"/>
              <w:left w:val="nil"/>
              <w:bottom w:val="nil"/>
              <w:right w:val="nil"/>
            </w:tcBorders>
            <w:shd w:val="clear" w:color="auto" w:fill="auto"/>
            <w:noWrap/>
            <w:vAlign w:val="center"/>
            <w:hideMark/>
          </w:tcPr>
          <w:p w14:paraId="59561AF2" w14:textId="753D3A92"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$402,917 </w:t>
            </w:r>
          </w:p>
        </w:tc>
        <w:tc>
          <w:tcPr>
            <w:tcW w:w="1605" w:type="dxa"/>
            <w:tcBorders>
              <w:top w:val="nil"/>
              <w:left w:val="nil"/>
              <w:bottom w:val="nil"/>
              <w:right w:val="nil"/>
            </w:tcBorders>
            <w:shd w:val="clear" w:color="auto" w:fill="auto"/>
            <w:noWrap/>
            <w:vAlign w:val="center"/>
            <w:hideMark/>
          </w:tcPr>
          <w:p w14:paraId="5754A33C" w14:textId="674B027D"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$0.2098 </w:t>
            </w:r>
          </w:p>
        </w:tc>
        <w:tc>
          <w:tcPr>
            <w:tcW w:w="1232" w:type="dxa"/>
            <w:tcBorders>
              <w:top w:val="nil"/>
              <w:left w:val="nil"/>
              <w:bottom w:val="nil"/>
              <w:right w:val="nil"/>
            </w:tcBorders>
            <w:shd w:val="clear" w:color="auto" w:fill="auto"/>
            <w:noWrap/>
            <w:vAlign w:val="center"/>
            <w:hideMark/>
          </w:tcPr>
          <w:p w14:paraId="65072629" w14:textId="61129147"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690,358 </w:t>
            </w:r>
          </w:p>
        </w:tc>
        <w:tc>
          <w:tcPr>
            <w:tcW w:w="1217" w:type="dxa"/>
            <w:tcBorders>
              <w:top w:val="nil"/>
              <w:left w:val="nil"/>
              <w:bottom w:val="nil"/>
              <w:right w:val="nil"/>
            </w:tcBorders>
            <w:shd w:val="clear" w:color="auto" w:fill="auto"/>
            <w:noWrap/>
            <w:hideMark/>
          </w:tcPr>
          <w:p w14:paraId="5E4FEC47" w14:textId="4A3E0E8F"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$147,666 </w:t>
            </w:r>
          </w:p>
        </w:tc>
        <w:tc>
          <w:tcPr>
            <w:tcW w:w="1601" w:type="dxa"/>
            <w:tcBorders>
              <w:top w:val="nil"/>
              <w:left w:val="nil"/>
              <w:bottom w:val="nil"/>
              <w:right w:val="nil"/>
            </w:tcBorders>
            <w:shd w:val="clear" w:color="auto" w:fill="auto"/>
            <w:noWrap/>
            <w:vAlign w:val="center"/>
            <w:hideMark/>
          </w:tcPr>
          <w:p w14:paraId="3B284386" w14:textId="78F97938"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$0.2139 </w:t>
            </w:r>
          </w:p>
        </w:tc>
      </w:tr>
      <w:tr w:rsidR="00265568" w:rsidRPr="001F1FCC" w14:paraId="2BE6CEFD" w14:textId="77777777" w:rsidTr="00F577DE">
        <w:trPr>
          <w:trHeight w:val="255"/>
        </w:trPr>
        <w:tc>
          <w:tcPr>
            <w:tcW w:w="990" w:type="dxa"/>
            <w:tcBorders>
              <w:top w:val="nil"/>
              <w:left w:val="nil"/>
              <w:bottom w:val="nil"/>
              <w:right w:val="nil"/>
            </w:tcBorders>
            <w:shd w:val="clear" w:color="auto" w:fill="auto"/>
            <w:noWrap/>
            <w:vAlign w:val="center"/>
            <w:hideMark/>
          </w:tcPr>
          <w:p w14:paraId="012300A4" w14:textId="11DC4B39"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2038</w:t>
            </w:r>
          </w:p>
        </w:tc>
        <w:tc>
          <w:tcPr>
            <w:tcW w:w="1117" w:type="dxa"/>
            <w:tcBorders>
              <w:top w:val="nil"/>
              <w:left w:val="nil"/>
              <w:bottom w:val="nil"/>
              <w:right w:val="nil"/>
            </w:tcBorders>
            <w:shd w:val="clear" w:color="auto" w:fill="auto"/>
            <w:noWrap/>
            <w:vAlign w:val="center"/>
            <w:hideMark/>
          </w:tcPr>
          <w:p w14:paraId="36DC4688" w14:textId="2158405A"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1,917,977 </w:t>
            </w:r>
          </w:p>
        </w:tc>
        <w:tc>
          <w:tcPr>
            <w:tcW w:w="1598" w:type="dxa"/>
            <w:tcBorders>
              <w:top w:val="nil"/>
              <w:left w:val="nil"/>
              <w:bottom w:val="nil"/>
              <w:right w:val="nil"/>
            </w:tcBorders>
            <w:shd w:val="clear" w:color="auto" w:fill="auto"/>
            <w:noWrap/>
            <w:vAlign w:val="center"/>
            <w:hideMark/>
          </w:tcPr>
          <w:p w14:paraId="3B8A96AA" w14:textId="6C7D76F0"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$402,259 </w:t>
            </w:r>
          </w:p>
        </w:tc>
        <w:tc>
          <w:tcPr>
            <w:tcW w:w="1605" w:type="dxa"/>
            <w:tcBorders>
              <w:top w:val="nil"/>
              <w:left w:val="nil"/>
              <w:bottom w:val="nil"/>
              <w:right w:val="nil"/>
            </w:tcBorders>
            <w:shd w:val="clear" w:color="auto" w:fill="auto"/>
            <w:noWrap/>
            <w:vAlign w:val="center"/>
            <w:hideMark/>
          </w:tcPr>
          <w:p w14:paraId="4EC2D318" w14:textId="218733D5"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$0.2097 </w:t>
            </w:r>
          </w:p>
        </w:tc>
        <w:tc>
          <w:tcPr>
            <w:tcW w:w="1232" w:type="dxa"/>
            <w:tcBorders>
              <w:top w:val="nil"/>
              <w:left w:val="nil"/>
              <w:bottom w:val="nil"/>
              <w:right w:val="nil"/>
            </w:tcBorders>
            <w:shd w:val="clear" w:color="auto" w:fill="auto"/>
            <w:noWrap/>
            <w:vAlign w:val="center"/>
            <w:hideMark/>
          </w:tcPr>
          <w:p w14:paraId="232929AB" w14:textId="7E701EA8"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676,956 </w:t>
            </w:r>
          </w:p>
        </w:tc>
        <w:tc>
          <w:tcPr>
            <w:tcW w:w="1217" w:type="dxa"/>
            <w:tcBorders>
              <w:top w:val="nil"/>
              <w:left w:val="nil"/>
              <w:bottom w:val="nil"/>
              <w:right w:val="nil"/>
            </w:tcBorders>
            <w:shd w:val="clear" w:color="auto" w:fill="auto"/>
            <w:noWrap/>
            <w:hideMark/>
          </w:tcPr>
          <w:p w14:paraId="7D3058D0" w14:textId="19F8A2E7"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$145,077 </w:t>
            </w:r>
          </w:p>
        </w:tc>
        <w:tc>
          <w:tcPr>
            <w:tcW w:w="1601" w:type="dxa"/>
            <w:tcBorders>
              <w:top w:val="nil"/>
              <w:left w:val="nil"/>
              <w:bottom w:val="nil"/>
              <w:right w:val="nil"/>
            </w:tcBorders>
            <w:shd w:val="clear" w:color="auto" w:fill="auto"/>
            <w:noWrap/>
            <w:vAlign w:val="center"/>
            <w:hideMark/>
          </w:tcPr>
          <w:p w14:paraId="42CC1FA5" w14:textId="0C53AB4F"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$0.2143 </w:t>
            </w:r>
          </w:p>
        </w:tc>
      </w:tr>
      <w:tr w:rsidR="00265568" w:rsidRPr="001F1FCC" w14:paraId="4D3B3D3B" w14:textId="77777777" w:rsidTr="00F577DE">
        <w:trPr>
          <w:trHeight w:val="255"/>
        </w:trPr>
        <w:tc>
          <w:tcPr>
            <w:tcW w:w="990" w:type="dxa"/>
            <w:tcBorders>
              <w:top w:val="nil"/>
              <w:left w:val="nil"/>
              <w:bottom w:val="nil"/>
              <w:right w:val="nil"/>
            </w:tcBorders>
            <w:shd w:val="clear" w:color="auto" w:fill="auto"/>
            <w:noWrap/>
            <w:vAlign w:val="center"/>
            <w:hideMark/>
          </w:tcPr>
          <w:p w14:paraId="509F95C7" w14:textId="3B491839"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2039</w:t>
            </w:r>
          </w:p>
        </w:tc>
        <w:tc>
          <w:tcPr>
            <w:tcW w:w="1117" w:type="dxa"/>
            <w:tcBorders>
              <w:top w:val="nil"/>
              <w:left w:val="nil"/>
              <w:bottom w:val="nil"/>
              <w:right w:val="nil"/>
            </w:tcBorders>
            <w:shd w:val="clear" w:color="auto" w:fill="auto"/>
            <w:noWrap/>
            <w:vAlign w:val="center"/>
            <w:hideMark/>
          </w:tcPr>
          <w:p w14:paraId="1541D347" w14:textId="1C716E8F"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1,855,227 </w:t>
            </w:r>
          </w:p>
        </w:tc>
        <w:tc>
          <w:tcPr>
            <w:tcW w:w="1598" w:type="dxa"/>
            <w:tcBorders>
              <w:top w:val="nil"/>
              <w:left w:val="nil"/>
              <w:bottom w:val="nil"/>
              <w:right w:val="nil"/>
            </w:tcBorders>
            <w:shd w:val="clear" w:color="auto" w:fill="auto"/>
            <w:noWrap/>
            <w:vAlign w:val="center"/>
            <w:hideMark/>
          </w:tcPr>
          <w:p w14:paraId="1953186C" w14:textId="2DFED324"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$388,585 </w:t>
            </w:r>
          </w:p>
        </w:tc>
        <w:tc>
          <w:tcPr>
            <w:tcW w:w="1605" w:type="dxa"/>
            <w:tcBorders>
              <w:top w:val="nil"/>
              <w:left w:val="nil"/>
              <w:bottom w:val="nil"/>
              <w:right w:val="nil"/>
            </w:tcBorders>
            <w:shd w:val="clear" w:color="auto" w:fill="auto"/>
            <w:noWrap/>
            <w:vAlign w:val="center"/>
            <w:hideMark/>
          </w:tcPr>
          <w:p w14:paraId="23DCA19B" w14:textId="4E98E6B5"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$0.2095 </w:t>
            </w:r>
          </w:p>
        </w:tc>
        <w:tc>
          <w:tcPr>
            <w:tcW w:w="1232" w:type="dxa"/>
            <w:tcBorders>
              <w:top w:val="nil"/>
              <w:left w:val="nil"/>
              <w:bottom w:val="nil"/>
              <w:right w:val="nil"/>
            </w:tcBorders>
            <w:shd w:val="clear" w:color="auto" w:fill="auto"/>
            <w:noWrap/>
            <w:vAlign w:val="center"/>
            <w:hideMark/>
          </w:tcPr>
          <w:p w14:paraId="62307DE4" w14:textId="69AD50A9"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674,663 </w:t>
            </w:r>
          </w:p>
        </w:tc>
        <w:tc>
          <w:tcPr>
            <w:tcW w:w="1217" w:type="dxa"/>
            <w:tcBorders>
              <w:top w:val="nil"/>
              <w:left w:val="nil"/>
              <w:bottom w:val="nil"/>
              <w:right w:val="nil"/>
            </w:tcBorders>
            <w:shd w:val="clear" w:color="auto" w:fill="auto"/>
            <w:noWrap/>
            <w:hideMark/>
          </w:tcPr>
          <w:p w14:paraId="795A71B6" w14:textId="5528FC15"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$144,639 </w:t>
            </w:r>
          </w:p>
        </w:tc>
        <w:tc>
          <w:tcPr>
            <w:tcW w:w="1601" w:type="dxa"/>
            <w:tcBorders>
              <w:top w:val="nil"/>
              <w:left w:val="nil"/>
              <w:bottom w:val="nil"/>
              <w:right w:val="nil"/>
            </w:tcBorders>
            <w:shd w:val="clear" w:color="auto" w:fill="auto"/>
            <w:noWrap/>
            <w:vAlign w:val="center"/>
            <w:hideMark/>
          </w:tcPr>
          <w:p w14:paraId="1DC943D0" w14:textId="1D9B29D8"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$0.2144 </w:t>
            </w:r>
          </w:p>
        </w:tc>
      </w:tr>
      <w:tr w:rsidR="00265568" w:rsidRPr="001F1FCC" w14:paraId="6096A036" w14:textId="77777777" w:rsidTr="00F577DE">
        <w:trPr>
          <w:trHeight w:val="255"/>
        </w:trPr>
        <w:tc>
          <w:tcPr>
            <w:tcW w:w="990" w:type="dxa"/>
            <w:tcBorders>
              <w:top w:val="nil"/>
              <w:left w:val="nil"/>
              <w:bottom w:val="nil"/>
              <w:right w:val="nil"/>
            </w:tcBorders>
            <w:shd w:val="clear" w:color="auto" w:fill="auto"/>
            <w:noWrap/>
            <w:vAlign w:val="center"/>
            <w:hideMark/>
          </w:tcPr>
          <w:p w14:paraId="74A8E2E3" w14:textId="0ADDACE5"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2040</w:t>
            </w:r>
          </w:p>
        </w:tc>
        <w:tc>
          <w:tcPr>
            <w:tcW w:w="1117" w:type="dxa"/>
            <w:tcBorders>
              <w:top w:val="nil"/>
              <w:left w:val="nil"/>
              <w:bottom w:val="nil"/>
              <w:right w:val="nil"/>
            </w:tcBorders>
            <w:shd w:val="clear" w:color="auto" w:fill="auto"/>
            <w:noWrap/>
            <w:vAlign w:val="center"/>
            <w:hideMark/>
          </w:tcPr>
          <w:p w14:paraId="0E15123C" w14:textId="1EC744F9"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1,855,227 </w:t>
            </w:r>
          </w:p>
        </w:tc>
        <w:tc>
          <w:tcPr>
            <w:tcW w:w="1598" w:type="dxa"/>
            <w:tcBorders>
              <w:top w:val="nil"/>
              <w:left w:val="nil"/>
              <w:bottom w:val="nil"/>
              <w:right w:val="nil"/>
            </w:tcBorders>
            <w:shd w:val="clear" w:color="auto" w:fill="auto"/>
            <w:noWrap/>
            <w:vAlign w:val="center"/>
            <w:hideMark/>
          </w:tcPr>
          <w:p w14:paraId="59692D56" w14:textId="6BDDC459"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$388,585 </w:t>
            </w:r>
          </w:p>
        </w:tc>
        <w:tc>
          <w:tcPr>
            <w:tcW w:w="1605" w:type="dxa"/>
            <w:tcBorders>
              <w:top w:val="nil"/>
              <w:left w:val="nil"/>
              <w:bottom w:val="nil"/>
              <w:right w:val="nil"/>
            </w:tcBorders>
            <w:shd w:val="clear" w:color="auto" w:fill="auto"/>
            <w:noWrap/>
            <w:vAlign w:val="center"/>
            <w:hideMark/>
          </w:tcPr>
          <w:p w14:paraId="32FD1628" w14:textId="1A7C5841"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$0.2095 </w:t>
            </w:r>
          </w:p>
        </w:tc>
        <w:tc>
          <w:tcPr>
            <w:tcW w:w="1232" w:type="dxa"/>
            <w:tcBorders>
              <w:top w:val="nil"/>
              <w:left w:val="nil"/>
              <w:bottom w:val="nil"/>
              <w:right w:val="nil"/>
            </w:tcBorders>
            <w:shd w:val="clear" w:color="auto" w:fill="auto"/>
            <w:noWrap/>
            <w:vAlign w:val="center"/>
            <w:hideMark/>
          </w:tcPr>
          <w:p w14:paraId="3247D52C" w14:textId="29ABFA9C"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674,663 </w:t>
            </w:r>
          </w:p>
        </w:tc>
        <w:tc>
          <w:tcPr>
            <w:tcW w:w="1217" w:type="dxa"/>
            <w:tcBorders>
              <w:top w:val="nil"/>
              <w:left w:val="nil"/>
              <w:bottom w:val="nil"/>
              <w:right w:val="nil"/>
            </w:tcBorders>
            <w:shd w:val="clear" w:color="auto" w:fill="auto"/>
            <w:noWrap/>
            <w:hideMark/>
          </w:tcPr>
          <w:p w14:paraId="08C9CE42" w14:textId="76C820CF"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$144,639 </w:t>
            </w:r>
          </w:p>
        </w:tc>
        <w:tc>
          <w:tcPr>
            <w:tcW w:w="1601" w:type="dxa"/>
            <w:tcBorders>
              <w:top w:val="nil"/>
              <w:left w:val="nil"/>
              <w:bottom w:val="nil"/>
              <w:right w:val="nil"/>
            </w:tcBorders>
            <w:shd w:val="clear" w:color="auto" w:fill="auto"/>
            <w:noWrap/>
            <w:vAlign w:val="center"/>
            <w:hideMark/>
          </w:tcPr>
          <w:p w14:paraId="40FA6237" w14:textId="0FCF4C57"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$0.2144 </w:t>
            </w:r>
          </w:p>
        </w:tc>
      </w:tr>
      <w:tr w:rsidR="00265568" w:rsidRPr="001F1FCC" w14:paraId="3C35AE60" w14:textId="77777777" w:rsidTr="00F577DE">
        <w:trPr>
          <w:trHeight w:val="255"/>
        </w:trPr>
        <w:tc>
          <w:tcPr>
            <w:tcW w:w="990" w:type="dxa"/>
            <w:tcBorders>
              <w:top w:val="nil"/>
              <w:left w:val="nil"/>
              <w:bottom w:val="nil"/>
              <w:right w:val="nil"/>
            </w:tcBorders>
            <w:shd w:val="clear" w:color="auto" w:fill="auto"/>
            <w:noWrap/>
            <w:vAlign w:val="center"/>
            <w:hideMark/>
          </w:tcPr>
          <w:p w14:paraId="0D8D155B" w14:textId="7BB25C95"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2041</w:t>
            </w:r>
          </w:p>
        </w:tc>
        <w:tc>
          <w:tcPr>
            <w:tcW w:w="1117" w:type="dxa"/>
            <w:tcBorders>
              <w:top w:val="nil"/>
              <w:left w:val="nil"/>
              <w:bottom w:val="nil"/>
              <w:right w:val="nil"/>
            </w:tcBorders>
            <w:shd w:val="clear" w:color="auto" w:fill="auto"/>
            <w:noWrap/>
            <w:vAlign w:val="center"/>
            <w:hideMark/>
          </w:tcPr>
          <w:p w14:paraId="78790073" w14:textId="6088E739"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1,852,049 </w:t>
            </w:r>
          </w:p>
        </w:tc>
        <w:tc>
          <w:tcPr>
            <w:tcW w:w="1598" w:type="dxa"/>
            <w:tcBorders>
              <w:top w:val="nil"/>
              <w:left w:val="nil"/>
              <w:bottom w:val="nil"/>
              <w:right w:val="nil"/>
            </w:tcBorders>
            <w:shd w:val="clear" w:color="auto" w:fill="auto"/>
            <w:noWrap/>
            <w:vAlign w:val="center"/>
            <w:hideMark/>
          </w:tcPr>
          <w:p w14:paraId="5513250D" w14:textId="5AF1C40A"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$388,009 </w:t>
            </w:r>
          </w:p>
        </w:tc>
        <w:tc>
          <w:tcPr>
            <w:tcW w:w="1605" w:type="dxa"/>
            <w:tcBorders>
              <w:top w:val="nil"/>
              <w:left w:val="nil"/>
              <w:bottom w:val="nil"/>
              <w:right w:val="nil"/>
            </w:tcBorders>
            <w:shd w:val="clear" w:color="auto" w:fill="auto"/>
            <w:noWrap/>
            <w:vAlign w:val="center"/>
            <w:hideMark/>
          </w:tcPr>
          <w:p w14:paraId="5A814581" w14:textId="096DD3D2"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$0.2095 </w:t>
            </w:r>
          </w:p>
        </w:tc>
        <w:tc>
          <w:tcPr>
            <w:tcW w:w="1232" w:type="dxa"/>
            <w:tcBorders>
              <w:top w:val="nil"/>
              <w:left w:val="nil"/>
              <w:bottom w:val="nil"/>
              <w:right w:val="nil"/>
            </w:tcBorders>
            <w:shd w:val="clear" w:color="auto" w:fill="auto"/>
            <w:noWrap/>
            <w:vAlign w:val="center"/>
            <w:hideMark/>
          </w:tcPr>
          <w:p w14:paraId="2C544147" w14:textId="33271BFD"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674,663 </w:t>
            </w:r>
          </w:p>
        </w:tc>
        <w:tc>
          <w:tcPr>
            <w:tcW w:w="1217" w:type="dxa"/>
            <w:tcBorders>
              <w:top w:val="nil"/>
              <w:left w:val="nil"/>
              <w:bottom w:val="nil"/>
              <w:right w:val="nil"/>
            </w:tcBorders>
            <w:shd w:val="clear" w:color="auto" w:fill="auto"/>
            <w:noWrap/>
            <w:hideMark/>
          </w:tcPr>
          <w:p w14:paraId="37590B59" w14:textId="64FDF925"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$144,639 </w:t>
            </w:r>
          </w:p>
        </w:tc>
        <w:tc>
          <w:tcPr>
            <w:tcW w:w="1601" w:type="dxa"/>
            <w:tcBorders>
              <w:top w:val="nil"/>
              <w:left w:val="nil"/>
              <w:bottom w:val="nil"/>
              <w:right w:val="nil"/>
            </w:tcBorders>
            <w:shd w:val="clear" w:color="auto" w:fill="auto"/>
            <w:noWrap/>
            <w:vAlign w:val="center"/>
            <w:hideMark/>
          </w:tcPr>
          <w:p w14:paraId="6E1524E7" w14:textId="6D2879E1"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$0.2144 </w:t>
            </w:r>
          </w:p>
        </w:tc>
      </w:tr>
      <w:tr w:rsidR="00265568" w:rsidRPr="001F1FCC" w14:paraId="0F3CB964" w14:textId="77777777" w:rsidTr="00F577DE">
        <w:trPr>
          <w:trHeight w:val="255"/>
        </w:trPr>
        <w:tc>
          <w:tcPr>
            <w:tcW w:w="990" w:type="dxa"/>
            <w:tcBorders>
              <w:top w:val="nil"/>
              <w:left w:val="nil"/>
              <w:bottom w:val="nil"/>
              <w:right w:val="nil"/>
            </w:tcBorders>
            <w:shd w:val="clear" w:color="auto" w:fill="auto"/>
            <w:noWrap/>
            <w:vAlign w:val="center"/>
            <w:hideMark/>
          </w:tcPr>
          <w:p w14:paraId="726F6779" w14:textId="22C57803"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2042</w:t>
            </w:r>
          </w:p>
        </w:tc>
        <w:tc>
          <w:tcPr>
            <w:tcW w:w="1117" w:type="dxa"/>
            <w:tcBorders>
              <w:top w:val="nil"/>
              <w:left w:val="nil"/>
              <w:bottom w:val="nil"/>
              <w:right w:val="nil"/>
            </w:tcBorders>
            <w:shd w:val="clear" w:color="auto" w:fill="auto"/>
            <w:noWrap/>
            <w:vAlign w:val="center"/>
            <w:hideMark/>
          </w:tcPr>
          <w:p w14:paraId="36E17B8D" w14:textId="539042FB"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34,140 </w:t>
            </w:r>
          </w:p>
        </w:tc>
        <w:tc>
          <w:tcPr>
            <w:tcW w:w="1598" w:type="dxa"/>
            <w:tcBorders>
              <w:top w:val="nil"/>
              <w:left w:val="nil"/>
              <w:bottom w:val="nil"/>
              <w:right w:val="nil"/>
            </w:tcBorders>
            <w:shd w:val="clear" w:color="auto" w:fill="auto"/>
            <w:noWrap/>
            <w:vAlign w:val="center"/>
            <w:hideMark/>
          </w:tcPr>
          <w:p w14:paraId="034DADF6" w14:textId="57B12654"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$7,433 </w:t>
            </w:r>
          </w:p>
        </w:tc>
        <w:tc>
          <w:tcPr>
            <w:tcW w:w="1605" w:type="dxa"/>
            <w:tcBorders>
              <w:top w:val="nil"/>
              <w:left w:val="nil"/>
              <w:bottom w:val="nil"/>
              <w:right w:val="nil"/>
            </w:tcBorders>
            <w:shd w:val="clear" w:color="auto" w:fill="auto"/>
            <w:noWrap/>
            <w:vAlign w:val="center"/>
            <w:hideMark/>
          </w:tcPr>
          <w:p w14:paraId="561772C2" w14:textId="73BBA24D"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$0.2177 </w:t>
            </w:r>
          </w:p>
        </w:tc>
        <w:tc>
          <w:tcPr>
            <w:tcW w:w="1232" w:type="dxa"/>
            <w:tcBorders>
              <w:top w:val="nil"/>
              <w:left w:val="nil"/>
              <w:bottom w:val="nil"/>
              <w:right w:val="nil"/>
            </w:tcBorders>
            <w:shd w:val="clear" w:color="auto" w:fill="auto"/>
            <w:noWrap/>
            <w:vAlign w:val="center"/>
            <w:hideMark/>
          </w:tcPr>
          <w:p w14:paraId="5C9A65C0" w14:textId="76700099"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632,869 </w:t>
            </w:r>
          </w:p>
        </w:tc>
        <w:tc>
          <w:tcPr>
            <w:tcW w:w="1217" w:type="dxa"/>
            <w:tcBorders>
              <w:top w:val="nil"/>
              <w:left w:val="nil"/>
              <w:bottom w:val="nil"/>
              <w:right w:val="nil"/>
            </w:tcBorders>
            <w:shd w:val="clear" w:color="auto" w:fill="auto"/>
            <w:noWrap/>
            <w:hideMark/>
          </w:tcPr>
          <w:p w14:paraId="2A3E6F76" w14:textId="44994D6D"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$135,432 </w:t>
            </w:r>
          </w:p>
        </w:tc>
        <w:tc>
          <w:tcPr>
            <w:tcW w:w="1601" w:type="dxa"/>
            <w:tcBorders>
              <w:top w:val="nil"/>
              <w:left w:val="nil"/>
              <w:bottom w:val="nil"/>
              <w:right w:val="nil"/>
            </w:tcBorders>
            <w:shd w:val="clear" w:color="auto" w:fill="auto"/>
            <w:noWrap/>
            <w:vAlign w:val="center"/>
            <w:hideMark/>
          </w:tcPr>
          <w:p w14:paraId="3846CD3F" w14:textId="43397BB8" w:rsidR="00265568" w:rsidRPr="001F1FCC" w:rsidRDefault="00265568" w:rsidP="00265568">
            <w:pPr>
              <w:spacing w:line="240" w:lineRule="auto"/>
              <w:jc w:val="right"/>
              <w:rPr>
                <w:rFonts w:ascii="Arial Narrow" w:hAnsi="Arial Narrow" w:cs="Calibri"/>
                <w:szCs w:val="18"/>
              </w:rPr>
            </w:pPr>
            <w:r w:rsidRPr="001F1FCC">
              <w:rPr>
                <w:rFonts w:ascii="Arial Narrow" w:hAnsi="Arial Narrow"/>
                <w:szCs w:val="18"/>
              </w:rPr>
              <w:t xml:space="preserve"> $0.2140 </w:t>
            </w:r>
          </w:p>
        </w:tc>
      </w:tr>
      <w:tr w:rsidR="001F1FCC" w:rsidRPr="001F1FCC" w14:paraId="37FCEC4D" w14:textId="77777777" w:rsidTr="001F1FCC">
        <w:trPr>
          <w:trHeight w:val="255"/>
        </w:trPr>
        <w:tc>
          <w:tcPr>
            <w:tcW w:w="990" w:type="dxa"/>
            <w:tcBorders>
              <w:top w:val="nil"/>
              <w:left w:val="nil"/>
              <w:bottom w:val="nil"/>
              <w:right w:val="nil"/>
            </w:tcBorders>
            <w:shd w:val="clear" w:color="auto" w:fill="auto"/>
            <w:noWrap/>
            <w:vAlign w:val="center"/>
            <w:hideMark/>
          </w:tcPr>
          <w:p w14:paraId="27A0DA17" w14:textId="04528E45" w:rsidR="001F1FCC" w:rsidRPr="001F1FCC" w:rsidRDefault="001F1FCC" w:rsidP="001F1FCC">
            <w:pPr>
              <w:spacing w:line="240" w:lineRule="auto"/>
              <w:jc w:val="right"/>
              <w:rPr>
                <w:rFonts w:ascii="Arial Narrow" w:hAnsi="Arial Narrow" w:cs="Calibri"/>
                <w:szCs w:val="18"/>
              </w:rPr>
            </w:pPr>
            <w:r w:rsidRPr="001F1FCC">
              <w:rPr>
                <w:rFonts w:ascii="Arial Narrow" w:hAnsi="Arial Narrow"/>
                <w:szCs w:val="18"/>
              </w:rPr>
              <w:t>2043</w:t>
            </w:r>
          </w:p>
        </w:tc>
        <w:tc>
          <w:tcPr>
            <w:tcW w:w="1117" w:type="dxa"/>
            <w:tcBorders>
              <w:top w:val="nil"/>
              <w:left w:val="nil"/>
              <w:bottom w:val="nil"/>
              <w:right w:val="nil"/>
            </w:tcBorders>
            <w:shd w:val="clear" w:color="auto" w:fill="auto"/>
            <w:noWrap/>
            <w:vAlign w:val="center"/>
            <w:hideMark/>
          </w:tcPr>
          <w:p w14:paraId="60DB7700" w14:textId="6D8CAD7A" w:rsidR="001F1FCC" w:rsidRPr="001F1FCC" w:rsidRDefault="001F1FCC" w:rsidP="001F1FCC">
            <w:pPr>
              <w:spacing w:line="240" w:lineRule="auto"/>
              <w:jc w:val="right"/>
              <w:rPr>
                <w:rFonts w:ascii="Arial Narrow" w:hAnsi="Arial Narrow" w:cs="Calibri"/>
                <w:szCs w:val="18"/>
              </w:rPr>
            </w:pPr>
            <w:r w:rsidRPr="001F1FCC">
              <w:rPr>
                <w:rFonts w:ascii="Arial Narrow" w:hAnsi="Arial Narrow"/>
                <w:szCs w:val="18"/>
              </w:rPr>
              <w:t xml:space="preserve"> 34,140 </w:t>
            </w:r>
          </w:p>
        </w:tc>
        <w:tc>
          <w:tcPr>
            <w:tcW w:w="1598" w:type="dxa"/>
            <w:tcBorders>
              <w:top w:val="nil"/>
              <w:left w:val="nil"/>
              <w:bottom w:val="nil"/>
              <w:right w:val="nil"/>
            </w:tcBorders>
            <w:shd w:val="clear" w:color="auto" w:fill="auto"/>
            <w:noWrap/>
            <w:vAlign w:val="center"/>
            <w:hideMark/>
          </w:tcPr>
          <w:p w14:paraId="5E712240" w14:textId="0AABB6D4" w:rsidR="001F1FCC" w:rsidRPr="001F1FCC" w:rsidRDefault="001F1FCC" w:rsidP="001F1FCC">
            <w:pPr>
              <w:spacing w:line="240" w:lineRule="auto"/>
              <w:jc w:val="right"/>
              <w:rPr>
                <w:rFonts w:ascii="Arial Narrow" w:hAnsi="Arial Narrow" w:cs="Calibri"/>
                <w:szCs w:val="18"/>
              </w:rPr>
            </w:pPr>
            <w:r w:rsidRPr="001F1FCC">
              <w:rPr>
                <w:rFonts w:ascii="Arial Narrow" w:hAnsi="Arial Narrow"/>
                <w:szCs w:val="18"/>
              </w:rPr>
              <w:t xml:space="preserve"> $7,433 </w:t>
            </w:r>
          </w:p>
        </w:tc>
        <w:tc>
          <w:tcPr>
            <w:tcW w:w="1605" w:type="dxa"/>
            <w:tcBorders>
              <w:top w:val="nil"/>
              <w:left w:val="nil"/>
              <w:bottom w:val="nil"/>
              <w:right w:val="nil"/>
            </w:tcBorders>
            <w:shd w:val="clear" w:color="auto" w:fill="auto"/>
            <w:noWrap/>
            <w:vAlign w:val="center"/>
            <w:hideMark/>
          </w:tcPr>
          <w:p w14:paraId="353BD6A1" w14:textId="57F90007" w:rsidR="001F1FCC" w:rsidRPr="001F1FCC" w:rsidRDefault="001F1FCC" w:rsidP="001F1FCC">
            <w:pPr>
              <w:spacing w:line="240" w:lineRule="auto"/>
              <w:jc w:val="right"/>
              <w:rPr>
                <w:rFonts w:ascii="Arial Narrow" w:hAnsi="Arial Narrow" w:cs="Calibri"/>
                <w:szCs w:val="18"/>
              </w:rPr>
            </w:pPr>
            <w:r w:rsidRPr="001F1FCC">
              <w:rPr>
                <w:rFonts w:ascii="Arial Narrow" w:hAnsi="Arial Narrow"/>
                <w:szCs w:val="18"/>
              </w:rPr>
              <w:t xml:space="preserve"> $0.2177 </w:t>
            </w:r>
          </w:p>
        </w:tc>
        <w:tc>
          <w:tcPr>
            <w:tcW w:w="1232" w:type="dxa"/>
            <w:tcBorders>
              <w:top w:val="nil"/>
              <w:left w:val="nil"/>
              <w:bottom w:val="nil"/>
              <w:right w:val="nil"/>
            </w:tcBorders>
            <w:shd w:val="clear" w:color="auto" w:fill="auto"/>
            <w:noWrap/>
            <w:vAlign w:val="center"/>
          </w:tcPr>
          <w:p w14:paraId="53A5AF1C" w14:textId="7BD2FB13" w:rsidR="001F1FCC" w:rsidRPr="001F1FCC" w:rsidRDefault="001F1FCC" w:rsidP="001F1FCC">
            <w:pPr>
              <w:spacing w:line="240" w:lineRule="auto"/>
              <w:jc w:val="right"/>
              <w:rPr>
                <w:rFonts w:ascii="Arial Narrow" w:hAnsi="Arial Narrow" w:cs="Calibri"/>
                <w:szCs w:val="18"/>
              </w:rPr>
            </w:pPr>
          </w:p>
        </w:tc>
        <w:tc>
          <w:tcPr>
            <w:tcW w:w="1217" w:type="dxa"/>
            <w:tcBorders>
              <w:top w:val="nil"/>
              <w:left w:val="nil"/>
              <w:bottom w:val="nil"/>
              <w:right w:val="nil"/>
            </w:tcBorders>
            <w:shd w:val="clear" w:color="auto" w:fill="auto"/>
            <w:noWrap/>
            <w:vAlign w:val="center"/>
          </w:tcPr>
          <w:p w14:paraId="163BB019" w14:textId="775E6844" w:rsidR="001F1FCC" w:rsidRPr="001F1FCC" w:rsidRDefault="001F1FCC" w:rsidP="001F1FCC">
            <w:pPr>
              <w:spacing w:line="240" w:lineRule="auto"/>
              <w:jc w:val="right"/>
              <w:rPr>
                <w:rFonts w:ascii="Arial Narrow" w:hAnsi="Arial Narrow" w:cs="Calibri"/>
                <w:szCs w:val="18"/>
              </w:rPr>
            </w:pPr>
          </w:p>
        </w:tc>
        <w:tc>
          <w:tcPr>
            <w:tcW w:w="1601" w:type="dxa"/>
            <w:tcBorders>
              <w:top w:val="nil"/>
              <w:left w:val="nil"/>
              <w:bottom w:val="nil"/>
              <w:right w:val="nil"/>
            </w:tcBorders>
            <w:shd w:val="clear" w:color="auto" w:fill="auto"/>
            <w:noWrap/>
            <w:vAlign w:val="center"/>
          </w:tcPr>
          <w:p w14:paraId="0ADF6A47" w14:textId="0F4C261A" w:rsidR="001F1FCC" w:rsidRPr="001F1FCC" w:rsidRDefault="001F1FCC" w:rsidP="001F1FCC">
            <w:pPr>
              <w:spacing w:line="240" w:lineRule="auto"/>
              <w:jc w:val="right"/>
              <w:rPr>
                <w:rFonts w:ascii="Arial Narrow" w:hAnsi="Arial Narrow" w:cs="Calibri"/>
                <w:szCs w:val="18"/>
              </w:rPr>
            </w:pPr>
          </w:p>
        </w:tc>
      </w:tr>
      <w:tr w:rsidR="001F1FCC" w:rsidRPr="001F1FCC" w14:paraId="53F0E45F" w14:textId="77777777" w:rsidTr="001F1FCC">
        <w:trPr>
          <w:trHeight w:val="255"/>
        </w:trPr>
        <w:tc>
          <w:tcPr>
            <w:tcW w:w="990" w:type="dxa"/>
            <w:tcBorders>
              <w:top w:val="nil"/>
              <w:left w:val="nil"/>
              <w:bottom w:val="nil"/>
              <w:right w:val="nil"/>
            </w:tcBorders>
            <w:shd w:val="clear" w:color="auto" w:fill="auto"/>
            <w:noWrap/>
            <w:vAlign w:val="center"/>
            <w:hideMark/>
          </w:tcPr>
          <w:p w14:paraId="7D021CE3" w14:textId="27BDA501" w:rsidR="001F1FCC" w:rsidRPr="001F1FCC" w:rsidRDefault="001F1FCC" w:rsidP="001F1FCC">
            <w:pPr>
              <w:spacing w:line="240" w:lineRule="auto"/>
              <w:jc w:val="right"/>
              <w:rPr>
                <w:rFonts w:ascii="Arial Narrow" w:hAnsi="Arial Narrow" w:cs="Calibri"/>
                <w:szCs w:val="18"/>
              </w:rPr>
            </w:pPr>
            <w:r w:rsidRPr="001F1FCC">
              <w:rPr>
                <w:rFonts w:ascii="Arial Narrow" w:hAnsi="Arial Narrow"/>
                <w:szCs w:val="18"/>
              </w:rPr>
              <w:t>2044</w:t>
            </w:r>
          </w:p>
        </w:tc>
        <w:tc>
          <w:tcPr>
            <w:tcW w:w="1117" w:type="dxa"/>
            <w:tcBorders>
              <w:top w:val="nil"/>
              <w:left w:val="nil"/>
              <w:bottom w:val="nil"/>
              <w:right w:val="nil"/>
            </w:tcBorders>
            <w:shd w:val="clear" w:color="auto" w:fill="auto"/>
            <w:noWrap/>
            <w:vAlign w:val="center"/>
            <w:hideMark/>
          </w:tcPr>
          <w:p w14:paraId="551B2547" w14:textId="3EADE955" w:rsidR="001F1FCC" w:rsidRPr="001F1FCC" w:rsidRDefault="001F1FCC" w:rsidP="001F1FCC">
            <w:pPr>
              <w:spacing w:line="240" w:lineRule="auto"/>
              <w:jc w:val="right"/>
              <w:rPr>
                <w:rFonts w:ascii="Arial Narrow" w:hAnsi="Arial Narrow" w:cs="Calibri"/>
                <w:szCs w:val="18"/>
              </w:rPr>
            </w:pPr>
            <w:r w:rsidRPr="001F1FCC">
              <w:rPr>
                <w:rFonts w:ascii="Arial Narrow" w:hAnsi="Arial Narrow"/>
                <w:szCs w:val="18"/>
              </w:rPr>
              <w:t xml:space="preserve"> 27,083 </w:t>
            </w:r>
          </w:p>
        </w:tc>
        <w:tc>
          <w:tcPr>
            <w:tcW w:w="1598" w:type="dxa"/>
            <w:tcBorders>
              <w:top w:val="nil"/>
              <w:left w:val="nil"/>
              <w:bottom w:val="nil"/>
              <w:right w:val="nil"/>
            </w:tcBorders>
            <w:shd w:val="clear" w:color="auto" w:fill="auto"/>
            <w:noWrap/>
            <w:vAlign w:val="center"/>
            <w:hideMark/>
          </w:tcPr>
          <w:p w14:paraId="0D71F587" w14:textId="3385054A" w:rsidR="001F1FCC" w:rsidRPr="001F1FCC" w:rsidRDefault="001F1FCC" w:rsidP="001F1FCC">
            <w:pPr>
              <w:spacing w:line="240" w:lineRule="auto"/>
              <w:jc w:val="right"/>
              <w:rPr>
                <w:rFonts w:ascii="Arial Narrow" w:hAnsi="Arial Narrow" w:cs="Calibri"/>
                <w:szCs w:val="18"/>
              </w:rPr>
            </w:pPr>
            <w:r w:rsidRPr="001F1FCC">
              <w:rPr>
                <w:rFonts w:ascii="Arial Narrow" w:hAnsi="Arial Narrow"/>
                <w:szCs w:val="18"/>
              </w:rPr>
              <w:t xml:space="preserve"> $6,119 </w:t>
            </w:r>
          </w:p>
        </w:tc>
        <w:tc>
          <w:tcPr>
            <w:tcW w:w="1605" w:type="dxa"/>
            <w:tcBorders>
              <w:top w:val="nil"/>
              <w:left w:val="nil"/>
              <w:bottom w:val="nil"/>
              <w:right w:val="nil"/>
            </w:tcBorders>
            <w:shd w:val="clear" w:color="auto" w:fill="auto"/>
            <w:noWrap/>
            <w:vAlign w:val="center"/>
            <w:hideMark/>
          </w:tcPr>
          <w:p w14:paraId="67E502A0" w14:textId="68F224F5" w:rsidR="001F1FCC" w:rsidRPr="001F1FCC" w:rsidRDefault="001F1FCC" w:rsidP="001F1FCC">
            <w:pPr>
              <w:spacing w:line="240" w:lineRule="auto"/>
              <w:jc w:val="right"/>
              <w:rPr>
                <w:rFonts w:ascii="Arial Narrow" w:hAnsi="Arial Narrow" w:cs="Calibri"/>
                <w:szCs w:val="18"/>
              </w:rPr>
            </w:pPr>
            <w:r w:rsidRPr="001F1FCC">
              <w:rPr>
                <w:rFonts w:ascii="Arial Narrow" w:hAnsi="Arial Narrow"/>
                <w:szCs w:val="18"/>
              </w:rPr>
              <w:t xml:space="preserve"> $0.2259 </w:t>
            </w:r>
          </w:p>
        </w:tc>
        <w:tc>
          <w:tcPr>
            <w:tcW w:w="1232" w:type="dxa"/>
            <w:tcBorders>
              <w:top w:val="nil"/>
              <w:left w:val="nil"/>
              <w:bottom w:val="nil"/>
              <w:right w:val="nil"/>
            </w:tcBorders>
            <w:shd w:val="clear" w:color="auto" w:fill="auto"/>
            <w:noWrap/>
            <w:vAlign w:val="center"/>
          </w:tcPr>
          <w:p w14:paraId="57A29202" w14:textId="7AA14DE1" w:rsidR="001F1FCC" w:rsidRPr="001F1FCC" w:rsidRDefault="001F1FCC" w:rsidP="001F1FCC">
            <w:pPr>
              <w:spacing w:line="240" w:lineRule="auto"/>
              <w:jc w:val="right"/>
              <w:rPr>
                <w:rFonts w:ascii="Arial Narrow" w:hAnsi="Arial Narrow" w:cs="Calibri"/>
                <w:szCs w:val="18"/>
              </w:rPr>
            </w:pPr>
          </w:p>
        </w:tc>
        <w:tc>
          <w:tcPr>
            <w:tcW w:w="1217" w:type="dxa"/>
            <w:tcBorders>
              <w:top w:val="nil"/>
              <w:left w:val="nil"/>
              <w:bottom w:val="nil"/>
              <w:right w:val="nil"/>
            </w:tcBorders>
            <w:shd w:val="clear" w:color="auto" w:fill="auto"/>
            <w:noWrap/>
            <w:vAlign w:val="center"/>
          </w:tcPr>
          <w:p w14:paraId="12C8476C" w14:textId="0B4F41F0" w:rsidR="001F1FCC" w:rsidRPr="001F1FCC" w:rsidRDefault="001F1FCC" w:rsidP="001F1FCC">
            <w:pPr>
              <w:spacing w:line="240" w:lineRule="auto"/>
              <w:jc w:val="right"/>
              <w:rPr>
                <w:rFonts w:ascii="Arial Narrow" w:hAnsi="Arial Narrow" w:cs="Calibri"/>
                <w:szCs w:val="18"/>
              </w:rPr>
            </w:pPr>
          </w:p>
        </w:tc>
        <w:tc>
          <w:tcPr>
            <w:tcW w:w="1601" w:type="dxa"/>
            <w:tcBorders>
              <w:top w:val="nil"/>
              <w:left w:val="nil"/>
              <w:bottom w:val="nil"/>
              <w:right w:val="nil"/>
            </w:tcBorders>
            <w:shd w:val="clear" w:color="auto" w:fill="auto"/>
            <w:noWrap/>
            <w:vAlign w:val="center"/>
          </w:tcPr>
          <w:p w14:paraId="2868B4E8" w14:textId="67F70A33" w:rsidR="001F1FCC" w:rsidRPr="001F1FCC" w:rsidRDefault="001F1FCC" w:rsidP="001F1FCC">
            <w:pPr>
              <w:spacing w:line="240" w:lineRule="auto"/>
              <w:jc w:val="right"/>
              <w:rPr>
                <w:rFonts w:ascii="Arial Narrow" w:hAnsi="Arial Narrow" w:cs="Calibri"/>
                <w:szCs w:val="18"/>
              </w:rPr>
            </w:pPr>
          </w:p>
        </w:tc>
      </w:tr>
      <w:tr w:rsidR="001F1FCC" w:rsidRPr="001F1FCC" w14:paraId="481DE42F" w14:textId="77777777" w:rsidTr="001F1FCC">
        <w:trPr>
          <w:trHeight w:val="255"/>
        </w:trPr>
        <w:tc>
          <w:tcPr>
            <w:tcW w:w="990" w:type="dxa"/>
            <w:tcBorders>
              <w:top w:val="nil"/>
              <w:left w:val="nil"/>
              <w:bottom w:val="nil"/>
              <w:right w:val="nil"/>
            </w:tcBorders>
            <w:shd w:val="clear" w:color="auto" w:fill="auto"/>
            <w:noWrap/>
            <w:vAlign w:val="center"/>
            <w:hideMark/>
          </w:tcPr>
          <w:p w14:paraId="5B760446" w14:textId="2EA7A803" w:rsidR="001F1FCC" w:rsidRPr="001F1FCC" w:rsidRDefault="001F1FCC" w:rsidP="001F1FCC">
            <w:pPr>
              <w:spacing w:line="240" w:lineRule="auto"/>
              <w:jc w:val="right"/>
              <w:rPr>
                <w:rFonts w:ascii="Arial Narrow" w:hAnsi="Arial Narrow" w:cs="Calibri"/>
                <w:szCs w:val="18"/>
              </w:rPr>
            </w:pPr>
            <w:r w:rsidRPr="001F1FCC">
              <w:rPr>
                <w:rFonts w:ascii="Arial Narrow" w:hAnsi="Arial Narrow"/>
                <w:szCs w:val="18"/>
              </w:rPr>
              <w:t>2045</w:t>
            </w:r>
          </w:p>
        </w:tc>
        <w:tc>
          <w:tcPr>
            <w:tcW w:w="1117" w:type="dxa"/>
            <w:tcBorders>
              <w:top w:val="nil"/>
              <w:left w:val="nil"/>
              <w:bottom w:val="nil"/>
              <w:right w:val="nil"/>
            </w:tcBorders>
            <w:shd w:val="clear" w:color="auto" w:fill="auto"/>
            <w:noWrap/>
            <w:vAlign w:val="center"/>
            <w:hideMark/>
          </w:tcPr>
          <w:p w14:paraId="598EE39F" w14:textId="7D081E0E" w:rsidR="001F1FCC" w:rsidRPr="001F1FCC" w:rsidRDefault="001F1FCC" w:rsidP="001F1FCC">
            <w:pPr>
              <w:spacing w:line="240" w:lineRule="auto"/>
              <w:jc w:val="right"/>
              <w:rPr>
                <w:rFonts w:ascii="Arial Narrow" w:hAnsi="Arial Narrow" w:cs="Calibri"/>
                <w:szCs w:val="18"/>
              </w:rPr>
            </w:pPr>
            <w:r w:rsidRPr="001F1FCC">
              <w:rPr>
                <w:rFonts w:ascii="Arial Narrow" w:hAnsi="Arial Narrow"/>
                <w:szCs w:val="18"/>
              </w:rPr>
              <w:t xml:space="preserve"> 27,083 </w:t>
            </w:r>
          </w:p>
        </w:tc>
        <w:tc>
          <w:tcPr>
            <w:tcW w:w="1598" w:type="dxa"/>
            <w:tcBorders>
              <w:top w:val="nil"/>
              <w:left w:val="nil"/>
              <w:bottom w:val="nil"/>
              <w:right w:val="nil"/>
            </w:tcBorders>
            <w:shd w:val="clear" w:color="auto" w:fill="auto"/>
            <w:noWrap/>
            <w:vAlign w:val="center"/>
            <w:hideMark/>
          </w:tcPr>
          <w:p w14:paraId="59BF1DB5" w14:textId="3640291E" w:rsidR="001F1FCC" w:rsidRPr="001F1FCC" w:rsidRDefault="001F1FCC" w:rsidP="001F1FCC">
            <w:pPr>
              <w:spacing w:line="240" w:lineRule="auto"/>
              <w:jc w:val="right"/>
              <w:rPr>
                <w:rFonts w:ascii="Arial Narrow" w:hAnsi="Arial Narrow" w:cs="Calibri"/>
                <w:szCs w:val="18"/>
              </w:rPr>
            </w:pPr>
            <w:r w:rsidRPr="001F1FCC">
              <w:rPr>
                <w:rFonts w:ascii="Arial Narrow" w:hAnsi="Arial Narrow"/>
                <w:szCs w:val="18"/>
              </w:rPr>
              <w:t xml:space="preserve"> $6,119 </w:t>
            </w:r>
          </w:p>
        </w:tc>
        <w:tc>
          <w:tcPr>
            <w:tcW w:w="1605" w:type="dxa"/>
            <w:tcBorders>
              <w:top w:val="nil"/>
              <w:left w:val="nil"/>
              <w:bottom w:val="nil"/>
              <w:right w:val="nil"/>
            </w:tcBorders>
            <w:shd w:val="clear" w:color="auto" w:fill="auto"/>
            <w:noWrap/>
            <w:vAlign w:val="center"/>
            <w:hideMark/>
          </w:tcPr>
          <w:p w14:paraId="13E38585" w14:textId="603D8D40" w:rsidR="001F1FCC" w:rsidRPr="001F1FCC" w:rsidRDefault="001F1FCC" w:rsidP="001F1FCC">
            <w:pPr>
              <w:spacing w:line="240" w:lineRule="auto"/>
              <w:jc w:val="right"/>
              <w:rPr>
                <w:rFonts w:ascii="Arial Narrow" w:hAnsi="Arial Narrow" w:cs="Calibri"/>
                <w:szCs w:val="18"/>
              </w:rPr>
            </w:pPr>
            <w:r w:rsidRPr="001F1FCC">
              <w:rPr>
                <w:rFonts w:ascii="Arial Narrow" w:hAnsi="Arial Narrow"/>
                <w:szCs w:val="18"/>
              </w:rPr>
              <w:t xml:space="preserve"> $0.2259 </w:t>
            </w:r>
          </w:p>
        </w:tc>
        <w:tc>
          <w:tcPr>
            <w:tcW w:w="1232" w:type="dxa"/>
            <w:tcBorders>
              <w:top w:val="nil"/>
              <w:left w:val="nil"/>
              <w:bottom w:val="nil"/>
              <w:right w:val="nil"/>
            </w:tcBorders>
            <w:shd w:val="clear" w:color="auto" w:fill="auto"/>
            <w:noWrap/>
            <w:vAlign w:val="center"/>
          </w:tcPr>
          <w:p w14:paraId="1A85EDD9" w14:textId="562F529F" w:rsidR="001F1FCC" w:rsidRPr="001F1FCC" w:rsidRDefault="001F1FCC" w:rsidP="001F1FCC">
            <w:pPr>
              <w:spacing w:line="240" w:lineRule="auto"/>
              <w:jc w:val="right"/>
              <w:rPr>
                <w:rFonts w:ascii="Arial Narrow" w:hAnsi="Arial Narrow" w:cs="Calibri"/>
                <w:szCs w:val="18"/>
              </w:rPr>
            </w:pPr>
          </w:p>
        </w:tc>
        <w:tc>
          <w:tcPr>
            <w:tcW w:w="1217" w:type="dxa"/>
            <w:tcBorders>
              <w:top w:val="nil"/>
              <w:left w:val="nil"/>
              <w:bottom w:val="nil"/>
              <w:right w:val="nil"/>
            </w:tcBorders>
            <w:shd w:val="clear" w:color="auto" w:fill="auto"/>
            <w:noWrap/>
            <w:vAlign w:val="center"/>
          </w:tcPr>
          <w:p w14:paraId="1F026FF5" w14:textId="3B08A85A" w:rsidR="001F1FCC" w:rsidRPr="001F1FCC" w:rsidRDefault="001F1FCC" w:rsidP="001F1FCC">
            <w:pPr>
              <w:spacing w:line="240" w:lineRule="auto"/>
              <w:jc w:val="right"/>
              <w:rPr>
                <w:rFonts w:ascii="Arial Narrow" w:hAnsi="Arial Narrow" w:cs="Calibri"/>
                <w:szCs w:val="18"/>
              </w:rPr>
            </w:pPr>
          </w:p>
        </w:tc>
        <w:tc>
          <w:tcPr>
            <w:tcW w:w="1601" w:type="dxa"/>
            <w:tcBorders>
              <w:top w:val="nil"/>
              <w:left w:val="nil"/>
              <w:bottom w:val="nil"/>
              <w:right w:val="nil"/>
            </w:tcBorders>
            <w:shd w:val="clear" w:color="auto" w:fill="auto"/>
            <w:noWrap/>
            <w:vAlign w:val="center"/>
          </w:tcPr>
          <w:p w14:paraId="3B8DC07A" w14:textId="1935ABB3" w:rsidR="001F1FCC" w:rsidRPr="001F1FCC" w:rsidRDefault="001F1FCC" w:rsidP="001F1FCC">
            <w:pPr>
              <w:spacing w:line="240" w:lineRule="auto"/>
              <w:jc w:val="right"/>
              <w:rPr>
                <w:rFonts w:ascii="Arial Narrow" w:hAnsi="Arial Narrow" w:cs="Calibri"/>
                <w:szCs w:val="18"/>
              </w:rPr>
            </w:pPr>
          </w:p>
        </w:tc>
      </w:tr>
      <w:tr w:rsidR="001F1FCC" w:rsidRPr="001F1FCC" w14:paraId="16FC3EA5" w14:textId="77777777" w:rsidTr="001F1FCC">
        <w:trPr>
          <w:trHeight w:val="255"/>
        </w:trPr>
        <w:tc>
          <w:tcPr>
            <w:tcW w:w="990" w:type="dxa"/>
            <w:tcBorders>
              <w:top w:val="nil"/>
              <w:left w:val="nil"/>
              <w:bottom w:val="nil"/>
              <w:right w:val="nil"/>
            </w:tcBorders>
            <w:shd w:val="clear" w:color="auto" w:fill="auto"/>
            <w:noWrap/>
            <w:vAlign w:val="center"/>
            <w:hideMark/>
          </w:tcPr>
          <w:p w14:paraId="3DC7AD13" w14:textId="273D540D" w:rsidR="001F1FCC" w:rsidRPr="001F1FCC" w:rsidRDefault="001F1FCC" w:rsidP="001F1FCC">
            <w:pPr>
              <w:spacing w:line="240" w:lineRule="auto"/>
              <w:jc w:val="right"/>
              <w:rPr>
                <w:rFonts w:ascii="Arial Narrow" w:hAnsi="Arial Narrow" w:cs="Calibri"/>
                <w:szCs w:val="18"/>
              </w:rPr>
            </w:pPr>
            <w:r w:rsidRPr="001F1FCC">
              <w:rPr>
                <w:rFonts w:ascii="Arial Narrow" w:hAnsi="Arial Narrow"/>
                <w:szCs w:val="18"/>
              </w:rPr>
              <w:t>2046</w:t>
            </w:r>
          </w:p>
        </w:tc>
        <w:tc>
          <w:tcPr>
            <w:tcW w:w="1117" w:type="dxa"/>
            <w:tcBorders>
              <w:top w:val="nil"/>
              <w:left w:val="nil"/>
              <w:bottom w:val="single" w:sz="4" w:space="0" w:color="auto"/>
              <w:right w:val="nil"/>
            </w:tcBorders>
            <w:shd w:val="clear" w:color="auto" w:fill="auto"/>
            <w:noWrap/>
            <w:vAlign w:val="center"/>
            <w:hideMark/>
          </w:tcPr>
          <w:p w14:paraId="30478F1D" w14:textId="6AECE536" w:rsidR="001F1FCC" w:rsidRPr="001F1FCC" w:rsidRDefault="001F1FCC" w:rsidP="001F1FCC">
            <w:pPr>
              <w:spacing w:line="240" w:lineRule="auto"/>
              <w:jc w:val="right"/>
              <w:rPr>
                <w:rFonts w:ascii="Arial Narrow" w:hAnsi="Arial Narrow" w:cs="Calibri"/>
                <w:szCs w:val="18"/>
              </w:rPr>
            </w:pPr>
            <w:r w:rsidRPr="001F1FCC">
              <w:rPr>
                <w:rFonts w:ascii="Arial Narrow" w:hAnsi="Arial Narrow"/>
                <w:szCs w:val="18"/>
              </w:rPr>
              <w:t xml:space="preserve"> 27,083 </w:t>
            </w:r>
          </w:p>
        </w:tc>
        <w:tc>
          <w:tcPr>
            <w:tcW w:w="1598" w:type="dxa"/>
            <w:tcBorders>
              <w:top w:val="nil"/>
              <w:left w:val="nil"/>
              <w:bottom w:val="nil"/>
              <w:right w:val="nil"/>
            </w:tcBorders>
            <w:shd w:val="clear" w:color="auto" w:fill="auto"/>
            <w:noWrap/>
            <w:vAlign w:val="center"/>
            <w:hideMark/>
          </w:tcPr>
          <w:p w14:paraId="444A23E0" w14:textId="4484B250" w:rsidR="001F1FCC" w:rsidRPr="001F1FCC" w:rsidRDefault="001F1FCC" w:rsidP="001F1FCC">
            <w:pPr>
              <w:spacing w:line="240" w:lineRule="auto"/>
              <w:jc w:val="right"/>
              <w:rPr>
                <w:rFonts w:ascii="Arial Narrow" w:hAnsi="Arial Narrow" w:cs="Calibri"/>
                <w:szCs w:val="18"/>
              </w:rPr>
            </w:pPr>
            <w:r w:rsidRPr="001F1FCC">
              <w:rPr>
                <w:rFonts w:ascii="Arial Narrow" w:hAnsi="Arial Narrow"/>
                <w:szCs w:val="18"/>
              </w:rPr>
              <w:t xml:space="preserve"> $6,119 </w:t>
            </w:r>
          </w:p>
        </w:tc>
        <w:tc>
          <w:tcPr>
            <w:tcW w:w="1605" w:type="dxa"/>
            <w:tcBorders>
              <w:top w:val="nil"/>
              <w:left w:val="nil"/>
              <w:bottom w:val="nil"/>
              <w:right w:val="nil"/>
            </w:tcBorders>
            <w:shd w:val="clear" w:color="auto" w:fill="auto"/>
            <w:noWrap/>
            <w:vAlign w:val="center"/>
            <w:hideMark/>
          </w:tcPr>
          <w:p w14:paraId="6B4F2822" w14:textId="7B44A7B5" w:rsidR="001F1FCC" w:rsidRPr="001F1FCC" w:rsidRDefault="001F1FCC" w:rsidP="001F1FCC">
            <w:pPr>
              <w:spacing w:line="240" w:lineRule="auto"/>
              <w:jc w:val="right"/>
              <w:rPr>
                <w:rFonts w:ascii="Arial Narrow" w:hAnsi="Arial Narrow" w:cs="Calibri"/>
                <w:szCs w:val="18"/>
              </w:rPr>
            </w:pPr>
            <w:r w:rsidRPr="001F1FCC">
              <w:rPr>
                <w:rFonts w:ascii="Arial Narrow" w:hAnsi="Arial Narrow"/>
                <w:szCs w:val="18"/>
              </w:rPr>
              <w:t xml:space="preserve"> $0.2259 </w:t>
            </w:r>
          </w:p>
        </w:tc>
        <w:tc>
          <w:tcPr>
            <w:tcW w:w="1232" w:type="dxa"/>
            <w:tcBorders>
              <w:top w:val="nil"/>
              <w:left w:val="nil"/>
              <w:bottom w:val="nil"/>
              <w:right w:val="nil"/>
            </w:tcBorders>
            <w:shd w:val="clear" w:color="auto" w:fill="auto"/>
            <w:noWrap/>
            <w:vAlign w:val="center"/>
          </w:tcPr>
          <w:p w14:paraId="56C37F6F" w14:textId="517A4C2F" w:rsidR="001F1FCC" w:rsidRPr="001F1FCC" w:rsidRDefault="001F1FCC" w:rsidP="001F1FCC">
            <w:pPr>
              <w:spacing w:line="240" w:lineRule="auto"/>
              <w:jc w:val="right"/>
              <w:rPr>
                <w:rFonts w:ascii="Arial Narrow" w:hAnsi="Arial Narrow" w:cs="Calibri"/>
                <w:szCs w:val="18"/>
              </w:rPr>
            </w:pPr>
          </w:p>
        </w:tc>
        <w:tc>
          <w:tcPr>
            <w:tcW w:w="1217" w:type="dxa"/>
            <w:tcBorders>
              <w:top w:val="nil"/>
              <w:left w:val="nil"/>
              <w:bottom w:val="nil"/>
              <w:right w:val="nil"/>
            </w:tcBorders>
            <w:shd w:val="clear" w:color="auto" w:fill="auto"/>
            <w:noWrap/>
            <w:vAlign w:val="center"/>
          </w:tcPr>
          <w:p w14:paraId="24FCB27F" w14:textId="314C26D3" w:rsidR="001F1FCC" w:rsidRPr="001F1FCC" w:rsidRDefault="001F1FCC" w:rsidP="001F1FCC">
            <w:pPr>
              <w:spacing w:line="240" w:lineRule="auto"/>
              <w:jc w:val="right"/>
              <w:rPr>
                <w:rFonts w:ascii="Arial Narrow" w:hAnsi="Arial Narrow" w:cs="Calibri"/>
                <w:szCs w:val="18"/>
              </w:rPr>
            </w:pPr>
          </w:p>
        </w:tc>
        <w:tc>
          <w:tcPr>
            <w:tcW w:w="1601" w:type="dxa"/>
            <w:tcBorders>
              <w:top w:val="nil"/>
              <w:left w:val="nil"/>
              <w:bottom w:val="nil"/>
              <w:right w:val="nil"/>
            </w:tcBorders>
            <w:shd w:val="clear" w:color="auto" w:fill="auto"/>
            <w:noWrap/>
            <w:vAlign w:val="center"/>
          </w:tcPr>
          <w:p w14:paraId="0D587E91" w14:textId="70817400" w:rsidR="001F1FCC" w:rsidRPr="001F1FCC" w:rsidRDefault="001F1FCC" w:rsidP="001F1FCC">
            <w:pPr>
              <w:spacing w:line="240" w:lineRule="auto"/>
              <w:jc w:val="right"/>
              <w:rPr>
                <w:rFonts w:ascii="Arial Narrow" w:hAnsi="Arial Narrow" w:cs="Calibri"/>
                <w:szCs w:val="18"/>
              </w:rPr>
            </w:pPr>
          </w:p>
        </w:tc>
      </w:tr>
      <w:tr w:rsidR="001F1FCC" w:rsidRPr="001F1FCC" w14:paraId="5F5174D9" w14:textId="77777777" w:rsidTr="00F577DE">
        <w:trPr>
          <w:trHeight w:val="255"/>
        </w:trPr>
        <w:tc>
          <w:tcPr>
            <w:tcW w:w="990" w:type="dxa"/>
            <w:tcBorders>
              <w:top w:val="single" w:sz="4" w:space="0" w:color="auto"/>
              <w:left w:val="nil"/>
              <w:bottom w:val="single" w:sz="4" w:space="0" w:color="auto"/>
              <w:right w:val="nil"/>
            </w:tcBorders>
            <w:shd w:val="clear" w:color="auto" w:fill="auto"/>
            <w:noWrap/>
            <w:vAlign w:val="center"/>
            <w:hideMark/>
          </w:tcPr>
          <w:p w14:paraId="65FBFBBB" w14:textId="53C12D71" w:rsidR="001F1FCC" w:rsidRPr="001F1FCC" w:rsidRDefault="001F1FCC">
            <w:pPr>
              <w:spacing w:line="240" w:lineRule="auto"/>
              <w:jc w:val="right"/>
              <w:rPr>
                <w:rFonts w:ascii="Arial Narrow" w:hAnsi="Arial Narrow" w:cs="Calibri"/>
                <w:b/>
                <w:bCs/>
                <w:szCs w:val="18"/>
              </w:rPr>
            </w:pPr>
            <w:r w:rsidRPr="001F1FCC">
              <w:rPr>
                <w:rFonts w:ascii="Arial Narrow" w:hAnsi="Arial Narrow" w:cs="Calibri"/>
                <w:b/>
                <w:bCs/>
                <w:szCs w:val="18"/>
              </w:rPr>
              <w:t>Lifetime</w:t>
            </w:r>
          </w:p>
        </w:tc>
        <w:tc>
          <w:tcPr>
            <w:tcW w:w="1117" w:type="dxa"/>
            <w:tcBorders>
              <w:top w:val="nil"/>
              <w:left w:val="nil"/>
              <w:bottom w:val="single" w:sz="4" w:space="0" w:color="auto"/>
              <w:right w:val="nil"/>
            </w:tcBorders>
            <w:shd w:val="clear" w:color="auto" w:fill="auto"/>
            <w:noWrap/>
            <w:vAlign w:val="center"/>
            <w:hideMark/>
          </w:tcPr>
          <w:p w14:paraId="0EF53331" w14:textId="761A3273" w:rsidR="001F1FCC" w:rsidRPr="001F1FCC" w:rsidRDefault="001F1FCC">
            <w:pPr>
              <w:spacing w:line="240" w:lineRule="auto"/>
              <w:jc w:val="right"/>
              <w:rPr>
                <w:rFonts w:ascii="Arial Narrow" w:hAnsi="Arial Narrow" w:cs="Calibri"/>
                <w:b/>
                <w:bCs/>
                <w:szCs w:val="18"/>
              </w:rPr>
            </w:pPr>
            <w:r w:rsidRPr="001F1FCC">
              <w:rPr>
                <w:rFonts w:ascii="Arial Narrow" w:hAnsi="Arial Narrow"/>
                <w:b/>
                <w:bCs/>
                <w:szCs w:val="18"/>
              </w:rPr>
              <w:t xml:space="preserve"> 58,079,599 </w:t>
            </w:r>
          </w:p>
        </w:tc>
        <w:tc>
          <w:tcPr>
            <w:tcW w:w="1598" w:type="dxa"/>
            <w:tcBorders>
              <w:top w:val="single" w:sz="4" w:space="0" w:color="auto"/>
              <w:left w:val="nil"/>
              <w:bottom w:val="single" w:sz="4" w:space="0" w:color="auto"/>
              <w:right w:val="nil"/>
            </w:tcBorders>
            <w:shd w:val="clear" w:color="auto" w:fill="auto"/>
            <w:noWrap/>
            <w:vAlign w:val="center"/>
            <w:hideMark/>
          </w:tcPr>
          <w:p w14:paraId="6FB994BF" w14:textId="47B53B05" w:rsidR="001F1FCC" w:rsidRPr="001F1FCC" w:rsidRDefault="001F1FCC">
            <w:pPr>
              <w:spacing w:line="240" w:lineRule="auto"/>
              <w:jc w:val="right"/>
              <w:rPr>
                <w:rFonts w:ascii="Arial Narrow" w:hAnsi="Arial Narrow" w:cs="Calibri"/>
                <w:b/>
                <w:bCs/>
                <w:szCs w:val="18"/>
              </w:rPr>
            </w:pPr>
            <w:r w:rsidRPr="001F1FCC">
              <w:rPr>
                <w:rFonts w:ascii="Arial Narrow" w:hAnsi="Arial Narrow"/>
                <w:b/>
                <w:bCs/>
                <w:szCs w:val="18"/>
              </w:rPr>
              <w:t xml:space="preserve">$11,948,662 </w:t>
            </w:r>
          </w:p>
        </w:tc>
        <w:tc>
          <w:tcPr>
            <w:tcW w:w="1605" w:type="dxa"/>
            <w:tcBorders>
              <w:top w:val="single" w:sz="4" w:space="0" w:color="auto"/>
              <w:left w:val="nil"/>
              <w:bottom w:val="single" w:sz="4" w:space="0" w:color="auto"/>
              <w:right w:val="nil"/>
            </w:tcBorders>
            <w:shd w:val="clear" w:color="auto" w:fill="auto"/>
            <w:noWrap/>
            <w:vAlign w:val="center"/>
            <w:hideMark/>
          </w:tcPr>
          <w:p w14:paraId="3D8C5B33" w14:textId="0C7DE2A0" w:rsidR="001F1FCC" w:rsidRPr="001F1FCC" w:rsidRDefault="001F1FCC">
            <w:pPr>
              <w:spacing w:line="240" w:lineRule="auto"/>
              <w:jc w:val="right"/>
              <w:rPr>
                <w:rFonts w:ascii="Arial Narrow" w:hAnsi="Arial Narrow" w:cs="Calibri"/>
                <w:b/>
                <w:bCs/>
                <w:szCs w:val="18"/>
              </w:rPr>
            </w:pPr>
            <w:r w:rsidRPr="001F1FCC">
              <w:rPr>
                <w:rFonts w:ascii="Arial Narrow" w:hAnsi="Arial Narrow"/>
                <w:b/>
                <w:bCs/>
                <w:szCs w:val="18"/>
              </w:rPr>
              <w:t>$0.2057</w:t>
            </w:r>
          </w:p>
        </w:tc>
        <w:tc>
          <w:tcPr>
            <w:tcW w:w="1232" w:type="dxa"/>
            <w:tcBorders>
              <w:top w:val="single" w:sz="4" w:space="0" w:color="auto"/>
              <w:left w:val="nil"/>
              <w:bottom w:val="single" w:sz="4" w:space="0" w:color="auto"/>
              <w:right w:val="nil"/>
            </w:tcBorders>
            <w:shd w:val="clear" w:color="auto" w:fill="auto"/>
            <w:noWrap/>
            <w:vAlign w:val="center"/>
            <w:hideMark/>
          </w:tcPr>
          <w:p w14:paraId="4C937816" w14:textId="095DAF6E" w:rsidR="001F1FCC" w:rsidRPr="001F1FCC" w:rsidRDefault="001F1FCC">
            <w:pPr>
              <w:spacing w:line="240" w:lineRule="auto"/>
              <w:jc w:val="right"/>
              <w:rPr>
                <w:rFonts w:ascii="Arial Narrow" w:hAnsi="Arial Narrow" w:cs="Calibri"/>
                <w:b/>
                <w:bCs/>
                <w:szCs w:val="18"/>
              </w:rPr>
            </w:pPr>
            <w:r w:rsidRPr="001F1FCC">
              <w:rPr>
                <w:rFonts w:ascii="Arial Narrow" w:hAnsi="Arial Narrow"/>
                <w:b/>
                <w:bCs/>
                <w:szCs w:val="18"/>
              </w:rPr>
              <w:t xml:space="preserve"> 32,249,418 </w:t>
            </w:r>
          </w:p>
        </w:tc>
        <w:tc>
          <w:tcPr>
            <w:tcW w:w="1217" w:type="dxa"/>
            <w:tcBorders>
              <w:top w:val="single" w:sz="4" w:space="0" w:color="auto"/>
              <w:left w:val="nil"/>
              <w:bottom w:val="single" w:sz="4" w:space="0" w:color="auto"/>
              <w:right w:val="nil"/>
            </w:tcBorders>
            <w:shd w:val="clear" w:color="auto" w:fill="auto"/>
            <w:noWrap/>
            <w:vAlign w:val="center"/>
            <w:hideMark/>
          </w:tcPr>
          <w:p w14:paraId="5072C58C" w14:textId="5D736B61" w:rsidR="001F1FCC" w:rsidRPr="001F1FCC" w:rsidRDefault="001F1FCC">
            <w:pPr>
              <w:spacing w:line="240" w:lineRule="auto"/>
              <w:jc w:val="right"/>
              <w:rPr>
                <w:rFonts w:ascii="Arial Narrow" w:hAnsi="Arial Narrow" w:cs="Calibri"/>
                <w:b/>
                <w:bCs/>
                <w:szCs w:val="18"/>
              </w:rPr>
            </w:pPr>
            <w:r w:rsidRPr="001F1FCC">
              <w:rPr>
                <w:rFonts w:ascii="Arial Narrow" w:hAnsi="Arial Narrow"/>
                <w:b/>
                <w:bCs/>
                <w:szCs w:val="18"/>
              </w:rPr>
              <w:t xml:space="preserve"> 6,758,542 </w:t>
            </w:r>
          </w:p>
        </w:tc>
        <w:tc>
          <w:tcPr>
            <w:tcW w:w="1601" w:type="dxa"/>
            <w:tcBorders>
              <w:top w:val="single" w:sz="4" w:space="0" w:color="auto"/>
              <w:left w:val="nil"/>
              <w:bottom w:val="single" w:sz="4" w:space="0" w:color="auto"/>
              <w:right w:val="nil"/>
            </w:tcBorders>
            <w:shd w:val="clear" w:color="auto" w:fill="auto"/>
            <w:noWrap/>
            <w:vAlign w:val="center"/>
            <w:hideMark/>
          </w:tcPr>
          <w:p w14:paraId="5E1178BB" w14:textId="4C0DF8BB" w:rsidR="001F1FCC" w:rsidRPr="001F1FCC" w:rsidRDefault="001F1FCC">
            <w:pPr>
              <w:spacing w:line="240" w:lineRule="auto"/>
              <w:jc w:val="right"/>
              <w:rPr>
                <w:rFonts w:ascii="Arial Narrow" w:hAnsi="Arial Narrow" w:cs="Calibri"/>
                <w:b/>
                <w:bCs/>
                <w:szCs w:val="18"/>
              </w:rPr>
            </w:pPr>
            <w:r>
              <w:rPr>
                <w:rFonts w:ascii="Arial Narrow" w:hAnsi="Arial Narrow"/>
                <w:b/>
                <w:bCs/>
                <w:szCs w:val="18"/>
              </w:rPr>
              <w:t>$</w:t>
            </w:r>
            <w:r w:rsidRPr="001F1FCC">
              <w:rPr>
                <w:rFonts w:ascii="Arial Narrow" w:hAnsi="Arial Narrow"/>
                <w:b/>
                <w:bCs/>
                <w:szCs w:val="18"/>
              </w:rPr>
              <w:t>0.20</w:t>
            </w:r>
            <w:r>
              <w:rPr>
                <w:rFonts w:ascii="Arial Narrow" w:hAnsi="Arial Narrow"/>
                <w:b/>
                <w:bCs/>
                <w:szCs w:val="18"/>
              </w:rPr>
              <w:t>96</w:t>
            </w:r>
          </w:p>
        </w:tc>
      </w:tr>
    </w:tbl>
    <w:p w14:paraId="29F21F06" w14:textId="663D8826" w:rsidR="006F3AF7" w:rsidRDefault="006F3AF7" w:rsidP="00304BF4">
      <w:pPr>
        <w:keepNext/>
        <w:rPr>
          <w:i/>
          <w:iCs/>
          <w:sz w:val="16"/>
          <w:szCs w:val="20"/>
        </w:rPr>
      </w:pPr>
      <w:r w:rsidRPr="003250F9">
        <w:rPr>
          <w:i/>
          <w:iCs/>
          <w:sz w:val="16"/>
          <w:szCs w:val="20"/>
        </w:rPr>
        <w:t>Source: Guidehouse CY201</w:t>
      </w:r>
      <w:r>
        <w:rPr>
          <w:i/>
          <w:iCs/>
          <w:sz w:val="16"/>
          <w:szCs w:val="20"/>
        </w:rPr>
        <w:t>9</w:t>
      </w:r>
      <w:r w:rsidRPr="003250F9">
        <w:rPr>
          <w:i/>
          <w:iCs/>
          <w:sz w:val="16"/>
          <w:szCs w:val="20"/>
        </w:rPr>
        <w:t xml:space="preserve"> </w:t>
      </w:r>
      <w:r w:rsidR="00363BBB">
        <w:rPr>
          <w:i/>
          <w:iCs/>
          <w:sz w:val="16"/>
          <w:szCs w:val="20"/>
        </w:rPr>
        <w:t>Peoples</w:t>
      </w:r>
      <w:r w:rsidRPr="003250F9">
        <w:rPr>
          <w:i/>
          <w:iCs/>
          <w:sz w:val="16"/>
          <w:szCs w:val="20"/>
        </w:rPr>
        <w:t xml:space="preserve"> Gas Program Savings </w:t>
      </w:r>
      <w:r>
        <w:rPr>
          <w:i/>
          <w:iCs/>
          <w:sz w:val="16"/>
          <w:szCs w:val="20"/>
        </w:rPr>
        <w:t xml:space="preserve">Analysis </w:t>
      </w:r>
      <w:r w:rsidRPr="003250F9">
        <w:rPr>
          <w:i/>
          <w:iCs/>
          <w:sz w:val="16"/>
          <w:szCs w:val="20"/>
        </w:rPr>
        <w:t>data and COBRA model</w:t>
      </w:r>
      <w:r>
        <w:rPr>
          <w:i/>
          <w:iCs/>
          <w:sz w:val="16"/>
          <w:szCs w:val="20"/>
        </w:rPr>
        <w:t>.</w:t>
      </w:r>
      <w:r w:rsidRPr="003250F9">
        <w:rPr>
          <w:i/>
          <w:iCs/>
          <w:sz w:val="16"/>
          <w:szCs w:val="20"/>
        </w:rPr>
        <w:t xml:space="preserve"> </w:t>
      </w:r>
    </w:p>
    <w:p w14:paraId="7360065B" w14:textId="77777777" w:rsidR="00DC73A9" w:rsidRDefault="00DC73A9" w:rsidP="003D65A0">
      <w:pPr>
        <w:rPr>
          <w:rFonts w:eastAsiaTheme="minorHAnsi"/>
          <w:sz w:val="20"/>
          <w:szCs w:val="20"/>
        </w:rPr>
      </w:pPr>
    </w:p>
    <w:p w14:paraId="73B69DB5" w14:textId="77777777" w:rsidR="00DC73A9" w:rsidRDefault="00DC73A9" w:rsidP="003D65A0">
      <w:pPr>
        <w:rPr>
          <w:rFonts w:eastAsiaTheme="minorHAnsi"/>
          <w:sz w:val="20"/>
          <w:szCs w:val="20"/>
        </w:rPr>
      </w:pPr>
    </w:p>
    <w:p w14:paraId="3ED7A1DC" w14:textId="2D3893F6" w:rsidR="00DC73A9" w:rsidRPr="00304BF4" w:rsidRDefault="00DC73A9" w:rsidP="00D562CB">
      <w:pPr>
        <w:pStyle w:val="Caption"/>
        <w:keepNext/>
        <w:pageBreakBefore/>
        <w:spacing w:after="120"/>
        <w:jc w:val="center"/>
        <w:rPr>
          <w:rFonts w:eastAsiaTheme="minorHAnsi" w:cstheme="minorBidi"/>
          <w:b/>
          <w:bCs/>
          <w:color w:val="93D500" w:themeColor="accent1"/>
          <w:sz w:val="20"/>
          <w:szCs w:val="20"/>
        </w:rPr>
      </w:pPr>
      <w:r w:rsidRPr="00304BF4">
        <w:rPr>
          <w:rFonts w:eastAsiaTheme="minorHAnsi" w:cstheme="minorBidi"/>
          <w:b/>
          <w:bCs/>
          <w:i w:val="0"/>
          <w:iCs w:val="0"/>
          <w:color w:val="93D500" w:themeColor="accent1"/>
          <w:sz w:val="20"/>
          <w:szCs w:val="20"/>
        </w:rPr>
        <w:lastRenderedPageBreak/>
        <w:t>T</w:t>
      </w:r>
      <w:r w:rsidRPr="00DD5440">
        <w:rPr>
          <w:rFonts w:eastAsiaTheme="minorHAnsi" w:cstheme="minorBidi"/>
          <w:b/>
          <w:bCs/>
          <w:i w:val="0"/>
          <w:iCs w:val="0"/>
          <w:color w:val="93D500" w:themeColor="accent1"/>
          <w:sz w:val="20"/>
          <w:szCs w:val="20"/>
        </w:rPr>
        <w:t xml:space="preserve">able </w:t>
      </w:r>
      <w:r w:rsidRPr="00DD5440">
        <w:rPr>
          <w:rFonts w:eastAsiaTheme="minorHAnsi" w:cstheme="minorBidi"/>
          <w:b/>
          <w:bCs/>
          <w:i w:val="0"/>
          <w:iCs w:val="0"/>
          <w:color w:val="93D500" w:themeColor="accent1"/>
          <w:sz w:val="20"/>
          <w:szCs w:val="20"/>
        </w:rPr>
        <w:fldChar w:fldCharType="begin"/>
      </w:r>
      <w:r w:rsidRPr="00DD5440">
        <w:rPr>
          <w:rFonts w:eastAsiaTheme="minorHAnsi" w:cstheme="minorBidi"/>
          <w:b/>
          <w:bCs/>
          <w:i w:val="0"/>
          <w:iCs w:val="0"/>
          <w:color w:val="93D500" w:themeColor="accent1"/>
          <w:sz w:val="20"/>
          <w:szCs w:val="20"/>
        </w:rPr>
        <w:instrText xml:space="preserve"> SEQ Table \* ARABIC </w:instrText>
      </w:r>
      <w:r w:rsidRPr="00DD5440">
        <w:rPr>
          <w:rFonts w:eastAsiaTheme="minorHAnsi" w:cstheme="minorBidi"/>
          <w:b/>
          <w:bCs/>
          <w:i w:val="0"/>
          <w:iCs w:val="0"/>
          <w:color w:val="93D500" w:themeColor="accent1"/>
          <w:sz w:val="20"/>
          <w:szCs w:val="20"/>
        </w:rPr>
        <w:fldChar w:fldCharType="separate"/>
      </w:r>
      <w:r w:rsidR="00DD5440">
        <w:rPr>
          <w:rFonts w:eastAsiaTheme="minorHAnsi" w:cstheme="minorBidi"/>
          <w:b/>
          <w:bCs/>
          <w:i w:val="0"/>
          <w:iCs w:val="0"/>
          <w:noProof/>
          <w:color w:val="93D500" w:themeColor="accent1"/>
          <w:sz w:val="20"/>
          <w:szCs w:val="20"/>
        </w:rPr>
        <w:t>12</w:t>
      </w:r>
      <w:r w:rsidRPr="00DD5440">
        <w:rPr>
          <w:rFonts w:eastAsiaTheme="minorHAnsi" w:cstheme="minorBidi"/>
          <w:b/>
          <w:bCs/>
          <w:i w:val="0"/>
          <w:iCs w:val="0"/>
          <w:color w:val="93D500" w:themeColor="accent1"/>
          <w:sz w:val="20"/>
          <w:szCs w:val="20"/>
        </w:rPr>
        <w:fldChar w:fldCharType="end"/>
      </w:r>
      <w:r w:rsidRPr="00304BF4">
        <w:rPr>
          <w:rFonts w:eastAsiaTheme="minorHAnsi" w:cstheme="minorBidi"/>
          <w:b/>
          <w:bCs/>
          <w:i w:val="0"/>
          <w:iCs w:val="0"/>
          <w:color w:val="93D500" w:themeColor="accent1"/>
          <w:sz w:val="20"/>
          <w:szCs w:val="20"/>
        </w:rPr>
        <w:t>. Sector Level Dollars per Therms Savings – CY2023</w:t>
      </w:r>
      <w:r w:rsidR="00E01A0C">
        <w:rPr>
          <w:rFonts w:eastAsiaTheme="minorHAnsi" w:cstheme="minorBidi"/>
          <w:b/>
          <w:bCs/>
          <w:i w:val="0"/>
          <w:iCs w:val="0"/>
          <w:color w:val="93D500" w:themeColor="accent1"/>
          <w:sz w:val="20"/>
          <w:szCs w:val="20"/>
        </w:rPr>
        <w:t xml:space="preserve"> (Real Dollars)</w:t>
      </w:r>
    </w:p>
    <w:tbl>
      <w:tblPr>
        <w:tblW w:w="9446" w:type="dxa"/>
        <w:tblLook w:val="04A0" w:firstRow="1" w:lastRow="0" w:firstColumn="1" w:lastColumn="0" w:noHBand="0" w:noVBand="1"/>
      </w:tblPr>
      <w:tblGrid>
        <w:gridCol w:w="990"/>
        <w:gridCol w:w="1117"/>
        <w:gridCol w:w="1598"/>
        <w:gridCol w:w="1605"/>
        <w:gridCol w:w="1318"/>
        <w:gridCol w:w="1217"/>
        <w:gridCol w:w="1601"/>
      </w:tblGrid>
      <w:tr w:rsidR="00DC73A9" w:rsidRPr="00536559" w14:paraId="6BAD9C10" w14:textId="77777777" w:rsidTr="00536559">
        <w:trPr>
          <w:trHeight w:val="825"/>
          <w:tblHeader/>
        </w:trPr>
        <w:tc>
          <w:tcPr>
            <w:tcW w:w="990" w:type="dxa"/>
            <w:tcBorders>
              <w:top w:val="nil"/>
              <w:left w:val="nil"/>
              <w:bottom w:val="single" w:sz="12" w:space="0" w:color="93D500"/>
              <w:right w:val="nil"/>
            </w:tcBorders>
            <w:shd w:val="clear" w:color="000000" w:fill="53575A"/>
            <w:vAlign w:val="center"/>
            <w:hideMark/>
          </w:tcPr>
          <w:p w14:paraId="648CEBE1" w14:textId="77777777" w:rsidR="00DC73A9" w:rsidRPr="00536559" w:rsidRDefault="00DC73A9" w:rsidP="00536559">
            <w:pPr>
              <w:spacing w:line="240" w:lineRule="auto"/>
              <w:jc w:val="right"/>
              <w:rPr>
                <w:rFonts w:ascii="Arial Narrow" w:hAnsi="Arial Narrow" w:cs="Calibri"/>
                <w:b/>
                <w:bCs/>
                <w:color w:val="FFFFFF"/>
                <w:szCs w:val="18"/>
              </w:rPr>
            </w:pPr>
            <w:r w:rsidRPr="00536559">
              <w:rPr>
                <w:rFonts w:ascii="Arial Narrow" w:hAnsi="Arial Narrow" w:cs="Calibri"/>
                <w:b/>
                <w:bCs/>
                <w:color w:val="FFFFFF"/>
                <w:szCs w:val="18"/>
              </w:rPr>
              <w:t>Year</w:t>
            </w:r>
          </w:p>
        </w:tc>
        <w:tc>
          <w:tcPr>
            <w:tcW w:w="1117" w:type="dxa"/>
            <w:tcBorders>
              <w:top w:val="nil"/>
              <w:left w:val="nil"/>
              <w:bottom w:val="single" w:sz="12" w:space="0" w:color="93D500"/>
              <w:right w:val="nil"/>
            </w:tcBorders>
            <w:shd w:val="clear" w:color="000000" w:fill="53575A"/>
            <w:vAlign w:val="center"/>
            <w:hideMark/>
          </w:tcPr>
          <w:p w14:paraId="0D420017" w14:textId="77777777" w:rsidR="00DC73A9" w:rsidRPr="00536559" w:rsidRDefault="00DC73A9" w:rsidP="00536559">
            <w:pPr>
              <w:spacing w:line="240" w:lineRule="auto"/>
              <w:jc w:val="right"/>
              <w:rPr>
                <w:rFonts w:ascii="Arial Narrow" w:hAnsi="Arial Narrow" w:cs="Calibri"/>
                <w:b/>
                <w:bCs/>
                <w:color w:val="FFFFFF"/>
                <w:szCs w:val="18"/>
              </w:rPr>
            </w:pPr>
            <w:r w:rsidRPr="00536559">
              <w:rPr>
                <w:rFonts w:ascii="Arial Narrow" w:hAnsi="Arial Narrow" w:cs="Calibri"/>
                <w:b/>
                <w:bCs/>
                <w:color w:val="FFFFFF"/>
                <w:szCs w:val="18"/>
              </w:rPr>
              <w:t>Therms Savings (Residential)</w:t>
            </w:r>
          </w:p>
        </w:tc>
        <w:tc>
          <w:tcPr>
            <w:tcW w:w="1598" w:type="dxa"/>
            <w:tcBorders>
              <w:top w:val="nil"/>
              <w:left w:val="nil"/>
              <w:bottom w:val="single" w:sz="12" w:space="0" w:color="93D500"/>
              <w:right w:val="nil"/>
            </w:tcBorders>
            <w:shd w:val="clear" w:color="000000" w:fill="53575A"/>
            <w:vAlign w:val="center"/>
            <w:hideMark/>
          </w:tcPr>
          <w:p w14:paraId="380A34AB" w14:textId="77777777" w:rsidR="00DC73A9" w:rsidRPr="00536559" w:rsidRDefault="00DC73A9" w:rsidP="00536559">
            <w:pPr>
              <w:spacing w:line="240" w:lineRule="auto"/>
              <w:jc w:val="right"/>
              <w:rPr>
                <w:rFonts w:ascii="Arial Narrow" w:hAnsi="Arial Narrow" w:cs="Calibri"/>
                <w:b/>
                <w:bCs/>
                <w:color w:val="FFFFFF"/>
                <w:szCs w:val="18"/>
              </w:rPr>
            </w:pPr>
            <w:r w:rsidRPr="00536559">
              <w:rPr>
                <w:rFonts w:ascii="Arial Narrow" w:hAnsi="Arial Narrow" w:cs="Calibri"/>
                <w:b/>
                <w:bCs/>
                <w:color w:val="FFFFFF"/>
                <w:szCs w:val="18"/>
              </w:rPr>
              <w:t>$ Total Health Benefits (average)</w:t>
            </w:r>
            <w:r w:rsidRPr="00536559">
              <w:rPr>
                <w:rFonts w:ascii="Arial Narrow" w:hAnsi="Arial Narrow" w:cs="Calibri"/>
                <w:szCs w:val="18"/>
              </w:rPr>
              <w:t> </w:t>
            </w:r>
          </w:p>
        </w:tc>
        <w:tc>
          <w:tcPr>
            <w:tcW w:w="1605" w:type="dxa"/>
            <w:tcBorders>
              <w:top w:val="nil"/>
              <w:left w:val="nil"/>
              <w:bottom w:val="single" w:sz="12" w:space="0" w:color="93D500"/>
              <w:right w:val="nil"/>
            </w:tcBorders>
            <w:shd w:val="clear" w:color="000000" w:fill="53575A"/>
            <w:vAlign w:val="center"/>
            <w:hideMark/>
          </w:tcPr>
          <w:p w14:paraId="7A935471" w14:textId="5787CC13" w:rsidR="00DC73A9" w:rsidRPr="00536559" w:rsidRDefault="00DC73A9" w:rsidP="00536559">
            <w:pPr>
              <w:spacing w:line="240" w:lineRule="auto"/>
              <w:jc w:val="right"/>
              <w:rPr>
                <w:rFonts w:ascii="Arial Narrow" w:hAnsi="Arial Narrow" w:cs="Calibri"/>
                <w:b/>
                <w:bCs/>
                <w:color w:val="FFFFFF"/>
                <w:szCs w:val="18"/>
              </w:rPr>
            </w:pPr>
            <w:r w:rsidRPr="00536559">
              <w:rPr>
                <w:rFonts w:ascii="Arial Narrow" w:hAnsi="Arial Narrow" w:cs="Calibri"/>
                <w:b/>
                <w:bCs/>
                <w:color w:val="FFFFFF"/>
                <w:szCs w:val="18"/>
              </w:rPr>
              <w:t xml:space="preserve">$Total Health Benefits per Therm </w:t>
            </w:r>
            <w:r w:rsidR="00151A27" w:rsidRPr="00536559">
              <w:rPr>
                <w:rFonts w:ascii="Arial Narrow" w:hAnsi="Arial Narrow" w:cs="Calibri"/>
                <w:b/>
                <w:bCs/>
                <w:color w:val="FFFFFF"/>
                <w:szCs w:val="18"/>
              </w:rPr>
              <w:t>(average)</w:t>
            </w:r>
          </w:p>
        </w:tc>
        <w:tc>
          <w:tcPr>
            <w:tcW w:w="1318" w:type="dxa"/>
            <w:tcBorders>
              <w:top w:val="nil"/>
              <w:left w:val="nil"/>
              <w:bottom w:val="single" w:sz="12" w:space="0" w:color="93D500"/>
              <w:right w:val="nil"/>
            </w:tcBorders>
            <w:shd w:val="clear" w:color="000000" w:fill="53575A"/>
            <w:vAlign w:val="center"/>
            <w:hideMark/>
          </w:tcPr>
          <w:p w14:paraId="011B6878" w14:textId="77777777" w:rsidR="00DC73A9" w:rsidRPr="00536559" w:rsidRDefault="00DC73A9" w:rsidP="00536559">
            <w:pPr>
              <w:spacing w:line="240" w:lineRule="auto"/>
              <w:jc w:val="right"/>
              <w:rPr>
                <w:rFonts w:ascii="Arial Narrow" w:hAnsi="Arial Narrow" w:cs="Calibri"/>
                <w:b/>
                <w:bCs/>
                <w:color w:val="FFFFFF"/>
                <w:szCs w:val="18"/>
              </w:rPr>
            </w:pPr>
            <w:r w:rsidRPr="00536559">
              <w:rPr>
                <w:rFonts w:ascii="Arial Narrow" w:hAnsi="Arial Narrow" w:cs="Calibri"/>
                <w:b/>
                <w:bCs/>
                <w:color w:val="FFFFFF"/>
                <w:szCs w:val="18"/>
              </w:rPr>
              <w:t>Therms Savings (Non-Residential)</w:t>
            </w:r>
          </w:p>
        </w:tc>
        <w:tc>
          <w:tcPr>
            <w:tcW w:w="1217" w:type="dxa"/>
            <w:tcBorders>
              <w:top w:val="nil"/>
              <w:left w:val="nil"/>
              <w:bottom w:val="single" w:sz="12" w:space="0" w:color="93D500"/>
              <w:right w:val="nil"/>
            </w:tcBorders>
            <w:shd w:val="clear" w:color="000000" w:fill="53575A"/>
            <w:vAlign w:val="center"/>
            <w:hideMark/>
          </w:tcPr>
          <w:p w14:paraId="138368FC" w14:textId="77777777" w:rsidR="00DC73A9" w:rsidRPr="00536559" w:rsidRDefault="00DC73A9" w:rsidP="00536559">
            <w:pPr>
              <w:spacing w:line="240" w:lineRule="auto"/>
              <w:jc w:val="right"/>
              <w:rPr>
                <w:rFonts w:ascii="Arial Narrow" w:hAnsi="Arial Narrow" w:cs="Calibri"/>
                <w:b/>
                <w:bCs/>
                <w:color w:val="FFFFFF"/>
                <w:szCs w:val="18"/>
              </w:rPr>
            </w:pPr>
            <w:r w:rsidRPr="00536559">
              <w:rPr>
                <w:rFonts w:ascii="Arial Narrow" w:hAnsi="Arial Narrow" w:cs="Calibri"/>
                <w:b/>
                <w:bCs/>
                <w:color w:val="FFFFFF"/>
                <w:szCs w:val="18"/>
              </w:rPr>
              <w:t>$ Total Health Benefits (average) </w:t>
            </w:r>
          </w:p>
        </w:tc>
        <w:tc>
          <w:tcPr>
            <w:tcW w:w="1601" w:type="dxa"/>
            <w:tcBorders>
              <w:top w:val="nil"/>
              <w:left w:val="nil"/>
              <w:bottom w:val="single" w:sz="12" w:space="0" w:color="93D500"/>
              <w:right w:val="nil"/>
            </w:tcBorders>
            <w:shd w:val="clear" w:color="000000" w:fill="53575A"/>
            <w:vAlign w:val="center"/>
            <w:hideMark/>
          </w:tcPr>
          <w:p w14:paraId="335F5787" w14:textId="76CB7AEE" w:rsidR="00DC73A9" w:rsidRPr="00536559" w:rsidRDefault="00DC73A9" w:rsidP="00536559">
            <w:pPr>
              <w:spacing w:line="240" w:lineRule="auto"/>
              <w:jc w:val="right"/>
              <w:rPr>
                <w:rFonts w:ascii="Arial Narrow" w:hAnsi="Arial Narrow" w:cs="Calibri"/>
                <w:b/>
                <w:bCs/>
                <w:color w:val="FFFFFF"/>
                <w:szCs w:val="18"/>
              </w:rPr>
            </w:pPr>
            <w:r w:rsidRPr="00536559">
              <w:rPr>
                <w:rFonts w:ascii="Arial Narrow" w:hAnsi="Arial Narrow" w:cs="Calibri"/>
                <w:b/>
                <w:bCs/>
                <w:color w:val="FFFFFF"/>
                <w:szCs w:val="18"/>
              </w:rPr>
              <w:t xml:space="preserve">$Total Health Benefits per Therm </w:t>
            </w:r>
            <w:r w:rsidR="00151A27" w:rsidRPr="00536559">
              <w:rPr>
                <w:rFonts w:ascii="Arial Narrow" w:hAnsi="Arial Narrow" w:cs="Calibri"/>
                <w:b/>
                <w:bCs/>
                <w:color w:val="FFFFFF"/>
                <w:szCs w:val="18"/>
              </w:rPr>
              <w:t>(average)</w:t>
            </w:r>
          </w:p>
        </w:tc>
      </w:tr>
      <w:tr w:rsidR="00536559" w:rsidRPr="00536559" w14:paraId="10344705" w14:textId="77777777" w:rsidTr="00536559">
        <w:trPr>
          <w:trHeight w:val="270"/>
        </w:trPr>
        <w:tc>
          <w:tcPr>
            <w:tcW w:w="990" w:type="dxa"/>
            <w:tcBorders>
              <w:top w:val="nil"/>
              <w:left w:val="nil"/>
              <w:bottom w:val="nil"/>
              <w:right w:val="nil"/>
            </w:tcBorders>
            <w:shd w:val="clear" w:color="auto" w:fill="auto"/>
            <w:noWrap/>
            <w:vAlign w:val="center"/>
            <w:hideMark/>
          </w:tcPr>
          <w:p w14:paraId="7E48F4FA" w14:textId="3F9E4604"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2023</w:t>
            </w:r>
          </w:p>
        </w:tc>
        <w:tc>
          <w:tcPr>
            <w:tcW w:w="1117" w:type="dxa"/>
            <w:tcBorders>
              <w:top w:val="nil"/>
              <w:left w:val="nil"/>
              <w:bottom w:val="nil"/>
              <w:right w:val="nil"/>
            </w:tcBorders>
            <w:shd w:val="clear" w:color="auto" w:fill="auto"/>
            <w:noWrap/>
            <w:vAlign w:val="center"/>
            <w:hideMark/>
          </w:tcPr>
          <w:p w14:paraId="4FEB1747" w14:textId="6DD8A1FD"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5,944,299 </w:t>
            </w:r>
          </w:p>
        </w:tc>
        <w:tc>
          <w:tcPr>
            <w:tcW w:w="1598" w:type="dxa"/>
            <w:tcBorders>
              <w:top w:val="nil"/>
              <w:left w:val="nil"/>
              <w:bottom w:val="nil"/>
              <w:right w:val="nil"/>
            </w:tcBorders>
            <w:shd w:val="clear" w:color="auto" w:fill="auto"/>
            <w:noWrap/>
            <w:vAlign w:val="center"/>
            <w:hideMark/>
          </w:tcPr>
          <w:p w14:paraId="08E8CD65" w14:textId="3BE69F46"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$1,202,857 </w:t>
            </w:r>
          </w:p>
        </w:tc>
        <w:tc>
          <w:tcPr>
            <w:tcW w:w="1605" w:type="dxa"/>
            <w:tcBorders>
              <w:top w:val="nil"/>
              <w:left w:val="nil"/>
              <w:bottom w:val="nil"/>
              <w:right w:val="nil"/>
            </w:tcBorders>
            <w:shd w:val="clear" w:color="auto" w:fill="auto"/>
            <w:noWrap/>
            <w:vAlign w:val="center"/>
            <w:hideMark/>
          </w:tcPr>
          <w:p w14:paraId="661C63EC" w14:textId="57394BFE"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$0.2024 </w:t>
            </w:r>
          </w:p>
        </w:tc>
        <w:tc>
          <w:tcPr>
            <w:tcW w:w="1318" w:type="dxa"/>
            <w:tcBorders>
              <w:top w:val="nil"/>
              <w:left w:val="nil"/>
              <w:bottom w:val="nil"/>
              <w:right w:val="nil"/>
            </w:tcBorders>
            <w:shd w:val="clear" w:color="auto" w:fill="auto"/>
            <w:noWrap/>
            <w:vAlign w:val="center"/>
            <w:hideMark/>
          </w:tcPr>
          <w:p w14:paraId="6A323278" w14:textId="3D2AA258"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3,968,899 </w:t>
            </w:r>
          </w:p>
        </w:tc>
        <w:tc>
          <w:tcPr>
            <w:tcW w:w="1217" w:type="dxa"/>
            <w:tcBorders>
              <w:top w:val="nil"/>
              <w:left w:val="nil"/>
              <w:bottom w:val="nil"/>
              <w:right w:val="nil"/>
            </w:tcBorders>
            <w:shd w:val="clear" w:color="auto" w:fill="auto"/>
            <w:noWrap/>
            <w:vAlign w:val="center"/>
            <w:hideMark/>
          </w:tcPr>
          <w:p w14:paraId="22C7085A" w14:textId="654B4EE3"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$821,856 </w:t>
            </w:r>
          </w:p>
        </w:tc>
        <w:tc>
          <w:tcPr>
            <w:tcW w:w="1601" w:type="dxa"/>
            <w:tcBorders>
              <w:top w:val="nil"/>
              <w:left w:val="nil"/>
              <w:bottom w:val="nil"/>
              <w:right w:val="nil"/>
            </w:tcBorders>
            <w:shd w:val="clear" w:color="auto" w:fill="auto"/>
            <w:noWrap/>
            <w:vAlign w:val="center"/>
            <w:hideMark/>
          </w:tcPr>
          <w:p w14:paraId="4898279B" w14:textId="46195FDB"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$0.2071 </w:t>
            </w:r>
          </w:p>
        </w:tc>
      </w:tr>
      <w:tr w:rsidR="00536559" w:rsidRPr="00536559" w14:paraId="40848BD6" w14:textId="77777777" w:rsidTr="00536559">
        <w:trPr>
          <w:trHeight w:val="255"/>
        </w:trPr>
        <w:tc>
          <w:tcPr>
            <w:tcW w:w="990" w:type="dxa"/>
            <w:tcBorders>
              <w:top w:val="nil"/>
              <w:left w:val="nil"/>
              <w:bottom w:val="nil"/>
              <w:right w:val="nil"/>
            </w:tcBorders>
            <w:shd w:val="clear" w:color="auto" w:fill="auto"/>
            <w:noWrap/>
            <w:vAlign w:val="center"/>
            <w:hideMark/>
          </w:tcPr>
          <w:p w14:paraId="409538E6" w14:textId="68EAB0E6"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2024</w:t>
            </w:r>
          </w:p>
        </w:tc>
        <w:tc>
          <w:tcPr>
            <w:tcW w:w="1117" w:type="dxa"/>
            <w:tcBorders>
              <w:top w:val="nil"/>
              <w:left w:val="nil"/>
              <w:bottom w:val="nil"/>
              <w:right w:val="nil"/>
            </w:tcBorders>
            <w:shd w:val="clear" w:color="auto" w:fill="auto"/>
            <w:noWrap/>
            <w:vAlign w:val="center"/>
            <w:hideMark/>
          </w:tcPr>
          <w:p w14:paraId="37B49E3B" w14:textId="5476E0F0"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5,897,053 </w:t>
            </w:r>
          </w:p>
        </w:tc>
        <w:tc>
          <w:tcPr>
            <w:tcW w:w="1598" w:type="dxa"/>
            <w:tcBorders>
              <w:top w:val="nil"/>
              <w:left w:val="nil"/>
              <w:bottom w:val="nil"/>
              <w:right w:val="nil"/>
            </w:tcBorders>
            <w:shd w:val="clear" w:color="auto" w:fill="auto"/>
            <w:noWrap/>
            <w:vAlign w:val="center"/>
            <w:hideMark/>
          </w:tcPr>
          <w:p w14:paraId="27270CA2" w14:textId="4CEB5E10"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$1,193,341 </w:t>
            </w:r>
          </w:p>
        </w:tc>
        <w:tc>
          <w:tcPr>
            <w:tcW w:w="1605" w:type="dxa"/>
            <w:tcBorders>
              <w:top w:val="nil"/>
              <w:left w:val="nil"/>
              <w:bottom w:val="nil"/>
              <w:right w:val="nil"/>
            </w:tcBorders>
            <w:shd w:val="clear" w:color="auto" w:fill="auto"/>
            <w:noWrap/>
            <w:vAlign w:val="center"/>
            <w:hideMark/>
          </w:tcPr>
          <w:p w14:paraId="201C7C78" w14:textId="7F33BE37"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$0.2024 </w:t>
            </w:r>
          </w:p>
        </w:tc>
        <w:tc>
          <w:tcPr>
            <w:tcW w:w="1318" w:type="dxa"/>
            <w:tcBorders>
              <w:top w:val="nil"/>
              <w:left w:val="nil"/>
              <w:bottom w:val="nil"/>
              <w:right w:val="nil"/>
            </w:tcBorders>
            <w:shd w:val="clear" w:color="auto" w:fill="auto"/>
            <w:noWrap/>
            <w:vAlign w:val="center"/>
            <w:hideMark/>
          </w:tcPr>
          <w:p w14:paraId="7FDFC45B" w14:textId="2C7AEB5C"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3,968,899 </w:t>
            </w:r>
          </w:p>
        </w:tc>
        <w:tc>
          <w:tcPr>
            <w:tcW w:w="1217" w:type="dxa"/>
            <w:tcBorders>
              <w:top w:val="nil"/>
              <w:left w:val="nil"/>
              <w:bottom w:val="nil"/>
              <w:right w:val="nil"/>
            </w:tcBorders>
            <w:shd w:val="clear" w:color="auto" w:fill="auto"/>
            <w:noWrap/>
            <w:vAlign w:val="center"/>
            <w:hideMark/>
          </w:tcPr>
          <w:p w14:paraId="467CE32D" w14:textId="69DB9CF0"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$821,856 </w:t>
            </w:r>
          </w:p>
        </w:tc>
        <w:tc>
          <w:tcPr>
            <w:tcW w:w="1601" w:type="dxa"/>
            <w:tcBorders>
              <w:top w:val="nil"/>
              <w:left w:val="nil"/>
              <w:bottom w:val="nil"/>
              <w:right w:val="nil"/>
            </w:tcBorders>
            <w:shd w:val="clear" w:color="auto" w:fill="auto"/>
            <w:noWrap/>
            <w:vAlign w:val="center"/>
            <w:hideMark/>
          </w:tcPr>
          <w:p w14:paraId="40240299" w14:textId="6196C29D"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$0.2071 </w:t>
            </w:r>
          </w:p>
        </w:tc>
      </w:tr>
      <w:tr w:rsidR="00536559" w:rsidRPr="00536559" w14:paraId="1B900F3F" w14:textId="77777777" w:rsidTr="00536559">
        <w:trPr>
          <w:trHeight w:val="255"/>
        </w:trPr>
        <w:tc>
          <w:tcPr>
            <w:tcW w:w="990" w:type="dxa"/>
            <w:tcBorders>
              <w:top w:val="nil"/>
              <w:left w:val="nil"/>
              <w:bottom w:val="nil"/>
              <w:right w:val="nil"/>
            </w:tcBorders>
            <w:shd w:val="clear" w:color="auto" w:fill="auto"/>
            <w:noWrap/>
            <w:vAlign w:val="center"/>
            <w:hideMark/>
          </w:tcPr>
          <w:p w14:paraId="37F56BEE" w14:textId="0ACB92B2"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2025</w:t>
            </w:r>
          </w:p>
        </w:tc>
        <w:tc>
          <w:tcPr>
            <w:tcW w:w="1117" w:type="dxa"/>
            <w:tcBorders>
              <w:top w:val="nil"/>
              <w:left w:val="nil"/>
              <w:bottom w:val="nil"/>
              <w:right w:val="nil"/>
            </w:tcBorders>
            <w:shd w:val="clear" w:color="auto" w:fill="auto"/>
            <w:noWrap/>
            <w:vAlign w:val="center"/>
            <w:hideMark/>
          </w:tcPr>
          <w:p w14:paraId="5D3A6579" w14:textId="72B3269D"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5,788,718 </w:t>
            </w:r>
          </w:p>
        </w:tc>
        <w:tc>
          <w:tcPr>
            <w:tcW w:w="1598" w:type="dxa"/>
            <w:tcBorders>
              <w:top w:val="nil"/>
              <w:left w:val="nil"/>
              <w:bottom w:val="nil"/>
              <w:right w:val="nil"/>
            </w:tcBorders>
            <w:shd w:val="clear" w:color="auto" w:fill="auto"/>
            <w:noWrap/>
            <w:vAlign w:val="center"/>
            <w:hideMark/>
          </w:tcPr>
          <w:p w14:paraId="2453AEE5" w14:textId="6C75A15F"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$1,171,491 </w:t>
            </w:r>
          </w:p>
        </w:tc>
        <w:tc>
          <w:tcPr>
            <w:tcW w:w="1605" w:type="dxa"/>
            <w:tcBorders>
              <w:top w:val="nil"/>
              <w:left w:val="nil"/>
              <w:bottom w:val="nil"/>
              <w:right w:val="nil"/>
            </w:tcBorders>
            <w:shd w:val="clear" w:color="auto" w:fill="auto"/>
            <w:noWrap/>
            <w:vAlign w:val="center"/>
            <w:hideMark/>
          </w:tcPr>
          <w:p w14:paraId="39695C29" w14:textId="1DBA7867"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$0.2024 </w:t>
            </w:r>
          </w:p>
        </w:tc>
        <w:tc>
          <w:tcPr>
            <w:tcW w:w="1318" w:type="dxa"/>
            <w:tcBorders>
              <w:top w:val="nil"/>
              <w:left w:val="nil"/>
              <w:bottom w:val="nil"/>
              <w:right w:val="nil"/>
            </w:tcBorders>
            <w:shd w:val="clear" w:color="auto" w:fill="auto"/>
            <w:noWrap/>
            <w:vAlign w:val="center"/>
            <w:hideMark/>
          </w:tcPr>
          <w:p w14:paraId="1A0169FD" w14:textId="65FAF869"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3,968,899 </w:t>
            </w:r>
          </w:p>
        </w:tc>
        <w:tc>
          <w:tcPr>
            <w:tcW w:w="1217" w:type="dxa"/>
            <w:tcBorders>
              <w:top w:val="nil"/>
              <w:left w:val="nil"/>
              <w:bottom w:val="nil"/>
              <w:right w:val="nil"/>
            </w:tcBorders>
            <w:shd w:val="clear" w:color="auto" w:fill="auto"/>
            <w:noWrap/>
            <w:vAlign w:val="center"/>
            <w:hideMark/>
          </w:tcPr>
          <w:p w14:paraId="434BC143" w14:textId="0B9ECE20"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$821,856 </w:t>
            </w:r>
          </w:p>
        </w:tc>
        <w:tc>
          <w:tcPr>
            <w:tcW w:w="1601" w:type="dxa"/>
            <w:tcBorders>
              <w:top w:val="nil"/>
              <w:left w:val="nil"/>
              <w:bottom w:val="nil"/>
              <w:right w:val="nil"/>
            </w:tcBorders>
            <w:shd w:val="clear" w:color="auto" w:fill="auto"/>
            <w:noWrap/>
            <w:vAlign w:val="center"/>
            <w:hideMark/>
          </w:tcPr>
          <w:p w14:paraId="4C420393" w14:textId="1711AEE2"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$0.2071 </w:t>
            </w:r>
          </w:p>
        </w:tc>
      </w:tr>
      <w:tr w:rsidR="00536559" w:rsidRPr="00536559" w14:paraId="47622D8B" w14:textId="77777777" w:rsidTr="00536559">
        <w:trPr>
          <w:trHeight w:val="255"/>
        </w:trPr>
        <w:tc>
          <w:tcPr>
            <w:tcW w:w="990" w:type="dxa"/>
            <w:tcBorders>
              <w:top w:val="nil"/>
              <w:left w:val="nil"/>
              <w:bottom w:val="nil"/>
              <w:right w:val="nil"/>
            </w:tcBorders>
            <w:shd w:val="clear" w:color="auto" w:fill="auto"/>
            <w:noWrap/>
            <w:vAlign w:val="center"/>
            <w:hideMark/>
          </w:tcPr>
          <w:p w14:paraId="00A5AC7F" w14:textId="12193A2A"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2026</w:t>
            </w:r>
          </w:p>
        </w:tc>
        <w:tc>
          <w:tcPr>
            <w:tcW w:w="1117" w:type="dxa"/>
            <w:tcBorders>
              <w:top w:val="nil"/>
              <w:left w:val="nil"/>
              <w:bottom w:val="nil"/>
              <w:right w:val="nil"/>
            </w:tcBorders>
            <w:shd w:val="clear" w:color="auto" w:fill="auto"/>
            <w:noWrap/>
            <w:vAlign w:val="center"/>
            <w:hideMark/>
          </w:tcPr>
          <w:p w14:paraId="6ED737FC" w14:textId="0CC03212"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5,588,430 </w:t>
            </w:r>
          </w:p>
        </w:tc>
        <w:tc>
          <w:tcPr>
            <w:tcW w:w="1598" w:type="dxa"/>
            <w:tcBorders>
              <w:top w:val="nil"/>
              <w:left w:val="nil"/>
              <w:bottom w:val="nil"/>
              <w:right w:val="nil"/>
            </w:tcBorders>
            <w:shd w:val="clear" w:color="auto" w:fill="auto"/>
            <w:noWrap/>
            <w:vAlign w:val="center"/>
            <w:hideMark/>
          </w:tcPr>
          <w:p w14:paraId="518BB310" w14:textId="2E2595D4"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$1,131,205 </w:t>
            </w:r>
          </w:p>
        </w:tc>
        <w:tc>
          <w:tcPr>
            <w:tcW w:w="1605" w:type="dxa"/>
            <w:tcBorders>
              <w:top w:val="nil"/>
              <w:left w:val="nil"/>
              <w:bottom w:val="nil"/>
              <w:right w:val="nil"/>
            </w:tcBorders>
            <w:shd w:val="clear" w:color="auto" w:fill="auto"/>
            <w:noWrap/>
            <w:vAlign w:val="center"/>
            <w:hideMark/>
          </w:tcPr>
          <w:p w14:paraId="77613D35" w14:textId="3ACAFABD"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$0.2024 </w:t>
            </w:r>
          </w:p>
        </w:tc>
        <w:tc>
          <w:tcPr>
            <w:tcW w:w="1318" w:type="dxa"/>
            <w:tcBorders>
              <w:top w:val="nil"/>
              <w:left w:val="nil"/>
              <w:bottom w:val="nil"/>
              <w:right w:val="nil"/>
            </w:tcBorders>
            <w:shd w:val="clear" w:color="auto" w:fill="auto"/>
            <w:noWrap/>
            <w:vAlign w:val="center"/>
            <w:hideMark/>
          </w:tcPr>
          <w:p w14:paraId="687616A2" w14:textId="19135FFB"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3,344,715 </w:t>
            </w:r>
          </w:p>
        </w:tc>
        <w:tc>
          <w:tcPr>
            <w:tcW w:w="1217" w:type="dxa"/>
            <w:tcBorders>
              <w:top w:val="nil"/>
              <w:left w:val="nil"/>
              <w:bottom w:val="nil"/>
              <w:right w:val="nil"/>
            </w:tcBorders>
            <w:shd w:val="clear" w:color="auto" w:fill="auto"/>
            <w:noWrap/>
            <w:vAlign w:val="center"/>
            <w:hideMark/>
          </w:tcPr>
          <w:p w14:paraId="154F32C6" w14:textId="6050116B"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$692,548 </w:t>
            </w:r>
          </w:p>
        </w:tc>
        <w:tc>
          <w:tcPr>
            <w:tcW w:w="1601" w:type="dxa"/>
            <w:tcBorders>
              <w:top w:val="nil"/>
              <w:left w:val="nil"/>
              <w:bottom w:val="nil"/>
              <w:right w:val="nil"/>
            </w:tcBorders>
            <w:shd w:val="clear" w:color="auto" w:fill="auto"/>
            <w:noWrap/>
            <w:vAlign w:val="center"/>
            <w:hideMark/>
          </w:tcPr>
          <w:p w14:paraId="1A5B9B51" w14:textId="2D25D68B"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$0.2071 </w:t>
            </w:r>
          </w:p>
        </w:tc>
      </w:tr>
      <w:tr w:rsidR="00536559" w:rsidRPr="00536559" w14:paraId="7E121214" w14:textId="77777777" w:rsidTr="00536559">
        <w:trPr>
          <w:trHeight w:val="255"/>
        </w:trPr>
        <w:tc>
          <w:tcPr>
            <w:tcW w:w="990" w:type="dxa"/>
            <w:tcBorders>
              <w:top w:val="nil"/>
              <w:left w:val="nil"/>
              <w:bottom w:val="nil"/>
              <w:right w:val="nil"/>
            </w:tcBorders>
            <w:shd w:val="clear" w:color="auto" w:fill="auto"/>
            <w:noWrap/>
            <w:vAlign w:val="center"/>
            <w:hideMark/>
          </w:tcPr>
          <w:p w14:paraId="1C7A1367" w14:textId="32999A34"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2027</w:t>
            </w:r>
          </w:p>
        </w:tc>
        <w:tc>
          <w:tcPr>
            <w:tcW w:w="1117" w:type="dxa"/>
            <w:tcBorders>
              <w:top w:val="nil"/>
              <w:left w:val="nil"/>
              <w:bottom w:val="nil"/>
              <w:right w:val="nil"/>
            </w:tcBorders>
            <w:shd w:val="clear" w:color="auto" w:fill="auto"/>
            <w:noWrap/>
            <w:vAlign w:val="center"/>
            <w:hideMark/>
          </w:tcPr>
          <w:p w14:paraId="12470B18" w14:textId="6D0B2D19"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5,588,430 </w:t>
            </w:r>
          </w:p>
        </w:tc>
        <w:tc>
          <w:tcPr>
            <w:tcW w:w="1598" w:type="dxa"/>
            <w:tcBorders>
              <w:top w:val="nil"/>
              <w:left w:val="nil"/>
              <w:bottom w:val="nil"/>
              <w:right w:val="nil"/>
            </w:tcBorders>
            <w:shd w:val="clear" w:color="auto" w:fill="auto"/>
            <w:noWrap/>
            <w:vAlign w:val="center"/>
            <w:hideMark/>
          </w:tcPr>
          <w:p w14:paraId="4A8165CB" w14:textId="1D42E08F"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$1,131,205 </w:t>
            </w:r>
          </w:p>
        </w:tc>
        <w:tc>
          <w:tcPr>
            <w:tcW w:w="1605" w:type="dxa"/>
            <w:tcBorders>
              <w:top w:val="nil"/>
              <w:left w:val="nil"/>
              <w:bottom w:val="nil"/>
              <w:right w:val="nil"/>
            </w:tcBorders>
            <w:shd w:val="clear" w:color="auto" w:fill="auto"/>
            <w:noWrap/>
            <w:vAlign w:val="center"/>
            <w:hideMark/>
          </w:tcPr>
          <w:p w14:paraId="612B00EC" w14:textId="7FBB4ABB"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$0.2024 </w:t>
            </w:r>
          </w:p>
        </w:tc>
        <w:tc>
          <w:tcPr>
            <w:tcW w:w="1318" w:type="dxa"/>
            <w:tcBorders>
              <w:top w:val="nil"/>
              <w:left w:val="nil"/>
              <w:bottom w:val="nil"/>
              <w:right w:val="nil"/>
            </w:tcBorders>
            <w:shd w:val="clear" w:color="auto" w:fill="auto"/>
            <w:noWrap/>
            <w:vAlign w:val="center"/>
            <w:hideMark/>
          </w:tcPr>
          <w:p w14:paraId="49CF5851" w14:textId="5194B85A"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3,344,715 </w:t>
            </w:r>
          </w:p>
        </w:tc>
        <w:tc>
          <w:tcPr>
            <w:tcW w:w="1217" w:type="dxa"/>
            <w:tcBorders>
              <w:top w:val="nil"/>
              <w:left w:val="nil"/>
              <w:bottom w:val="nil"/>
              <w:right w:val="nil"/>
            </w:tcBorders>
            <w:shd w:val="clear" w:color="auto" w:fill="auto"/>
            <w:noWrap/>
            <w:vAlign w:val="center"/>
            <w:hideMark/>
          </w:tcPr>
          <w:p w14:paraId="327BFB8F" w14:textId="7F870BCF"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$692,548 </w:t>
            </w:r>
          </w:p>
        </w:tc>
        <w:tc>
          <w:tcPr>
            <w:tcW w:w="1601" w:type="dxa"/>
            <w:tcBorders>
              <w:top w:val="nil"/>
              <w:left w:val="nil"/>
              <w:bottom w:val="nil"/>
              <w:right w:val="nil"/>
            </w:tcBorders>
            <w:shd w:val="clear" w:color="auto" w:fill="auto"/>
            <w:noWrap/>
            <w:vAlign w:val="center"/>
            <w:hideMark/>
          </w:tcPr>
          <w:p w14:paraId="596E7883" w14:textId="0DE75F2F"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$0.2071 </w:t>
            </w:r>
          </w:p>
        </w:tc>
      </w:tr>
      <w:tr w:rsidR="00536559" w:rsidRPr="00536559" w14:paraId="5483A43E" w14:textId="77777777" w:rsidTr="00536559">
        <w:trPr>
          <w:trHeight w:val="255"/>
        </w:trPr>
        <w:tc>
          <w:tcPr>
            <w:tcW w:w="990" w:type="dxa"/>
            <w:tcBorders>
              <w:top w:val="nil"/>
              <w:left w:val="nil"/>
              <w:bottom w:val="nil"/>
              <w:right w:val="nil"/>
            </w:tcBorders>
            <w:shd w:val="clear" w:color="auto" w:fill="auto"/>
            <w:noWrap/>
            <w:vAlign w:val="center"/>
            <w:hideMark/>
          </w:tcPr>
          <w:p w14:paraId="164C76F7" w14:textId="3A5DAAE8"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2028</w:t>
            </w:r>
          </w:p>
        </w:tc>
        <w:tc>
          <w:tcPr>
            <w:tcW w:w="1117" w:type="dxa"/>
            <w:tcBorders>
              <w:top w:val="nil"/>
              <w:left w:val="nil"/>
              <w:bottom w:val="nil"/>
              <w:right w:val="nil"/>
            </w:tcBorders>
            <w:shd w:val="clear" w:color="auto" w:fill="auto"/>
            <w:noWrap/>
            <w:vAlign w:val="center"/>
            <w:hideMark/>
          </w:tcPr>
          <w:p w14:paraId="0E7C9236" w14:textId="5D109FA4"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4,811,107 </w:t>
            </w:r>
          </w:p>
        </w:tc>
        <w:tc>
          <w:tcPr>
            <w:tcW w:w="1598" w:type="dxa"/>
            <w:tcBorders>
              <w:top w:val="nil"/>
              <w:left w:val="nil"/>
              <w:bottom w:val="nil"/>
              <w:right w:val="nil"/>
            </w:tcBorders>
            <w:shd w:val="clear" w:color="auto" w:fill="auto"/>
            <w:noWrap/>
            <w:vAlign w:val="center"/>
            <w:hideMark/>
          </w:tcPr>
          <w:p w14:paraId="5C01E919" w14:textId="579D40AA"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$1,008,874 </w:t>
            </w:r>
          </w:p>
        </w:tc>
        <w:tc>
          <w:tcPr>
            <w:tcW w:w="1605" w:type="dxa"/>
            <w:tcBorders>
              <w:top w:val="nil"/>
              <w:left w:val="nil"/>
              <w:bottom w:val="nil"/>
              <w:right w:val="nil"/>
            </w:tcBorders>
            <w:shd w:val="clear" w:color="auto" w:fill="auto"/>
            <w:noWrap/>
            <w:vAlign w:val="center"/>
            <w:hideMark/>
          </w:tcPr>
          <w:p w14:paraId="505848DC" w14:textId="4D6C2B7C"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$0.2097 </w:t>
            </w:r>
          </w:p>
        </w:tc>
        <w:tc>
          <w:tcPr>
            <w:tcW w:w="1318" w:type="dxa"/>
            <w:tcBorders>
              <w:top w:val="nil"/>
              <w:left w:val="nil"/>
              <w:bottom w:val="nil"/>
              <w:right w:val="nil"/>
            </w:tcBorders>
            <w:shd w:val="clear" w:color="auto" w:fill="auto"/>
            <w:noWrap/>
            <w:vAlign w:val="center"/>
            <w:hideMark/>
          </w:tcPr>
          <w:p w14:paraId="65F00586" w14:textId="7F2FA2A2"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3,318,182 </w:t>
            </w:r>
          </w:p>
        </w:tc>
        <w:tc>
          <w:tcPr>
            <w:tcW w:w="1217" w:type="dxa"/>
            <w:tcBorders>
              <w:top w:val="nil"/>
              <w:left w:val="nil"/>
              <w:bottom w:val="nil"/>
              <w:right w:val="nil"/>
            </w:tcBorders>
            <w:shd w:val="clear" w:color="auto" w:fill="auto"/>
            <w:noWrap/>
            <w:vAlign w:val="center"/>
            <w:hideMark/>
          </w:tcPr>
          <w:p w14:paraId="4410CB35" w14:textId="7BCA55D7"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$711,141 </w:t>
            </w:r>
          </w:p>
        </w:tc>
        <w:tc>
          <w:tcPr>
            <w:tcW w:w="1601" w:type="dxa"/>
            <w:tcBorders>
              <w:top w:val="nil"/>
              <w:left w:val="nil"/>
              <w:bottom w:val="nil"/>
              <w:right w:val="nil"/>
            </w:tcBorders>
            <w:shd w:val="clear" w:color="auto" w:fill="auto"/>
            <w:noWrap/>
            <w:vAlign w:val="center"/>
            <w:hideMark/>
          </w:tcPr>
          <w:p w14:paraId="53508ED0" w14:textId="2E0C507D"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$0.2143 </w:t>
            </w:r>
          </w:p>
        </w:tc>
      </w:tr>
      <w:tr w:rsidR="00536559" w:rsidRPr="00536559" w14:paraId="5A8F5458" w14:textId="77777777" w:rsidTr="00536559">
        <w:trPr>
          <w:trHeight w:val="255"/>
        </w:trPr>
        <w:tc>
          <w:tcPr>
            <w:tcW w:w="990" w:type="dxa"/>
            <w:tcBorders>
              <w:top w:val="nil"/>
              <w:left w:val="nil"/>
              <w:bottom w:val="nil"/>
              <w:right w:val="nil"/>
            </w:tcBorders>
            <w:shd w:val="clear" w:color="auto" w:fill="auto"/>
            <w:noWrap/>
            <w:vAlign w:val="center"/>
            <w:hideMark/>
          </w:tcPr>
          <w:p w14:paraId="5940C0D4" w14:textId="5596A3EB"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2029</w:t>
            </w:r>
          </w:p>
        </w:tc>
        <w:tc>
          <w:tcPr>
            <w:tcW w:w="1117" w:type="dxa"/>
            <w:tcBorders>
              <w:top w:val="nil"/>
              <w:left w:val="nil"/>
              <w:bottom w:val="nil"/>
              <w:right w:val="nil"/>
            </w:tcBorders>
            <w:shd w:val="clear" w:color="auto" w:fill="auto"/>
            <w:noWrap/>
            <w:vAlign w:val="center"/>
            <w:hideMark/>
          </w:tcPr>
          <w:p w14:paraId="24326AD8" w14:textId="02ABB87F"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3,642,144 </w:t>
            </w:r>
          </w:p>
        </w:tc>
        <w:tc>
          <w:tcPr>
            <w:tcW w:w="1598" w:type="dxa"/>
            <w:tcBorders>
              <w:top w:val="nil"/>
              <w:left w:val="nil"/>
              <w:bottom w:val="nil"/>
              <w:right w:val="nil"/>
            </w:tcBorders>
            <w:shd w:val="clear" w:color="auto" w:fill="auto"/>
            <w:noWrap/>
            <w:vAlign w:val="center"/>
            <w:hideMark/>
          </w:tcPr>
          <w:p w14:paraId="3D39B48A" w14:textId="592D7F8F"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$763,976 </w:t>
            </w:r>
          </w:p>
        </w:tc>
        <w:tc>
          <w:tcPr>
            <w:tcW w:w="1605" w:type="dxa"/>
            <w:tcBorders>
              <w:top w:val="nil"/>
              <w:left w:val="nil"/>
              <w:bottom w:val="nil"/>
              <w:right w:val="nil"/>
            </w:tcBorders>
            <w:shd w:val="clear" w:color="auto" w:fill="auto"/>
            <w:noWrap/>
            <w:vAlign w:val="center"/>
            <w:hideMark/>
          </w:tcPr>
          <w:p w14:paraId="69CFE454" w14:textId="6D450F48"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$0.2098 </w:t>
            </w:r>
          </w:p>
        </w:tc>
        <w:tc>
          <w:tcPr>
            <w:tcW w:w="1318" w:type="dxa"/>
            <w:tcBorders>
              <w:top w:val="nil"/>
              <w:left w:val="nil"/>
              <w:bottom w:val="nil"/>
              <w:right w:val="nil"/>
            </w:tcBorders>
            <w:shd w:val="clear" w:color="auto" w:fill="auto"/>
            <w:noWrap/>
            <w:vAlign w:val="center"/>
            <w:hideMark/>
          </w:tcPr>
          <w:p w14:paraId="67774E51" w14:textId="672C3059"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1,849,999 </w:t>
            </w:r>
          </w:p>
        </w:tc>
        <w:tc>
          <w:tcPr>
            <w:tcW w:w="1217" w:type="dxa"/>
            <w:tcBorders>
              <w:top w:val="nil"/>
              <w:left w:val="nil"/>
              <w:bottom w:val="nil"/>
              <w:right w:val="nil"/>
            </w:tcBorders>
            <w:shd w:val="clear" w:color="auto" w:fill="auto"/>
            <w:noWrap/>
            <w:vAlign w:val="center"/>
            <w:hideMark/>
          </w:tcPr>
          <w:p w14:paraId="67047787" w14:textId="13E6FFBF"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$396,151 </w:t>
            </w:r>
          </w:p>
        </w:tc>
        <w:tc>
          <w:tcPr>
            <w:tcW w:w="1601" w:type="dxa"/>
            <w:tcBorders>
              <w:top w:val="nil"/>
              <w:left w:val="nil"/>
              <w:bottom w:val="nil"/>
              <w:right w:val="nil"/>
            </w:tcBorders>
            <w:shd w:val="clear" w:color="auto" w:fill="auto"/>
            <w:noWrap/>
            <w:vAlign w:val="center"/>
            <w:hideMark/>
          </w:tcPr>
          <w:p w14:paraId="316A6AC8" w14:textId="05F85CBB"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$0.2141 </w:t>
            </w:r>
          </w:p>
        </w:tc>
      </w:tr>
      <w:tr w:rsidR="00536559" w:rsidRPr="00536559" w14:paraId="6F28F36F" w14:textId="77777777" w:rsidTr="00536559">
        <w:trPr>
          <w:trHeight w:val="255"/>
        </w:trPr>
        <w:tc>
          <w:tcPr>
            <w:tcW w:w="990" w:type="dxa"/>
            <w:tcBorders>
              <w:top w:val="nil"/>
              <w:left w:val="nil"/>
              <w:bottom w:val="nil"/>
              <w:right w:val="nil"/>
            </w:tcBorders>
            <w:shd w:val="clear" w:color="auto" w:fill="auto"/>
            <w:noWrap/>
            <w:vAlign w:val="center"/>
            <w:hideMark/>
          </w:tcPr>
          <w:p w14:paraId="47A39E11" w14:textId="1E241E12"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2030</w:t>
            </w:r>
          </w:p>
        </w:tc>
        <w:tc>
          <w:tcPr>
            <w:tcW w:w="1117" w:type="dxa"/>
            <w:tcBorders>
              <w:top w:val="nil"/>
              <w:left w:val="nil"/>
              <w:bottom w:val="nil"/>
              <w:right w:val="nil"/>
            </w:tcBorders>
            <w:shd w:val="clear" w:color="auto" w:fill="auto"/>
            <w:noWrap/>
            <w:vAlign w:val="center"/>
            <w:hideMark/>
          </w:tcPr>
          <w:p w14:paraId="6AF3D3CE" w14:textId="557D0429"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3,642,144 </w:t>
            </w:r>
          </w:p>
        </w:tc>
        <w:tc>
          <w:tcPr>
            <w:tcW w:w="1598" w:type="dxa"/>
            <w:tcBorders>
              <w:top w:val="nil"/>
              <w:left w:val="nil"/>
              <w:bottom w:val="nil"/>
              <w:right w:val="nil"/>
            </w:tcBorders>
            <w:shd w:val="clear" w:color="auto" w:fill="auto"/>
            <w:noWrap/>
            <w:vAlign w:val="center"/>
            <w:hideMark/>
          </w:tcPr>
          <w:p w14:paraId="271179AD" w14:textId="6EF35309"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$763,976 </w:t>
            </w:r>
          </w:p>
        </w:tc>
        <w:tc>
          <w:tcPr>
            <w:tcW w:w="1605" w:type="dxa"/>
            <w:tcBorders>
              <w:top w:val="nil"/>
              <w:left w:val="nil"/>
              <w:bottom w:val="nil"/>
              <w:right w:val="nil"/>
            </w:tcBorders>
            <w:shd w:val="clear" w:color="auto" w:fill="auto"/>
            <w:noWrap/>
            <w:vAlign w:val="center"/>
            <w:hideMark/>
          </w:tcPr>
          <w:p w14:paraId="6475B4CB" w14:textId="3EC494F1"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$0.2098 </w:t>
            </w:r>
          </w:p>
        </w:tc>
        <w:tc>
          <w:tcPr>
            <w:tcW w:w="1318" w:type="dxa"/>
            <w:tcBorders>
              <w:top w:val="nil"/>
              <w:left w:val="nil"/>
              <w:bottom w:val="nil"/>
              <w:right w:val="nil"/>
            </w:tcBorders>
            <w:shd w:val="clear" w:color="auto" w:fill="auto"/>
            <w:noWrap/>
            <w:vAlign w:val="center"/>
            <w:hideMark/>
          </w:tcPr>
          <w:p w14:paraId="12A5AC83" w14:textId="4AFA8593"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1,839,868 </w:t>
            </w:r>
          </w:p>
        </w:tc>
        <w:tc>
          <w:tcPr>
            <w:tcW w:w="1217" w:type="dxa"/>
            <w:tcBorders>
              <w:top w:val="nil"/>
              <w:left w:val="nil"/>
              <w:bottom w:val="nil"/>
              <w:right w:val="nil"/>
            </w:tcBorders>
            <w:shd w:val="clear" w:color="auto" w:fill="auto"/>
            <w:noWrap/>
            <w:vAlign w:val="center"/>
            <w:hideMark/>
          </w:tcPr>
          <w:p w14:paraId="78D7CC1E" w14:textId="32EE2E77"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$394,051 </w:t>
            </w:r>
          </w:p>
        </w:tc>
        <w:tc>
          <w:tcPr>
            <w:tcW w:w="1601" w:type="dxa"/>
            <w:tcBorders>
              <w:top w:val="nil"/>
              <w:left w:val="nil"/>
              <w:bottom w:val="nil"/>
              <w:right w:val="nil"/>
            </w:tcBorders>
            <w:shd w:val="clear" w:color="auto" w:fill="auto"/>
            <w:noWrap/>
            <w:vAlign w:val="center"/>
            <w:hideMark/>
          </w:tcPr>
          <w:p w14:paraId="09BE9363" w14:textId="2A13161E"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$0.2142 </w:t>
            </w:r>
          </w:p>
        </w:tc>
      </w:tr>
      <w:tr w:rsidR="00536559" w:rsidRPr="00536559" w14:paraId="6FEC0BEA" w14:textId="77777777" w:rsidTr="00536559">
        <w:trPr>
          <w:trHeight w:val="255"/>
        </w:trPr>
        <w:tc>
          <w:tcPr>
            <w:tcW w:w="990" w:type="dxa"/>
            <w:tcBorders>
              <w:top w:val="nil"/>
              <w:left w:val="nil"/>
              <w:bottom w:val="nil"/>
              <w:right w:val="nil"/>
            </w:tcBorders>
            <w:shd w:val="clear" w:color="auto" w:fill="auto"/>
            <w:noWrap/>
            <w:vAlign w:val="center"/>
            <w:hideMark/>
          </w:tcPr>
          <w:p w14:paraId="110FEB8E" w14:textId="01FE690C"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2031</w:t>
            </w:r>
          </w:p>
        </w:tc>
        <w:tc>
          <w:tcPr>
            <w:tcW w:w="1117" w:type="dxa"/>
            <w:tcBorders>
              <w:top w:val="nil"/>
              <w:left w:val="nil"/>
              <w:bottom w:val="nil"/>
              <w:right w:val="nil"/>
            </w:tcBorders>
            <w:shd w:val="clear" w:color="auto" w:fill="auto"/>
            <w:noWrap/>
            <w:vAlign w:val="center"/>
            <w:hideMark/>
          </w:tcPr>
          <w:p w14:paraId="2ACC4E60" w14:textId="2DEFF927"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3,546,260 </w:t>
            </w:r>
          </w:p>
        </w:tc>
        <w:tc>
          <w:tcPr>
            <w:tcW w:w="1598" w:type="dxa"/>
            <w:tcBorders>
              <w:top w:val="nil"/>
              <w:left w:val="nil"/>
              <w:bottom w:val="nil"/>
              <w:right w:val="nil"/>
            </w:tcBorders>
            <w:shd w:val="clear" w:color="auto" w:fill="auto"/>
            <w:noWrap/>
            <w:vAlign w:val="center"/>
            <w:hideMark/>
          </w:tcPr>
          <w:p w14:paraId="7AE77DA8" w14:textId="180047EC"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$745,811 </w:t>
            </w:r>
          </w:p>
        </w:tc>
        <w:tc>
          <w:tcPr>
            <w:tcW w:w="1605" w:type="dxa"/>
            <w:tcBorders>
              <w:top w:val="nil"/>
              <w:left w:val="nil"/>
              <w:bottom w:val="nil"/>
              <w:right w:val="nil"/>
            </w:tcBorders>
            <w:shd w:val="clear" w:color="auto" w:fill="auto"/>
            <w:noWrap/>
            <w:vAlign w:val="center"/>
            <w:hideMark/>
          </w:tcPr>
          <w:p w14:paraId="1DCC8C7F" w14:textId="2674159B"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$0.2103 </w:t>
            </w:r>
          </w:p>
        </w:tc>
        <w:tc>
          <w:tcPr>
            <w:tcW w:w="1318" w:type="dxa"/>
            <w:tcBorders>
              <w:top w:val="nil"/>
              <w:left w:val="nil"/>
              <w:bottom w:val="nil"/>
              <w:right w:val="nil"/>
            </w:tcBorders>
            <w:shd w:val="clear" w:color="auto" w:fill="auto"/>
            <w:noWrap/>
            <w:vAlign w:val="center"/>
            <w:hideMark/>
          </w:tcPr>
          <w:p w14:paraId="4B369E5B" w14:textId="32252508"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1,585,433 </w:t>
            </w:r>
          </w:p>
        </w:tc>
        <w:tc>
          <w:tcPr>
            <w:tcW w:w="1217" w:type="dxa"/>
            <w:tcBorders>
              <w:top w:val="nil"/>
              <w:left w:val="nil"/>
              <w:bottom w:val="nil"/>
              <w:right w:val="nil"/>
            </w:tcBorders>
            <w:shd w:val="clear" w:color="auto" w:fill="auto"/>
            <w:noWrap/>
            <w:vAlign w:val="center"/>
            <w:hideMark/>
          </w:tcPr>
          <w:p w14:paraId="0965E812" w14:textId="0C44F368"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$339,817 </w:t>
            </w:r>
          </w:p>
        </w:tc>
        <w:tc>
          <w:tcPr>
            <w:tcW w:w="1601" w:type="dxa"/>
            <w:tcBorders>
              <w:top w:val="nil"/>
              <w:left w:val="nil"/>
              <w:bottom w:val="nil"/>
              <w:right w:val="nil"/>
            </w:tcBorders>
            <w:shd w:val="clear" w:color="auto" w:fill="auto"/>
            <w:noWrap/>
            <w:vAlign w:val="center"/>
            <w:hideMark/>
          </w:tcPr>
          <w:p w14:paraId="2584BA4E" w14:textId="7EB43A86"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$0.2143 </w:t>
            </w:r>
          </w:p>
        </w:tc>
      </w:tr>
      <w:tr w:rsidR="00536559" w:rsidRPr="00536559" w14:paraId="1C496AC1" w14:textId="77777777" w:rsidTr="00536559">
        <w:trPr>
          <w:trHeight w:val="255"/>
        </w:trPr>
        <w:tc>
          <w:tcPr>
            <w:tcW w:w="990" w:type="dxa"/>
            <w:tcBorders>
              <w:top w:val="nil"/>
              <w:left w:val="nil"/>
              <w:bottom w:val="nil"/>
              <w:right w:val="nil"/>
            </w:tcBorders>
            <w:shd w:val="clear" w:color="auto" w:fill="auto"/>
            <w:noWrap/>
            <w:vAlign w:val="center"/>
            <w:hideMark/>
          </w:tcPr>
          <w:p w14:paraId="4D91F815" w14:textId="679F825F"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2032</w:t>
            </w:r>
          </w:p>
        </w:tc>
        <w:tc>
          <w:tcPr>
            <w:tcW w:w="1117" w:type="dxa"/>
            <w:tcBorders>
              <w:top w:val="nil"/>
              <w:left w:val="nil"/>
              <w:bottom w:val="nil"/>
              <w:right w:val="nil"/>
            </w:tcBorders>
            <w:shd w:val="clear" w:color="auto" w:fill="auto"/>
            <w:noWrap/>
            <w:vAlign w:val="center"/>
            <w:hideMark/>
          </w:tcPr>
          <w:p w14:paraId="73E72301" w14:textId="3B18C2AD"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3,546,260 </w:t>
            </w:r>
          </w:p>
        </w:tc>
        <w:tc>
          <w:tcPr>
            <w:tcW w:w="1598" w:type="dxa"/>
            <w:tcBorders>
              <w:top w:val="nil"/>
              <w:left w:val="nil"/>
              <w:bottom w:val="nil"/>
              <w:right w:val="nil"/>
            </w:tcBorders>
            <w:shd w:val="clear" w:color="auto" w:fill="auto"/>
            <w:noWrap/>
            <w:vAlign w:val="center"/>
            <w:hideMark/>
          </w:tcPr>
          <w:p w14:paraId="0536D45A" w14:textId="5FE57A55"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$745,811 </w:t>
            </w:r>
          </w:p>
        </w:tc>
        <w:tc>
          <w:tcPr>
            <w:tcW w:w="1605" w:type="dxa"/>
            <w:tcBorders>
              <w:top w:val="nil"/>
              <w:left w:val="nil"/>
              <w:bottom w:val="nil"/>
              <w:right w:val="nil"/>
            </w:tcBorders>
            <w:shd w:val="clear" w:color="auto" w:fill="auto"/>
            <w:noWrap/>
            <w:vAlign w:val="center"/>
            <w:hideMark/>
          </w:tcPr>
          <w:p w14:paraId="237D4542" w14:textId="7CC88312"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$0.2103 </w:t>
            </w:r>
          </w:p>
        </w:tc>
        <w:tc>
          <w:tcPr>
            <w:tcW w:w="1318" w:type="dxa"/>
            <w:tcBorders>
              <w:top w:val="nil"/>
              <w:left w:val="nil"/>
              <w:bottom w:val="nil"/>
              <w:right w:val="nil"/>
            </w:tcBorders>
            <w:shd w:val="clear" w:color="auto" w:fill="auto"/>
            <w:noWrap/>
            <w:vAlign w:val="center"/>
            <w:hideMark/>
          </w:tcPr>
          <w:p w14:paraId="17D6B02C" w14:textId="6BA678A2"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1,232,799 </w:t>
            </w:r>
          </w:p>
        </w:tc>
        <w:tc>
          <w:tcPr>
            <w:tcW w:w="1217" w:type="dxa"/>
            <w:tcBorders>
              <w:top w:val="nil"/>
              <w:left w:val="nil"/>
              <w:bottom w:val="nil"/>
              <w:right w:val="nil"/>
            </w:tcBorders>
            <w:shd w:val="clear" w:color="auto" w:fill="auto"/>
            <w:noWrap/>
            <w:vAlign w:val="center"/>
            <w:hideMark/>
          </w:tcPr>
          <w:p w14:paraId="22314E7E" w14:textId="2E0E8E67"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$264,571 </w:t>
            </w:r>
          </w:p>
        </w:tc>
        <w:tc>
          <w:tcPr>
            <w:tcW w:w="1601" w:type="dxa"/>
            <w:tcBorders>
              <w:top w:val="nil"/>
              <w:left w:val="nil"/>
              <w:bottom w:val="nil"/>
              <w:right w:val="nil"/>
            </w:tcBorders>
            <w:shd w:val="clear" w:color="auto" w:fill="auto"/>
            <w:noWrap/>
            <w:vAlign w:val="center"/>
            <w:hideMark/>
          </w:tcPr>
          <w:p w14:paraId="589D0EB0" w14:textId="0100DDF4"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$0.2146 </w:t>
            </w:r>
          </w:p>
        </w:tc>
      </w:tr>
      <w:tr w:rsidR="00536559" w:rsidRPr="00536559" w14:paraId="2B4ADFAB" w14:textId="77777777" w:rsidTr="00536559">
        <w:trPr>
          <w:trHeight w:val="255"/>
        </w:trPr>
        <w:tc>
          <w:tcPr>
            <w:tcW w:w="990" w:type="dxa"/>
            <w:tcBorders>
              <w:top w:val="nil"/>
              <w:left w:val="nil"/>
              <w:bottom w:val="nil"/>
              <w:right w:val="nil"/>
            </w:tcBorders>
            <w:shd w:val="clear" w:color="auto" w:fill="auto"/>
            <w:noWrap/>
            <w:vAlign w:val="center"/>
            <w:hideMark/>
          </w:tcPr>
          <w:p w14:paraId="47912868" w14:textId="46EEB9B4"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2033</w:t>
            </w:r>
          </w:p>
        </w:tc>
        <w:tc>
          <w:tcPr>
            <w:tcW w:w="1117" w:type="dxa"/>
            <w:tcBorders>
              <w:top w:val="nil"/>
              <w:left w:val="nil"/>
              <w:bottom w:val="nil"/>
              <w:right w:val="nil"/>
            </w:tcBorders>
            <w:shd w:val="clear" w:color="auto" w:fill="auto"/>
            <w:noWrap/>
            <w:vAlign w:val="center"/>
            <w:hideMark/>
          </w:tcPr>
          <w:p w14:paraId="26C803C3" w14:textId="21DBD92F"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3,140,904 </w:t>
            </w:r>
          </w:p>
        </w:tc>
        <w:tc>
          <w:tcPr>
            <w:tcW w:w="1598" w:type="dxa"/>
            <w:tcBorders>
              <w:top w:val="nil"/>
              <w:left w:val="nil"/>
              <w:bottom w:val="nil"/>
              <w:right w:val="nil"/>
            </w:tcBorders>
            <w:shd w:val="clear" w:color="auto" w:fill="auto"/>
            <w:noWrap/>
            <w:vAlign w:val="center"/>
            <w:hideMark/>
          </w:tcPr>
          <w:p w14:paraId="62450B7B" w14:textId="0446718A"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$658,454 </w:t>
            </w:r>
          </w:p>
        </w:tc>
        <w:tc>
          <w:tcPr>
            <w:tcW w:w="1605" w:type="dxa"/>
            <w:tcBorders>
              <w:top w:val="nil"/>
              <w:left w:val="nil"/>
              <w:bottom w:val="nil"/>
              <w:right w:val="nil"/>
            </w:tcBorders>
            <w:shd w:val="clear" w:color="auto" w:fill="auto"/>
            <w:noWrap/>
            <w:vAlign w:val="center"/>
            <w:hideMark/>
          </w:tcPr>
          <w:p w14:paraId="0DD65E01" w14:textId="15D94EAF"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$0.2096 </w:t>
            </w:r>
          </w:p>
        </w:tc>
        <w:tc>
          <w:tcPr>
            <w:tcW w:w="1318" w:type="dxa"/>
            <w:tcBorders>
              <w:top w:val="nil"/>
              <w:left w:val="nil"/>
              <w:bottom w:val="nil"/>
              <w:right w:val="nil"/>
            </w:tcBorders>
            <w:shd w:val="clear" w:color="auto" w:fill="auto"/>
            <w:noWrap/>
            <w:vAlign w:val="center"/>
            <w:hideMark/>
          </w:tcPr>
          <w:p w14:paraId="73E10A8D" w14:textId="73535A8F"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1,213,183 </w:t>
            </w:r>
          </w:p>
        </w:tc>
        <w:tc>
          <w:tcPr>
            <w:tcW w:w="1217" w:type="dxa"/>
            <w:tcBorders>
              <w:top w:val="nil"/>
              <w:left w:val="nil"/>
              <w:bottom w:val="nil"/>
              <w:right w:val="nil"/>
            </w:tcBorders>
            <w:shd w:val="clear" w:color="auto" w:fill="auto"/>
            <w:noWrap/>
            <w:vAlign w:val="center"/>
            <w:hideMark/>
          </w:tcPr>
          <w:p w14:paraId="1B5EBA49" w14:textId="1E2A2F73"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$259,774 </w:t>
            </w:r>
          </w:p>
        </w:tc>
        <w:tc>
          <w:tcPr>
            <w:tcW w:w="1601" w:type="dxa"/>
            <w:tcBorders>
              <w:top w:val="nil"/>
              <w:left w:val="nil"/>
              <w:bottom w:val="nil"/>
              <w:right w:val="nil"/>
            </w:tcBorders>
            <w:shd w:val="clear" w:color="auto" w:fill="auto"/>
            <w:noWrap/>
            <w:vAlign w:val="center"/>
            <w:hideMark/>
          </w:tcPr>
          <w:p w14:paraId="1C1D4E20" w14:textId="4EA4F24B"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$0.2141 </w:t>
            </w:r>
          </w:p>
        </w:tc>
      </w:tr>
      <w:tr w:rsidR="00536559" w:rsidRPr="00536559" w14:paraId="03E9D129" w14:textId="77777777" w:rsidTr="00536559">
        <w:trPr>
          <w:trHeight w:val="255"/>
        </w:trPr>
        <w:tc>
          <w:tcPr>
            <w:tcW w:w="990" w:type="dxa"/>
            <w:tcBorders>
              <w:top w:val="nil"/>
              <w:left w:val="nil"/>
              <w:bottom w:val="nil"/>
              <w:right w:val="nil"/>
            </w:tcBorders>
            <w:shd w:val="clear" w:color="auto" w:fill="auto"/>
            <w:noWrap/>
            <w:vAlign w:val="center"/>
            <w:hideMark/>
          </w:tcPr>
          <w:p w14:paraId="727365E1" w14:textId="79D84316"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2034</w:t>
            </w:r>
          </w:p>
        </w:tc>
        <w:tc>
          <w:tcPr>
            <w:tcW w:w="1117" w:type="dxa"/>
            <w:tcBorders>
              <w:top w:val="nil"/>
              <w:left w:val="nil"/>
              <w:bottom w:val="nil"/>
              <w:right w:val="nil"/>
            </w:tcBorders>
            <w:shd w:val="clear" w:color="auto" w:fill="auto"/>
            <w:noWrap/>
            <w:vAlign w:val="center"/>
            <w:hideMark/>
          </w:tcPr>
          <w:p w14:paraId="501862DF" w14:textId="304520FE"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2,286,791 </w:t>
            </w:r>
          </w:p>
        </w:tc>
        <w:tc>
          <w:tcPr>
            <w:tcW w:w="1598" w:type="dxa"/>
            <w:tcBorders>
              <w:top w:val="nil"/>
              <w:left w:val="nil"/>
              <w:bottom w:val="nil"/>
              <w:right w:val="nil"/>
            </w:tcBorders>
            <w:shd w:val="clear" w:color="auto" w:fill="auto"/>
            <w:noWrap/>
            <w:vAlign w:val="center"/>
            <w:hideMark/>
          </w:tcPr>
          <w:p w14:paraId="5295E1D9" w14:textId="0907EAB7"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$479,033 </w:t>
            </w:r>
          </w:p>
        </w:tc>
        <w:tc>
          <w:tcPr>
            <w:tcW w:w="1605" w:type="dxa"/>
            <w:tcBorders>
              <w:top w:val="nil"/>
              <w:left w:val="nil"/>
              <w:bottom w:val="nil"/>
              <w:right w:val="nil"/>
            </w:tcBorders>
            <w:shd w:val="clear" w:color="auto" w:fill="auto"/>
            <w:noWrap/>
            <w:vAlign w:val="center"/>
            <w:hideMark/>
          </w:tcPr>
          <w:p w14:paraId="5B061DB1" w14:textId="73181D02"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$0.2095 </w:t>
            </w:r>
          </w:p>
        </w:tc>
        <w:tc>
          <w:tcPr>
            <w:tcW w:w="1318" w:type="dxa"/>
            <w:tcBorders>
              <w:top w:val="nil"/>
              <w:left w:val="nil"/>
              <w:bottom w:val="nil"/>
              <w:right w:val="nil"/>
            </w:tcBorders>
            <w:shd w:val="clear" w:color="auto" w:fill="auto"/>
            <w:noWrap/>
            <w:vAlign w:val="center"/>
            <w:hideMark/>
          </w:tcPr>
          <w:p w14:paraId="14AE03AB" w14:textId="4CA462BF"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1,211,881 </w:t>
            </w:r>
          </w:p>
        </w:tc>
        <w:tc>
          <w:tcPr>
            <w:tcW w:w="1217" w:type="dxa"/>
            <w:tcBorders>
              <w:top w:val="nil"/>
              <w:left w:val="nil"/>
              <w:bottom w:val="nil"/>
              <w:right w:val="nil"/>
            </w:tcBorders>
            <w:shd w:val="clear" w:color="auto" w:fill="auto"/>
            <w:noWrap/>
            <w:vAlign w:val="center"/>
            <w:hideMark/>
          </w:tcPr>
          <w:p w14:paraId="72CF6DF7" w14:textId="1AF91412"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$259,535 </w:t>
            </w:r>
          </w:p>
        </w:tc>
        <w:tc>
          <w:tcPr>
            <w:tcW w:w="1601" w:type="dxa"/>
            <w:tcBorders>
              <w:top w:val="nil"/>
              <w:left w:val="nil"/>
              <w:bottom w:val="nil"/>
              <w:right w:val="nil"/>
            </w:tcBorders>
            <w:shd w:val="clear" w:color="auto" w:fill="auto"/>
            <w:noWrap/>
            <w:vAlign w:val="center"/>
            <w:hideMark/>
          </w:tcPr>
          <w:p w14:paraId="1ABA9B70" w14:textId="390C6B5F"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$0.2142 </w:t>
            </w:r>
          </w:p>
        </w:tc>
      </w:tr>
      <w:tr w:rsidR="00536559" w:rsidRPr="00536559" w14:paraId="7C20C9A9" w14:textId="77777777" w:rsidTr="00536559">
        <w:trPr>
          <w:trHeight w:val="255"/>
        </w:trPr>
        <w:tc>
          <w:tcPr>
            <w:tcW w:w="990" w:type="dxa"/>
            <w:tcBorders>
              <w:top w:val="nil"/>
              <w:left w:val="nil"/>
              <w:bottom w:val="nil"/>
              <w:right w:val="nil"/>
            </w:tcBorders>
            <w:shd w:val="clear" w:color="auto" w:fill="auto"/>
            <w:noWrap/>
            <w:vAlign w:val="center"/>
            <w:hideMark/>
          </w:tcPr>
          <w:p w14:paraId="3C09D196" w14:textId="679371DF"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2035</w:t>
            </w:r>
          </w:p>
        </w:tc>
        <w:tc>
          <w:tcPr>
            <w:tcW w:w="1117" w:type="dxa"/>
            <w:tcBorders>
              <w:top w:val="nil"/>
              <w:left w:val="nil"/>
              <w:bottom w:val="nil"/>
              <w:right w:val="nil"/>
            </w:tcBorders>
            <w:shd w:val="clear" w:color="auto" w:fill="auto"/>
            <w:noWrap/>
            <w:vAlign w:val="center"/>
            <w:hideMark/>
          </w:tcPr>
          <w:p w14:paraId="5FBA2A1A" w14:textId="589A1E92"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2,286,791 </w:t>
            </w:r>
          </w:p>
        </w:tc>
        <w:tc>
          <w:tcPr>
            <w:tcW w:w="1598" w:type="dxa"/>
            <w:tcBorders>
              <w:top w:val="nil"/>
              <w:left w:val="nil"/>
              <w:bottom w:val="nil"/>
              <w:right w:val="nil"/>
            </w:tcBorders>
            <w:shd w:val="clear" w:color="auto" w:fill="auto"/>
            <w:noWrap/>
            <w:vAlign w:val="center"/>
            <w:hideMark/>
          </w:tcPr>
          <w:p w14:paraId="03EE13A5" w14:textId="35714AF9"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$479,033 </w:t>
            </w:r>
          </w:p>
        </w:tc>
        <w:tc>
          <w:tcPr>
            <w:tcW w:w="1605" w:type="dxa"/>
            <w:tcBorders>
              <w:top w:val="nil"/>
              <w:left w:val="nil"/>
              <w:bottom w:val="nil"/>
              <w:right w:val="nil"/>
            </w:tcBorders>
            <w:shd w:val="clear" w:color="auto" w:fill="auto"/>
            <w:noWrap/>
            <w:vAlign w:val="center"/>
            <w:hideMark/>
          </w:tcPr>
          <w:p w14:paraId="5F745F81" w14:textId="3B2BB36D"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$0.2095 </w:t>
            </w:r>
          </w:p>
        </w:tc>
        <w:tc>
          <w:tcPr>
            <w:tcW w:w="1318" w:type="dxa"/>
            <w:tcBorders>
              <w:top w:val="nil"/>
              <w:left w:val="nil"/>
              <w:bottom w:val="nil"/>
              <w:right w:val="nil"/>
            </w:tcBorders>
            <w:shd w:val="clear" w:color="auto" w:fill="auto"/>
            <w:noWrap/>
            <w:vAlign w:val="center"/>
            <w:hideMark/>
          </w:tcPr>
          <w:p w14:paraId="0E80CB68" w14:textId="47599752"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1,210,725 </w:t>
            </w:r>
          </w:p>
        </w:tc>
        <w:tc>
          <w:tcPr>
            <w:tcW w:w="1217" w:type="dxa"/>
            <w:tcBorders>
              <w:top w:val="nil"/>
              <w:left w:val="nil"/>
              <w:bottom w:val="nil"/>
              <w:right w:val="nil"/>
            </w:tcBorders>
            <w:shd w:val="clear" w:color="auto" w:fill="auto"/>
            <w:noWrap/>
            <w:vAlign w:val="center"/>
            <w:hideMark/>
          </w:tcPr>
          <w:p w14:paraId="7E080BB3" w14:textId="43AC729A"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$259,336 </w:t>
            </w:r>
          </w:p>
        </w:tc>
        <w:tc>
          <w:tcPr>
            <w:tcW w:w="1601" w:type="dxa"/>
            <w:tcBorders>
              <w:top w:val="nil"/>
              <w:left w:val="nil"/>
              <w:bottom w:val="nil"/>
              <w:right w:val="nil"/>
            </w:tcBorders>
            <w:shd w:val="clear" w:color="auto" w:fill="auto"/>
            <w:noWrap/>
            <w:vAlign w:val="center"/>
            <w:hideMark/>
          </w:tcPr>
          <w:p w14:paraId="15B5D7B4" w14:textId="4B15814A"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$0.2142 </w:t>
            </w:r>
          </w:p>
        </w:tc>
      </w:tr>
      <w:tr w:rsidR="00536559" w:rsidRPr="00536559" w14:paraId="4458D280" w14:textId="77777777" w:rsidTr="00536559">
        <w:trPr>
          <w:trHeight w:val="255"/>
        </w:trPr>
        <w:tc>
          <w:tcPr>
            <w:tcW w:w="990" w:type="dxa"/>
            <w:tcBorders>
              <w:top w:val="nil"/>
              <w:left w:val="nil"/>
              <w:bottom w:val="nil"/>
              <w:right w:val="nil"/>
            </w:tcBorders>
            <w:shd w:val="clear" w:color="auto" w:fill="auto"/>
            <w:noWrap/>
            <w:vAlign w:val="center"/>
            <w:hideMark/>
          </w:tcPr>
          <w:p w14:paraId="10E55E38" w14:textId="771CD4EA"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2036</w:t>
            </w:r>
          </w:p>
        </w:tc>
        <w:tc>
          <w:tcPr>
            <w:tcW w:w="1117" w:type="dxa"/>
            <w:tcBorders>
              <w:top w:val="nil"/>
              <w:left w:val="nil"/>
              <w:bottom w:val="nil"/>
              <w:right w:val="nil"/>
            </w:tcBorders>
            <w:shd w:val="clear" w:color="auto" w:fill="auto"/>
            <w:noWrap/>
            <w:vAlign w:val="center"/>
            <w:hideMark/>
          </w:tcPr>
          <w:p w14:paraId="4A5C4DB4" w14:textId="5AF4195F"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2,279,386 </w:t>
            </w:r>
          </w:p>
        </w:tc>
        <w:tc>
          <w:tcPr>
            <w:tcW w:w="1598" w:type="dxa"/>
            <w:tcBorders>
              <w:top w:val="nil"/>
              <w:left w:val="nil"/>
              <w:bottom w:val="nil"/>
              <w:right w:val="nil"/>
            </w:tcBorders>
            <w:shd w:val="clear" w:color="auto" w:fill="auto"/>
            <w:noWrap/>
            <w:vAlign w:val="center"/>
            <w:hideMark/>
          </w:tcPr>
          <w:p w14:paraId="521DD78B" w14:textId="0B68238F"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$477,677 </w:t>
            </w:r>
          </w:p>
        </w:tc>
        <w:tc>
          <w:tcPr>
            <w:tcW w:w="1605" w:type="dxa"/>
            <w:tcBorders>
              <w:top w:val="nil"/>
              <w:left w:val="nil"/>
              <w:bottom w:val="nil"/>
              <w:right w:val="nil"/>
            </w:tcBorders>
            <w:shd w:val="clear" w:color="auto" w:fill="auto"/>
            <w:noWrap/>
            <w:vAlign w:val="center"/>
            <w:hideMark/>
          </w:tcPr>
          <w:p w14:paraId="5DE2D193" w14:textId="7A40280F"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$0.2096 </w:t>
            </w:r>
          </w:p>
        </w:tc>
        <w:tc>
          <w:tcPr>
            <w:tcW w:w="1318" w:type="dxa"/>
            <w:tcBorders>
              <w:top w:val="nil"/>
              <w:left w:val="nil"/>
              <w:bottom w:val="nil"/>
              <w:right w:val="nil"/>
            </w:tcBorders>
            <w:shd w:val="clear" w:color="auto" w:fill="auto"/>
            <w:noWrap/>
            <w:vAlign w:val="center"/>
            <w:hideMark/>
          </w:tcPr>
          <w:p w14:paraId="618EEBB0" w14:textId="02D50672"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933,957 </w:t>
            </w:r>
          </w:p>
        </w:tc>
        <w:tc>
          <w:tcPr>
            <w:tcW w:w="1217" w:type="dxa"/>
            <w:tcBorders>
              <w:top w:val="nil"/>
              <w:left w:val="nil"/>
              <w:bottom w:val="nil"/>
              <w:right w:val="nil"/>
            </w:tcBorders>
            <w:shd w:val="clear" w:color="auto" w:fill="auto"/>
            <w:noWrap/>
            <w:vAlign w:val="center"/>
            <w:hideMark/>
          </w:tcPr>
          <w:p w14:paraId="42F49F5F" w14:textId="132FA8AB"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$199,788 </w:t>
            </w:r>
          </w:p>
        </w:tc>
        <w:tc>
          <w:tcPr>
            <w:tcW w:w="1601" w:type="dxa"/>
            <w:tcBorders>
              <w:top w:val="nil"/>
              <w:left w:val="nil"/>
              <w:bottom w:val="nil"/>
              <w:right w:val="nil"/>
            </w:tcBorders>
            <w:shd w:val="clear" w:color="auto" w:fill="auto"/>
            <w:noWrap/>
            <w:vAlign w:val="center"/>
            <w:hideMark/>
          </w:tcPr>
          <w:p w14:paraId="3D92D096" w14:textId="3F9E30B6"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$0.2139 </w:t>
            </w:r>
          </w:p>
        </w:tc>
      </w:tr>
      <w:tr w:rsidR="00536559" w:rsidRPr="00536559" w14:paraId="70C971FF" w14:textId="77777777" w:rsidTr="00536559">
        <w:trPr>
          <w:trHeight w:val="255"/>
        </w:trPr>
        <w:tc>
          <w:tcPr>
            <w:tcW w:w="990" w:type="dxa"/>
            <w:tcBorders>
              <w:top w:val="nil"/>
              <w:left w:val="nil"/>
              <w:bottom w:val="nil"/>
              <w:right w:val="nil"/>
            </w:tcBorders>
            <w:shd w:val="clear" w:color="auto" w:fill="auto"/>
            <w:noWrap/>
            <w:vAlign w:val="center"/>
            <w:hideMark/>
          </w:tcPr>
          <w:p w14:paraId="1E904155" w14:textId="6FB4ED9E"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2037</w:t>
            </w:r>
          </w:p>
        </w:tc>
        <w:tc>
          <w:tcPr>
            <w:tcW w:w="1117" w:type="dxa"/>
            <w:tcBorders>
              <w:top w:val="nil"/>
              <w:left w:val="nil"/>
              <w:bottom w:val="nil"/>
              <w:right w:val="nil"/>
            </w:tcBorders>
            <w:shd w:val="clear" w:color="auto" w:fill="auto"/>
            <w:noWrap/>
            <w:vAlign w:val="center"/>
            <w:hideMark/>
          </w:tcPr>
          <w:p w14:paraId="1F2722A3" w14:textId="44290123"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2,279,364 </w:t>
            </w:r>
          </w:p>
        </w:tc>
        <w:tc>
          <w:tcPr>
            <w:tcW w:w="1598" w:type="dxa"/>
            <w:tcBorders>
              <w:top w:val="nil"/>
              <w:left w:val="nil"/>
              <w:bottom w:val="nil"/>
              <w:right w:val="nil"/>
            </w:tcBorders>
            <w:shd w:val="clear" w:color="auto" w:fill="auto"/>
            <w:noWrap/>
            <w:vAlign w:val="center"/>
            <w:hideMark/>
          </w:tcPr>
          <w:p w14:paraId="3B688901" w14:textId="66A05004"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$477,677 </w:t>
            </w:r>
          </w:p>
        </w:tc>
        <w:tc>
          <w:tcPr>
            <w:tcW w:w="1605" w:type="dxa"/>
            <w:tcBorders>
              <w:top w:val="nil"/>
              <w:left w:val="nil"/>
              <w:bottom w:val="nil"/>
              <w:right w:val="nil"/>
            </w:tcBorders>
            <w:shd w:val="clear" w:color="auto" w:fill="auto"/>
            <w:noWrap/>
            <w:vAlign w:val="center"/>
            <w:hideMark/>
          </w:tcPr>
          <w:p w14:paraId="345CB146" w14:textId="0D4F022C"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$0.2096 </w:t>
            </w:r>
          </w:p>
        </w:tc>
        <w:tc>
          <w:tcPr>
            <w:tcW w:w="1318" w:type="dxa"/>
            <w:tcBorders>
              <w:top w:val="nil"/>
              <w:left w:val="nil"/>
              <w:bottom w:val="nil"/>
              <w:right w:val="nil"/>
            </w:tcBorders>
            <w:shd w:val="clear" w:color="auto" w:fill="auto"/>
            <w:noWrap/>
            <w:vAlign w:val="center"/>
            <w:hideMark/>
          </w:tcPr>
          <w:p w14:paraId="63098FF6" w14:textId="5AEFE886"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933,534 </w:t>
            </w:r>
          </w:p>
        </w:tc>
        <w:tc>
          <w:tcPr>
            <w:tcW w:w="1217" w:type="dxa"/>
            <w:tcBorders>
              <w:top w:val="nil"/>
              <w:left w:val="nil"/>
              <w:bottom w:val="nil"/>
              <w:right w:val="nil"/>
            </w:tcBorders>
            <w:shd w:val="clear" w:color="auto" w:fill="auto"/>
            <w:noWrap/>
            <w:vAlign w:val="center"/>
            <w:hideMark/>
          </w:tcPr>
          <w:p w14:paraId="00E4BFCA" w14:textId="7A2D99BC"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$199,709 </w:t>
            </w:r>
          </w:p>
        </w:tc>
        <w:tc>
          <w:tcPr>
            <w:tcW w:w="1601" w:type="dxa"/>
            <w:tcBorders>
              <w:top w:val="nil"/>
              <w:left w:val="nil"/>
              <w:bottom w:val="nil"/>
              <w:right w:val="nil"/>
            </w:tcBorders>
            <w:shd w:val="clear" w:color="auto" w:fill="auto"/>
            <w:noWrap/>
            <w:vAlign w:val="center"/>
            <w:hideMark/>
          </w:tcPr>
          <w:p w14:paraId="629E5FAE" w14:textId="50CA266D"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$0.2139 </w:t>
            </w:r>
          </w:p>
        </w:tc>
      </w:tr>
      <w:tr w:rsidR="00536559" w:rsidRPr="00536559" w14:paraId="7418A761" w14:textId="77777777" w:rsidTr="00536559">
        <w:trPr>
          <w:trHeight w:val="255"/>
        </w:trPr>
        <w:tc>
          <w:tcPr>
            <w:tcW w:w="990" w:type="dxa"/>
            <w:tcBorders>
              <w:top w:val="nil"/>
              <w:left w:val="nil"/>
              <w:bottom w:val="nil"/>
              <w:right w:val="nil"/>
            </w:tcBorders>
            <w:shd w:val="clear" w:color="auto" w:fill="auto"/>
            <w:noWrap/>
            <w:vAlign w:val="center"/>
            <w:hideMark/>
          </w:tcPr>
          <w:p w14:paraId="7B273C7E" w14:textId="6124F385"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2038</w:t>
            </w:r>
          </w:p>
        </w:tc>
        <w:tc>
          <w:tcPr>
            <w:tcW w:w="1117" w:type="dxa"/>
            <w:tcBorders>
              <w:top w:val="nil"/>
              <w:left w:val="nil"/>
              <w:bottom w:val="nil"/>
              <w:right w:val="nil"/>
            </w:tcBorders>
            <w:shd w:val="clear" w:color="auto" w:fill="auto"/>
            <w:noWrap/>
            <w:vAlign w:val="center"/>
            <w:hideMark/>
          </w:tcPr>
          <w:p w14:paraId="2B48AD87" w14:textId="2AA389B5"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1,920,573 </w:t>
            </w:r>
          </w:p>
        </w:tc>
        <w:tc>
          <w:tcPr>
            <w:tcW w:w="1598" w:type="dxa"/>
            <w:tcBorders>
              <w:top w:val="nil"/>
              <w:left w:val="nil"/>
              <w:bottom w:val="nil"/>
              <w:right w:val="nil"/>
            </w:tcBorders>
            <w:shd w:val="clear" w:color="auto" w:fill="auto"/>
            <w:noWrap/>
            <w:vAlign w:val="center"/>
            <w:hideMark/>
          </w:tcPr>
          <w:p w14:paraId="1E35E258" w14:textId="130A79F3"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$402,917 </w:t>
            </w:r>
          </w:p>
        </w:tc>
        <w:tc>
          <w:tcPr>
            <w:tcW w:w="1605" w:type="dxa"/>
            <w:tcBorders>
              <w:top w:val="nil"/>
              <w:left w:val="nil"/>
              <w:bottom w:val="nil"/>
              <w:right w:val="nil"/>
            </w:tcBorders>
            <w:shd w:val="clear" w:color="auto" w:fill="auto"/>
            <w:noWrap/>
            <w:vAlign w:val="center"/>
            <w:hideMark/>
          </w:tcPr>
          <w:p w14:paraId="14391CB1" w14:textId="3BB229BA"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$0.2098 </w:t>
            </w:r>
          </w:p>
        </w:tc>
        <w:tc>
          <w:tcPr>
            <w:tcW w:w="1318" w:type="dxa"/>
            <w:tcBorders>
              <w:top w:val="nil"/>
              <w:left w:val="nil"/>
              <w:bottom w:val="nil"/>
              <w:right w:val="nil"/>
            </w:tcBorders>
            <w:shd w:val="clear" w:color="auto" w:fill="auto"/>
            <w:noWrap/>
            <w:vAlign w:val="center"/>
            <w:hideMark/>
          </w:tcPr>
          <w:p w14:paraId="6E0E7A28" w14:textId="79D63288"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690,358 </w:t>
            </w:r>
          </w:p>
        </w:tc>
        <w:tc>
          <w:tcPr>
            <w:tcW w:w="1217" w:type="dxa"/>
            <w:tcBorders>
              <w:top w:val="nil"/>
              <w:left w:val="nil"/>
              <w:bottom w:val="nil"/>
              <w:right w:val="nil"/>
            </w:tcBorders>
            <w:shd w:val="clear" w:color="auto" w:fill="auto"/>
            <w:noWrap/>
            <w:vAlign w:val="center"/>
            <w:hideMark/>
          </w:tcPr>
          <w:p w14:paraId="3C7131CA" w14:textId="51F0126B"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$147,666 </w:t>
            </w:r>
          </w:p>
        </w:tc>
        <w:tc>
          <w:tcPr>
            <w:tcW w:w="1601" w:type="dxa"/>
            <w:tcBorders>
              <w:top w:val="nil"/>
              <w:left w:val="nil"/>
              <w:bottom w:val="nil"/>
              <w:right w:val="nil"/>
            </w:tcBorders>
            <w:shd w:val="clear" w:color="auto" w:fill="auto"/>
            <w:noWrap/>
            <w:vAlign w:val="center"/>
            <w:hideMark/>
          </w:tcPr>
          <w:p w14:paraId="5D8FE387" w14:textId="3E819939"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$0.2139 </w:t>
            </w:r>
          </w:p>
        </w:tc>
      </w:tr>
      <w:tr w:rsidR="00536559" w:rsidRPr="00536559" w14:paraId="5E5CB7CA" w14:textId="77777777" w:rsidTr="00536559">
        <w:trPr>
          <w:trHeight w:val="255"/>
        </w:trPr>
        <w:tc>
          <w:tcPr>
            <w:tcW w:w="990" w:type="dxa"/>
            <w:tcBorders>
              <w:top w:val="nil"/>
              <w:left w:val="nil"/>
              <w:bottom w:val="nil"/>
              <w:right w:val="nil"/>
            </w:tcBorders>
            <w:shd w:val="clear" w:color="auto" w:fill="auto"/>
            <w:noWrap/>
            <w:vAlign w:val="center"/>
            <w:hideMark/>
          </w:tcPr>
          <w:p w14:paraId="70DA1F4F" w14:textId="3FB11C33"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2039</w:t>
            </w:r>
          </w:p>
        </w:tc>
        <w:tc>
          <w:tcPr>
            <w:tcW w:w="1117" w:type="dxa"/>
            <w:tcBorders>
              <w:top w:val="nil"/>
              <w:left w:val="nil"/>
              <w:bottom w:val="nil"/>
              <w:right w:val="nil"/>
            </w:tcBorders>
            <w:shd w:val="clear" w:color="auto" w:fill="auto"/>
            <w:noWrap/>
            <w:vAlign w:val="center"/>
            <w:hideMark/>
          </w:tcPr>
          <w:p w14:paraId="7AF00944" w14:textId="50CF5111"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1,917,977 </w:t>
            </w:r>
          </w:p>
        </w:tc>
        <w:tc>
          <w:tcPr>
            <w:tcW w:w="1598" w:type="dxa"/>
            <w:tcBorders>
              <w:top w:val="nil"/>
              <w:left w:val="nil"/>
              <w:bottom w:val="nil"/>
              <w:right w:val="nil"/>
            </w:tcBorders>
            <w:shd w:val="clear" w:color="auto" w:fill="auto"/>
            <w:noWrap/>
            <w:vAlign w:val="center"/>
            <w:hideMark/>
          </w:tcPr>
          <w:p w14:paraId="65A06160" w14:textId="0037AE55"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$402,259 </w:t>
            </w:r>
          </w:p>
        </w:tc>
        <w:tc>
          <w:tcPr>
            <w:tcW w:w="1605" w:type="dxa"/>
            <w:tcBorders>
              <w:top w:val="nil"/>
              <w:left w:val="nil"/>
              <w:bottom w:val="nil"/>
              <w:right w:val="nil"/>
            </w:tcBorders>
            <w:shd w:val="clear" w:color="auto" w:fill="auto"/>
            <w:noWrap/>
            <w:vAlign w:val="center"/>
            <w:hideMark/>
          </w:tcPr>
          <w:p w14:paraId="54C47A76" w14:textId="53342216"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$0.2097 </w:t>
            </w:r>
          </w:p>
        </w:tc>
        <w:tc>
          <w:tcPr>
            <w:tcW w:w="1318" w:type="dxa"/>
            <w:tcBorders>
              <w:top w:val="nil"/>
              <w:left w:val="nil"/>
              <w:bottom w:val="nil"/>
              <w:right w:val="nil"/>
            </w:tcBorders>
            <w:shd w:val="clear" w:color="auto" w:fill="auto"/>
            <w:noWrap/>
            <w:vAlign w:val="center"/>
            <w:hideMark/>
          </w:tcPr>
          <w:p w14:paraId="109AF1DD" w14:textId="04267868"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676,956 </w:t>
            </w:r>
          </w:p>
        </w:tc>
        <w:tc>
          <w:tcPr>
            <w:tcW w:w="1217" w:type="dxa"/>
            <w:tcBorders>
              <w:top w:val="nil"/>
              <w:left w:val="nil"/>
              <w:bottom w:val="nil"/>
              <w:right w:val="nil"/>
            </w:tcBorders>
            <w:shd w:val="clear" w:color="auto" w:fill="auto"/>
            <w:noWrap/>
            <w:vAlign w:val="center"/>
            <w:hideMark/>
          </w:tcPr>
          <w:p w14:paraId="233D5B77" w14:textId="049579A5"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$145,077 </w:t>
            </w:r>
          </w:p>
        </w:tc>
        <w:tc>
          <w:tcPr>
            <w:tcW w:w="1601" w:type="dxa"/>
            <w:tcBorders>
              <w:top w:val="nil"/>
              <w:left w:val="nil"/>
              <w:bottom w:val="nil"/>
              <w:right w:val="nil"/>
            </w:tcBorders>
            <w:shd w:val="clear" w:color="auto" w:fill="auto"/>
            <w:noWrap/>
            <w:vAlign w:val="center"/>
            <w:hideMark/>
          </w:tcPr>
          <w:p w14:paraId="03EAB635" w14:textId="420743DC"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$0.2143 </w:t>
            </w:r>
          </w:p>
        </w:tc>
      </w:tr>
      <w:tr w:rsidR="00536559" w:rsidRPr="00536559" w14:paraId="67857810" w14:textId="77777777" w:rsidTr="00536559">
        <w:trPr>
          <w:trHeight w:val="255"/>
        </w:trPr>
        <w:tc>
          <w:tcPr>
            <w:tcW w:w="990" w:type="dxa"/>
            <w:tcBorders>
              <w:top w:val="nil"/>
              <w:left w:val="nil"/>
              <w:bottom w:val="nil"/>
              <w:right w:val="nil"/>
            </w:tcBorders>
            <w:shd w:val="clear" w:color="auto" w:fill="auto"/>
            <w:noWrap/>
            <w:vAlign w:val="center"/>
            <w:hideMark/>
          </w:tcPr>
          <w:p w14:paraId="2603A47D" w14:textId="1B8D9179"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2040</w:t>
            </w:r>
          </w:p>
        </w:tc>
        <w:tc>
          <w:tcPr>
            <w:tcW w:w="1117" w:type="dxa"/>
            <w:tcBorders>
              <w:top w:val="nil"/>
              <w:left w:val="nil"/>
              <w:bottom w:val="nil"/>
              <w:right w:val="nil"/>
            </w:tcBorders>
            <w:shd w:val="clear" w:color="auto" w:fill="auto"/>
            <w:noWrap/>
            <w:vAlign w:val="center"/>
            <w:hideMark/>
          </w:tcPr>
          <w:p w14:paraId="74CA1CA9" w14:textId="2D3425E6"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1,855,227 </w:t>
            </w:r>
          </w:p>
        </w:tc>
        <w:tc>
          <w:tcPr>
            <w:tcW w:w="1598" w:type="dxa"/>
            <w:tcBorders>
              <w:top w:val="nil"/>
              <w:left w:val="nil"/>
              <w:bottom w:val="nil"/>
              <w:right w:val="nil"/>
            </w:tcBorders>
            <w:shd w:val="clear" w:color="auto" w:fill="auto"/>
            <w:noWrap/>
            <w:vAlign w:val="center"/>
            <w:hideMark/>
          </w:tcPr>
          <w:p w14:paraId="08BA63A7" w14:textId="0393EB6F"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$388,585 </w:t>
            </w:r>
          </w:p>
        </w:tc>
        <w:tc>
          <w:tcPr>
            <w:tcW w:w="1605" w:type="dxa"/>
            <w:tcBorders>
              <w:top w:val="nil"/>
              <w:left w:val="nil"/>
              <w:bottom w:val="nil"/>
              <w:right w:val="nil"/>
            </w:tcBorders>
            <w:shd w:val="clear" w:color="auto" w:fill="auto"/>
            <w:noWrap/>
            <w:vAlign w:val="center"/>
            <w:hideMark/>
          </w:tcPr>
          <w:p w14:paraId="718DB2A4" w14:textId="2A9D90EB"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$0.2095 </w:t>
            </w:r>
          </w:p>
        </w:tc>
        <w:tc>
          <w:tcPr>
            <w:tcW w:w="1318" w:type="dxa"/>
            <w:tcBorders>
              <w:top w:val="nil"/>
              <w:left w:val="nil"/>
              <w:bottom w:val="nil"/>
              <w:right w:val="nil"/>
            </w:tcBorders>
            <w:shd w:val="clear" w:color="auto" w:fill="auto"/>
            <w:noWrap/>
            <w:vAlign w:val="center"/>
            <w:hideMark/>
          </w:tcPr>
          <w:p w14:paraId="640B2786" w14:textId="57D45496"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674,663 </w:t>
            </w:r>
          </w:p>
        </w:tc>
        <w:tc>
          <w:tcPr>
            <w:tcW w:w="1217" w:type="dxa"/>
            <w:tcBorders>
              <w:top w:val="nil"/>
              <w:left w:val="nil"/>
              <w:bottom w:val="nil"/>
              <w:right w:val="nil"/>
            </w:tcBorders>
            <w:shd w:val="clear" w:color="auto" w:fill="auto"/>
            <w:noWrap/>
            <w:vAlign w:val="center"/>
            <w:hideMark/>
          </w:tcPr>
          <w:p w14:paraId="1AF839E4" w14:textId="79C309B7"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$144,639 </w:t>
            </w:r>
          </w:p>
        </w:tc>
        <w:tc>
          <w:tcPr>
            <w:tcW w:w="1601" w:type="dxa"/>
            <w:tcBorders>
              <w:top w:val="nil"/>
              <w:left w:val="nil"/>
              <w:bottom w:val="nil"/>
              <w:right w:val="nil"/>
            </w:tcBorders>
            <w:shd w:val="clear" w:color="auto" w:fill="auto"/>
            <w:noWrap/>
            <w:vAlign w:val="center"/>
            <w:hideMark/>
          </w:tcPr>
          <w:p w14:paraId="3FD19D1F" w14:textId="45D3AD46"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$0.2144 </w:t>
            </w:r>
          </w:p>
        </w:tc>
      </w:tr>
      <w:tr w:rsidR="00536559" w:rsidRPr="00536559" w14:paraId="4D3D340A" w14:textId="77777777" w:rsidTr="00536559">
        <w:trPr>
          <w:trHeight w:val="255"/>
        </w:trPr>
        <w:tc>
          <w:tcPr>
            <w:tcW w:w="990" w:type="dxa"/>
            <w:tcBorders>
              <w:top w:val="nil"/>
              <w:left w:val="nil"/>
              <w:bottom w:val="nil"/>
              <w:right w:val="nil"/>
            </w:tcBorders>
            <w:shd w:val="clear" w:color="auto" w:fill="auto"/>
            <w:noWrap/>
            <w:vAlign w:val="center"/>
            <w:hideMark/>
          </w:tcPr>
          <w:p w14:paraId="065BFACC" w14:textId="5F957DC5"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2041</w:t>
            </w:r>
          </w:p>
        </w:tc>
        <w:tc>
          <w:tcPr>
            <w:tcW w:w="1117" w:type="dxa"/>
            <w:tcBorders>
              <w:top w:val="nil"/>
              <w:left w:val="nil"/>
              <w:bottom w:val="nil"/>
              <w:right w:val="nil"/>
            </w:tcBorders>
            <w:shd w:val="clear" w:color="auto" w:fill="auto"/>
            <w:noWrap/>
            <w:vAlign w:val="center"/>
            <w:hideMark/>
          </w:tcPr>
          <w:p w14:paraId="11B116B0" w14:textId="1544A007"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1,855,227 </w:t>
            </w:r>
          </w:p>
        </w:tc>
        <w:tc>
          <w:tcPr>
            <w:tcW w:w="1598" w:type="dxa"/>
            <w:tcBorders>
              <w:top w:val="nil"/>
              <w:left w:val="nil"/>
              <w:bottom w:val="nil"/>
              <w:right w:val="nil"/>
            </w:tcBorders>
            <w:shd w:val="clear" w:color="auto" w:fill="auto"/>
            <w:noWrap/>
            <w:vAlign w:val="center"/>
            <w:hideMark/>
          </w:tcPr>
          <w:p w14:paraId="51C028B7" w14:textId="556DB96E"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$388,585 </w:t>
            </w:r>
          </w:p>
        </w:tc>
        <w:tc>
          <w:tcPr>
            <w:tcW w:w="1605" w:type="dxa"/>
            <w:tcBorders>
              <w:top w:val="nil"/>
              <w:left w:val="nil"/>
              <w:bottom w:val="nil"/>
              <w:right w:val="nil"/>
            </w:tcBorders>
            <w:shd w:val="clear" w:color="auto" w:fill="auto"/>
            <w:noWrap/>
            <w:vAlign w:val="center"/>
            <w:hideMark/>
          </w:tcPr>
          <w:p w14:paraId="53E6D8F5" w14:textId="6A8BB362"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$0.2095 </w:t>
            </w:r>
          </w:p>
        </w:tc>
        <w:tc>
          <w:tcPr>
            <w:tcW w:w="1318" w:type="dxa"/>
            <w:tcBorders>
              <w:top w:val="nil"/>
              <w:left w:val="nil"/>
              <w:bottom w:val="nil"/>
              <w:right w:val="nil"/>
            </w:tcBorders>
            <w:shd w:val="clear" w:color="auto" w:fill="auto"/>
            <w:noWrap/>
            <w:vAlign w:val="center"/>
            <w:hideMark/>
          </w:tcPr>
          <w:p w14:paraId="5A1E1F18" w14:textId="1C937EDA"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674,663 </w:t>
            </w:r>
          </w:p>
        </w:tc>
        <w:tc>
          <w:tcPr>
            <w:tcW w:w="1217" w:type="dxa"/>
            <w:tcBorders>
              <w:top w:val="nil"/>
              <w:left w:val="nil"/>
              <w:bottom w:val="nil"/>
              <w:right w:val="nil"/>
            </w:tcBorders>
            <w:shd w:val="clear" w:color="auto" w:fill="auto"/>
            <w:noWrap/>
            <w:vAlign w:val="center"/>
            <w:hideMark/>
          </w:tcPr>
          <w:p w14:paraId="509BD1BB" w14:textId="13F21510"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$144,639 </w:t>
            </w:r>
          </w:p>
        </w:tc>
        <w:tc>
          <w:tcPr>
            <w:tcW w:w="1601" w:type="dxa"/>
            <w:tcBorders>
              <w:top w:val="nil"/>
              <w:left w:val="nil"/>
              <w:bottom w:val="nil"/>
              <w:right w:val="nil"/>
            </w:tcBorders>
            <w:shd w:val="clear" w:color="auto" w:fill="auto"/>
            <w:noWrap/>
            <w:vAlign w:val="center"/>
            <w:hideMark/>
          </w:tcPr>
          <w:p w14:paraId="04C9D000" w14:textId="3DD1788B"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$0.2144 </w:t>
            </w:r>
          </w:p>
        </w:tc>
      </w:tr>
      <w:tr w:rsidR="00536559" w:rsidRPr="00536559" w14:paraId="532D19AB" w14:textId="77777777" w:rsidTr="00536559">
        <w:trPr>
          <w:trHeight w:val="255"/>
        </w:trPr>
        <w:tc>
          <w:tcPr>
            <w:tcW w:w="990" w:type="dxa"/>
            <w:tcBorders>
              <w:top w:val="nil"/>
              <w:left w:val="nil"/>
              <w:bottom w:val="nil"/>
              <w:right w:val="nil"/>
            </w:tcBorders>
            <w:shd w:val="clear" w:color="auto" w:fill="auto"/>
            <w:noWrap/>
            <w:vAlign w:val="center"/>
            <w:hideMark/>
          </w:tcPr>
          <w:p w14:paraId="40024BA2" w14:textId="12E08CDD"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2042</w:t>
            </w:r>
          </w:p>
        </w:tc>
        <w:tc>
          <w:tcPr>
            <w:tcW w:w="1117" w:type="dxa"/>
            <w:tcBorders>
              <w:top w:val="nil"/>
              <w:left w:val="nil"/>
              <w:bottom w:val="nil"/>
              <w:right w:val="nil"/>
            </w:tcBorders>
            <w:shd w:val="clear" w:color="auto" w:fill="auto"/>
            <w:noWrap/>
            <w:vAlign w:val="center"/>
            <w:hideMark/>
          </w:tcPr>
          <w:p w14:paraId="331C6430" w14:textId="37ECA1B6"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1,852,049 </w:t>
            </w:r>
          </w:p>
        </w:tc>
        <w:tc>
          <w:tcPr>
            <w:tcW w:w="1598" w:type="dxa"/>
            <w:tcBorders>
              <w:top w:val="nil"/>
              <w:left w:val="nil"/>
              <w:bottom w:val="nil"/>
              <w:right w:val="nil"/>
            </w:tcBorders>
            <w:shd w:val="clear" w:color="auto" w:fill="auto"/>
            <w:noWrap/>
            <w:vAlign w:val="center"/>
            <w:hideMark/>
          </w:tcPr>
          <w:p w14:paraId="633C5336" w14:textId="68164DFD"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$388,009 </w:t>
            </w:r>
          </w:p>
        </w:tc>
        <w:tc>
          <w:tcPr>
            <w:tcW w:w="1605" w:type="dxa"/>
            <w:tcBorders>
              <w:top w:val="nil"/>
              <w:left w:val="nil"/>
              <w:bottom w:val="nil"/>
              <w:right w:val="nil"/>
            </w:tcBorders>
            <w:shd w:val="clear" w:color="auto" w:fill="auto"/>
            <w:noWrap/>
            <w:vAlign w:val="center"/>
            <w:hideMark/>
          </w:tcPr>
          <w:p w14:paraId="1C512D4A" w14:textId="2C1DFE70"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$0.2095 </w:t>
            </w:r>
          </w:p>
        </w:tc>
        <w:tc>
          <w:tcPr>
            <w:tcW w:w="1318" w:type="dxa"/>
            <w:tcBorders>
              <w:top w:val="nil"/>
              <w:left w:val="nil"/>
              <w:bottom w:val="nil"/>
              <w:right w:val="nil"/>
            </w:tcBorders>
            <w:shd w:val="clear" w:color="auto" w:fill="auto"/>
            <w:noWrap/>
            <w:vAlign w:val="center"/>
            <w:hideMark/>
          </w:tcPr>
          <w:p w14:paraId="71432E38" w14:textId="0C780B83"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674,663 </w:t>
            </w:r>
          </w:p>
        </w:tc>
        <w:tc>
          <w:tcPr>
            <w:tcW w:w="1217" w:type="dxa"/>
            <w:tcBorders>
              <w:top w:val="nil"/>
              <w:left w:val="nil"/>
              <w:bottom w:val="nil"/>
              <w:right w:val="nil"/>
            </w:tcBorders>
            <w:shd w:val="clear" w:color="auto" w:fill="auto"/>
            <w:noWrap/>
            <w:vAlign w:val="center"/>
            <w:hideMark/>
          </w:tcPr>
          <w:p w14:paraId="39511F58" w14:textId="2BB51460"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$144,639 </w:t>
            </w:r>
          </w:p>
        </w:tc>
        <w:tc>
          <w:tcPr>
            <w:tcW w:w="1601" w:type="dxa"/>
            <w:tcBorders>
              <w:top w:val="nil"/>
              <w:left w:val="nil"/>
              <w:bottom w:val="nil"/>
              <w:right w:val="nil"/>
            </w:tcBorders>
            <w:shd w:val="clear" w:color="auto" w:fill="auto"/>
            <w:noWrap/>
            <w:vAlign w:val="center"/>
            <w:hideMark/>
          </w:tcPr>
          <w:p w14:paraId="782C3654" w14:textId="68F77FE7"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$0.2144 </w:t>
            </w:r>
          </w:p>
        </w:tc>
      </w:tr>
      <w:tr w:rsidR="00536559" w:rsidRPr="00536559" w14:paraId="3FAC507E" w14:textId="77777777" w:rsidTr="00536559">
        <w:trPr>
          <w:trHeight w:val="255"/>
        </w:trPr>
        <w:tc>
          <w:tcPr>
            <w:tcW w:w="990" w:type="dxa"/>
            <w:tcBorders>
              <w:top w:val="nil"/>
              <w:left w:val="nil"/>
              <w:bottom w:val="nil"/>
              <w:right w:val="nil"/>
            </w:tcBorders>
            <w:shd w:val="clear" w:color="auto" w:fill="auto"/>
            <w:noWrap/>
            <w:vAlign w:val="center"/>
            <w:hideMark/>
          </w:tcPr>
          <w:p w14:paraId="043E975B" w14:textId="5E65F280"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2043</w:t>
            </w:r>
          </w:p>
        </w:tc>
        <w:tc>
          <w:tcPr>
            <w:tcW w:w="1117" w:type="dxa"/>
            <w:tcBorders>
              <w:top w:val="nil"/>
              <w:left w:val="nil"/>
              <w:bottom w:val="nil"/>
              <w:right w:val="nil"/>
            </w:tcBorders>
            <w:shd w:val="clear" w:color="auto" w:fill="auto"/>
            <w:noWrap/>
            <w:vAlign w:val="center"/>
            <w:hideMark/>
          </w:tcPr>
          <w:p w14:paraId="7041368D" w14:textId="2759BC70"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34,140 </w:t>
            </w:r>
          </w:p>
        </w:tc>
        <w:tc>
          <w:tcPr>
            <w:tcW w:w="1598" w:type="dxa"/>
            <w:tcBorders>
              <w:top w:val="nil"/>
              <w:left w:val="nil"/>
              <w:bottom w:val="nil"/>
              <w:right w:val="nil"/>
            </w:tcBorders>
            <w:shd w:val="clear" w:color="auto" w:fill="auto"/>
            <w:noWrap/>
            <w:vAlign w:val="center"/>
            <w:hideMark/>
          </w:tcPr>
          <w:p w14:paraId="10D6BDC8" w14:textId="20CA8558"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$7,433 </w:t>
            </w:r>
          </w:p>
        </w:tc>
        <w:tc>
          <w:tcPr>
            <w:tcW w:w="1605" w:type="dxa"/>
            <w:tcBorders>
              <w:top w:val="nil"/>
              <w:left w:val="nil"/>
              <w:bottom w:val="nil"/>
              <w:right w:val="nil"/>
            </w:tcBorders>
            <w:shd w:val="clear" w:color="auto" w:fill="auto"/>
            <w:noWrap/>
            <w:vAlign w:val="center"/>
            <w:hideMark/>
          </w:tcPr>
          <w:p w14:paraId="193B4D31" w14:textId="4B9871FF"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$0.2177 </w:t>
            </w:r>
          </w:p>
        </w:tc>
        <w:tc>
          <w:tcPr>
            <w:tcW w:w="1318" w:type="dxa"/>
            <w:tcBorders>
              <w:top w:val="nil"/>
              <w:left w:val="nil"/>
              <w:bottom w:val="nil"/>
              <w:right w:val="nil"/>
            </w:tcBorders>
            <w:shd w:val="clear" w:color="auto" w:fill="auto"/>
            <w:noWrap/>
            <w:vAlign w:val="center"/>
            <w:hideMark/>
          </w:tcPr>
          <w:p w14:paraId="130D18BC" w14:textId="6463E3F9"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632,869 </w:t>
            </w:r>
          </w:p>
        </w:tc>
        <w:tc>
          <w:tcPr>
            <w:tcW w:w="1217" w:type="dxa"/>
            <w:tcBorders>
              <w:top w:val="nil"/>
              <w:left w:val="nil"/>
              <w:bottom w:val="nil"/>
              <w:right w:val="nil"/>
            </w:tcBorders>
            <w:shd w:val="clear" w:color="auto" w:fill="auto"/>
            <w:noWrap/>
            <w:vAlign w:val="center"/>
            <w:hideMark/>
          </w:tcPr>
          <w:p w14:paraId="787AA628" w14:textId="710CF240"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$135,432 </w:t>
            </w:r>
          </w:p>
        </w:tc>
        <w:tc>
          <w:tcPr>
            <w:tcW w:w="1601" w:type="dxa"/>
            <w:tcBorders>
              <w:top w:val="nil"/>
              <w:left w:val="nil"/>
              <w:bottom w:val="nil"/>
              <w:right w:val="nil"/>
            </w:tcBorders>
            <w:shd w:val="clear" w:color="auto" w:fill="auto"/>
            <w:noWrap/>
            <w:vAlign w:val="center"/>
            <w:hideMark/>
          </w:tcPr>
          <w:p w14:paraId="14453FC6" w14:textId="2A3B2BCA"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$0.2140 </w:t>
            </w:r>
          </w:p>
        </w:tc>
      </w:tr>
      <w:tr w:rsidR="00536559" w:rsidRPr="00536559" w14:paraId="63C909D2" w14:textId="77777777" w:rsidTr="00536559">
        <w:trPr>
          <w:trHeight w:val="255"/>
        </w:trPr>
        <w:tc>
          <w:tcPr>
            <w:tcW w:w="990" w:type="dxa"/>
            <w:tcBorders>
              <w:top w:val="nil"/>
              <w:left w:val="nil"/>
              <w:bottom w:val="nil"/>
              <w:right w:val="nil"/>
            </w:tcBorders>
            <w:shd w:val="clear" w:color="auto" w:fill="auto"/>
            <w:noWrap/>
            <w:vAlign w:val="center"/>
            <w:hideMark/>
          </w:tcPr>
          <w:p w14:paraId="5098C924" w14:textId="3EBCB0E5"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2044</w:t>
            </w:r>
          </w:p>
        </w:tc>
        <w:tc>
          <w:tcPr>
            <w:tcW w:w="1117" w:type="dxa"/>
            <w:tcBorders>
              <w:top w:val="nil"/>
              <w:left w:val="nil"/>
              <w:bottom w:val="nil"/>
              <w:right w:val="nil"/>
            </w:tcBorders>
            <w:shd w:val="clear" w:color="auto" w:fill="auto"/>
            <w:noWrap/>
            <w:vAlign w:val="center"/>
            <w:hideMark/>
          </w:tcPr>
          <w:p w14:paraId="10693BFA" w14:textId="40EFE838"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34,140 </w:t>
            </w:r>
          </w:p>
        </w:tc>
        <w:tc>
          <w:tcPr>
            <w:tcW w:w="1598" w:type="dxa"/>
            <w:tcBorders>
              <w:top w:val="nil"/>
              <w:left w:val="nil"/>
              <w:bottom w:val="nil"/>
              <w:right w:val="nil"/>
            </w:tcBorders>
            <w:shd w:val="clear" w:color="auto" w:fill="auto"/>
            <w:noWrap/>
            <w:vAlign w:val="center"/>
            <w:hideMark/>
          </w:tcPr>
          <w:p w14:paraId="302EADC1" w14:textId="4704192A"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$7,433 </w:t>
            </w:r>
          </w:p>
        </w:tc>
        <w:tc>
          <w:tcPr>
            <w:tcW w:w="1605" w:type="dxa"/>
            <w:tcBorders>
              <w:top w:val="nil"/>
              <w:left w:val="nil"/>
              <w:bottom w:val="nil"/>
              <w:right w:val="nil"/>
            </w:tcBorders>
            <w:shd w:val="clear" w:color="auto" w:fill="auto"/>
            <w:noWrap/>
            <w:vAlign w:val="center"/>
            <w:hideMark/>
          </w:tcPr>
          <w:p w14:paraId="09CC86FB" w14:textId="372CEE65"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$0.2177 </w:t>
            </w:r>
          </w:p>
        </w:tc>
        <w:tc>
          <w:tcPr>
            <w:tcW w:w="1318" w:type="dxa"/>
            <w:tcBorders>
              <w:top w:val="nil"/>
              <w:left w:val="nil"/>
              <w:bottom w:val="nil"/>
              <w:right w:val="nil"/>
            </w:tcBorders>
            <w:shd w:val="clear" w:color="auto" w:fill="auto"/>
            <w:noWrap/>
            <w:vAlign w:val="center"/>
          </w:tcPr>
          <w:p w14:paraId="0662F1B3" w14:textId="585F45EC" w:rsidR="00536559" w:rsidRPr="00536559" w:rsidRDefault="00536559" w:rsidP="00536559">
            <w:pPr>
              <w:spacing w:line="240" w:lineRule="auto"/>
              <w:jc w:val="right"/>
              <w:rPr>
                <w:rFonts w:ascii="Arial Narrow" w:hAnsi="Arial Narrow" w:cs="Calibri"/>
                <w:szCs w:val="18"/>
              </w:rPr>
            </w:pPr>
          </w:p>
        </w:tc>
        <w:tc>
          <w:tcPr>
            <w:tcW w:w="1217" w:type="dxa"/>
            <w:tcBorders>
              <w:top w:val="nil"/>
              <w:left w:val="nil"/>
              <w:bottom w:val="nil"/>
              <w:right w:val="nil"/>
            </w:tcBorders>
            <w:shd w:val="clear" w:color="auto" w:fill="auto"/>
            <w:noWrap/>
            <w:vAlign w:val="center"/>
          </w:tcPr>
          <w:p w14:paraId="1CDF2171" w14:textId="707BCC73" w:rsidR="00536559" w:rsidRPr="00536559" w:rsidRDefault="00536559" w:rsidP="00536559">
            <w:pPr>
              <w:spacing w:line="240" w:lineRule="auto"/>
              <w:jc w:val="right"/>
              <w:rPr>
                <w:rFonts w:ascii="Arial Narrow" w:hAnsi="Arial Narrow" w:cs="Calibri"/>
                <w:szCs w:val="18"/>
              </w:rPr>
            </w:pPr>
          </w:p>
        </w:tc>
        <w:tc>
          <w:tcPr>
            <w:tcW w:w="1601" w:type="dxa"/>
            <w:tcBorders>
              <w:top w:val="nil"/>
              <w:left w:val="nil"/>
              <w:bottom w:val="nil"/>
              <w:right w:val="nil"/>
            </w:tcBorders>
            <w:shd w:val="clear" w:color="auto" w:fill="auto"/>
            <w:noWrap/>
            <w:vAlign w:val="center"/>
          </w:tcPr>
          <w:p w14:paraId="3712B57B" w14:textId="0BFC7E09" w:rsidR="00536559" w:rsidRPr="00536559" w:rsidRDefault="00536559" w:rsidP="00536559">
            <w:pPr>
              <w:spacing w:line="240" w:lineRule="auto"/>
              <w:jc w:val="right"/>
              <w:rPr>
                <w:rFonts w:ascii="Arial Narrow" w:hAnsi="Arial Narrow" w:cs="Calibri"/>
                <w:szCs w:val="18"/>
              </w:rPr>
            </w:pPr>
          </w:p>
        </w:tc>
      </w:tr>
      <w:tr w:rsidR="00536559" w:rsidRPr="00536559" w14:paraId="3A8C7FE5" w14:textId="77777777" w:rsidTr="00536559">
        <w:trPr>
          <w:trHeight w:val="255"/>
        </w:trPr>
        <w:tc>
          <w:tcPr>
            <w:tcW w:w="990" w:type="dxa"/>
            <w:tcBorders>
              <w:top w:val="nil"/>
              <w:left w:val="nil"/>
              <w:bottom w:val="nil"/>
              <w:right w:val="nil"/>
            </w:tcBorders>
            <w:shd w:val="clear" w:color="auto" w:fill="auto"/>
            <w:noWrap/>
            <w:vAlign w:val="center"/>
            <w:hideMark/>
          </w:tcPr>
          <w:p w14:paraId="328AAAD6" w14:textId="13EAF07B"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2045</w:t>
            </w:r>
          </w:p>
        </w:tc>
        <w:tc>
          <w:tcPr>
            <w:tcW w:w="1117" w:type="dxa"/>
            <w:tcBorders>
              <w:top w:val="nil"/>
              <w:left w:val="nil"/>
              <w:bottom w:val="nil"/>
              <w:right w:val="nil"/>
            </w:tcBorders>
            <w:shd w:val="clear" w:color="auto" w:fill="auto"/>
            <w:noWrap/>
            <w:vAlign w:val="center"/>
            <w:hideMark/>
          </w:tcPr>
          <w:p w14:paraId="0CC89CA7" w14:textId="4C73816F"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27,083 </w:t>
            </w:r>
          </w:p>
        </w:tc>
        <w:tc>
          <w:tcPr>
            <w:tcW w:w="1598" w:type="dxa"/>
            <w:tcBorders>
              <w:top w:val="nil"/>
              <w:left w:val="nil"/>
              <w:bottom w:val="nil"/>
              <w:right w:val="nil"/>
            </w:tcBorders>
            <w:shd w:val="clear" w:color="auto" w:fill="auto"/>
            <w:noWrap/>
            <w:vAlign w:val="center"/>
            <w:hideMark/>
          </w:tcPr>
          <w:p w14:paraId="072E5C08" w14:textId="29B6CAD8"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$6,119 </w:t>
            </w:r>
          </w:p>
        </w:tc>
        <w:tc>
          <w:tcPr>
            <w:tcW w:w="1605" w:type="dxa"/>
            <w:tcBorders>
              <w:top w:val="nil"/>
              <w:left w:val="nil"/>
              <w:bottom w:val="nil"/>
              <w:right w:val="nil"/>
            </w:tcBorders>
            <w:shd w:val="clear" w:color="auto" w:fill="auto"/>
            <w:noWrap/>
            <w:vAlign w:val="center"/>
            <w:hideMark/>
          </w:tcPr>
          <w:p w14:paraId="188D5C93" w14:textId="18859101"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$0.2259 </w:t>
            </w:r>
          </w:p>
        </w:tc>
        <w:tc>
          <w:tcPr>
            <w:tcW w:w="1318" w:type="dxa"/>
            <w:tcBorders>
              <w:top w:val="nil"/>
              <w:left w:val="nil"/>
              <w:bottom w:val="nil"/>
              <w:right w:val="nil"/>
            </w:tcBorders>
            <w:shd w:val="clear" w:color="auto" w:fill="auto"/>
            <w:noWrap/>
            <w:vAlign w:val="center"/>
          </w:tcPr>
          <w:p w14:paraId="022539B0" w14:textId="165C5E6C" w:rsidR="00536559" w:rsidRPr="00536559" w:rsidRDefault="00536559" w:rsidP="00536559">
            <w:pPr>
              <w:spacing w:line="240" w:lineRule="auto"/>
              <w:jc w:val="right"/>
              <w:rPr>
                <w:rFonts w:ascii="Arial Narrow" w:hAnsi="Arial Narrow" w:cs="Calibri"/>
                <w:szCs w:val="18"/>
              </w:rPr>
            </w:pPr>
          </w:p>
        </w:tc>
        <w:tc>
          <w:tcPr>
            <w:tcW w:w="1217" w:type="dxa"/>
            <w:tcBorders>
              <w:top w:val="nil"/>
              <w:left w:val="nil"/>
              <w:bottom w:val="nil"/>
              <w:right w:val="nil"/>
            </w:tcBorders>
            <w:shd w:val="clear" w:color="auto" w:fill="auto"/>
            <w:noWrap/>
            <w:vAlign w:val="center"/>
          </w:tcPr>
          <w:p w14:paraId="6922D6F2" w14:textId="57A6000A" w:rsidR="00536559" w:rsidRPr="00536559" w:rsidRDefault="00536559" w:rsidP="00536559">
            <w:pPr>
              <w:spacing w:line="240" w:lineRule="auto"/>
              <w:jc w:val="right"/>
              <w:rPr>
                <w:rFonts w:ascii="Arial Narrow" w:hAnsi="Arial Narrow" w:cs="Calibri"/>
                <w:szCs w:val="18"/>
              </w:rPr>
            </w:pPr>
          </w:p>
        </w:tc>
        <w:tc>
          <w:tcPr>
            <w:tcW w:w="1601" w:type="dxa"/>
            <w:tcBorders>
              <w:top w:val="nil"/>
              <w:left w:val="nil"/>
              <w:bottom w:val="nil"/>
              <w:right w:val="nil"/>
            </w:tcBorders>
            <w:shd w:val="clear" w:color="auto" w:fill="auto"/>
            <w:noWrap/>
            <w:vAlign w:val="center"/>
          </w:tcPr>
          <w:p w14:paraId="789D0317" w14:textId="5A0A492C" w:rsidR="00536559" w:rsidRPr="00536559" w:rsidRDefault="00536559" w:rsidP="00536559">
            <w:pPr>
              <w:spacing w:line="240" w:lineRule="auto"/>
              <w:jc w:val="right"/>
              <w:rPr>
                <w:rFonts w:ascii="Arial Narrow" w:hAnsi="Arial Narrow" w:cs="Calibri"/>
                <w:szCs w:val="18"/>
              </w:rPr>
            </w:pPr>
          </w:p>
        </w:tc>
      </w:tr>
      <w:tr w:rsidR="00536559" w:rsidRPr="00536559" w14:paraId="4E2554CD" w14:textId="77777777" w:rsidTr="00536559">
        <w:trPr>
          <w:trHeight w:val="255"/>
        </w:trPr>
        <w:tc>
          <w:tcPr>
            <w:tcW w:w="990" w:type="dxa"/>
            <w:tcBorders>
              <w:top w:val="nil"/>
              <w:left w:val="nil"/>
              <w:bottom w:val="nil"/>
              <w:right w:val="nil"/>
            </w:tcBorders>
            <w:shd w:val="clear" w:color="auto" w:fill="auto"/>
            <w:noWrap/>
            <w:vAlign w:val="center"/>
            <w:hideMark/>
          </w:tcPr>
          <w:p w14:paraId="3B133574" w14:textId="3535C6C4"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2046</w:t>
            </w:r>
          </w:p>
        </w:tc>
        <w:tc>
          <w:tcPr>
            <w:tcW w:w="1117" w:type="dxa"/>
            <w:tcBorders>
              <w:top w:val="nil"/>
              <w:left w:val="nil"/>
              <w:bottom w:val="nil"/>
              <w:right w:val="nil"/>
            </w:tcBorders>
            <w:shd w:val="clear" w:color="auto" w:fill="auto"/>
            <w:noWrap/>
            <w:vAlign w:val="center"/>
            <w:hideMark/>
          </w:tcPr>
          <w:p w14:paraId="6AF684FF" w14:textId="6294211E"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27,083 </w:t>
            </w:r>
          </w:p>
        </w:tc>
        <w:tc>
          <w:tcPr>
            <w:tcW w:w="1598" w:type="dxa"/>
            <w:tcBorders>
              <w:top w:val="nil"/>
              <w:left w:val="nil"/>
              <w:bottom w:val="nil"/>
              <w:right w:val="nil"/>
            </w:tcBorders>
            <w:shd w:val="clear" w:color="auto" w:fill="auto"/>
            <w:noWrap/>
            <w:vAlign w:val="center"/>
            <w:hideMark/>
          </w:tcPr>
          <w:p w14:paraId="0E590D05" w14:textId="678023A8"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$6,119 </w:t>
            </w:r>
          </w:p>
        </w:tc>
        <w:tc>
          <w:tcPr>
            <w:tcW w:w="1605" w:type="dxa"/>
            <w:tcBorders>
              <w:top w:val="nil"/>
              <w:left w:val="nil"/>
              <w:bottom w:val="nil"/>
              <w:right w:val="nil"/>
            </w:tcBorders>
            <w:shd w:val="clear" w:color="auto" w:fill="auto"/>
            <w:noWrap/>
            <w:vAlign w:val="center"/>
            <w:hideMark/>
          </w:tcPr>
          <w:p w14:paraId="09553F54" w14:textId="1B571784"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$0.2259 </w:t>
            </w:r>
          </w:p>
        </w:tc>
        <w:tc>
          <w:tcPr>
            <w:tcW w:w="1318" w:type="dxa"/>
            <w:tcBorders>
              <w:top w:val="nil"/>
              <w:left w:val="nil"/>
              <w:bottom w:val="nil"/>
              <w:right w:val="nil"/>
            </w:tcBorders>
            <w:shd w:val="clear" w:color="auto" w:fill="auto"/>
            <w:noWrap/>
            <w:vAlign w:val="center"/>
          </w:tcPr>
          <w:p w14:paraId="266B2A12" w14:textId="3049306C" w:rsidR="00536559" w:rsidRPr="00536559" w:rsidRDefault="00536559" w:rsidP="00536559">
            <w:pPr>
              <w:spacing w:line="240" w:lineRule="auto"/>
              <w:jc w:val="right"/>
              <w:rPr>
                <w:rFonts w:ascii="Arial Narrow" w:hAnsi="Arial Narrow" w:cs="Calibri"/>
                <w:szCs w:val="18"/>
              </w:rPr>
            </w:pPr>
          </w:p>
        </w:tc>
        <w:tc>
          <w:tcPr>
            <w:tcW w:w="1217" w:type="dxa"/>
            <w:tcBorders>
              <w:top w:val="nil"/>
              <w:left w:val="nil"/>
              <w:bottom w:val="nil"/>
              <w:right w:val="nil"/>
            </w:tcBorders>
            <w:shd w:val="clear" w:color="auto" w:fill="auto"/>
            <w:noWrap/>
            <w:vAlign w:val="center"/>
          </w:tcPr>
          <w:p w14:paraId="7839C2FC" w14:textId="1ED36EAA" w:rsidR="00536559" w:rsidRPr="00536559" w:rsidRDefault="00536559" w:rsidP="00536559">
            <w:pPr>
              <w:spacing w:line="240" w:lineRule="auto"/>
              <w:jc w:val="right"/>
              <w:rPr>
                <w:rFonts w:ascii="Arial Narrow" w:hAnsi="Arial Narrow" w:cs="Calibri"/>
                <w:szCs w:val="18"/>
              </w:rPr>
            </w:pPr>
          </w:p>
        </w:tc>
        <w:tc>
          <w:tcPr>
            <w:tcW w:w="1601" w:type="dxa"/>
            <w:tcBorders>
              <w:top w:val="nil"/>
              <w:left w:val="nil"/>
              <w:bottom w:val="nil"/>
              <w:right w:val="nil"/>
            </w:tcBorders>
            <w:shd w:val="clear" w:color="auto" w:fill="auto"/>
            <w:noWrap/>
            <w:vAlign w:val="center"/>
          </w:tcPr>
          <w:p w14:paraId="5AFA4491" w14:textId="709F0017" w:rsidR="00536559" w:rsidRPr="00536559" w:rsidRDefault="00536559" w:rsidP="00536559">
            <w:pPr>
              <w:spacing w:line="240" w:lineRule="auto"/>
              <w:jc w:val="right"/>
              <w:rPr>
                <w:rFonts w:ascii="Arial Narrow" w:hAnsi="Arial Narrow" w:cs="Calibri"/>
                <w:szCs w:val="18"/>
              </w:rPr>
            </w:pPr>
          </w:p>
        </w:tc>
      </w:tr>
      <w:tr w:rsidR="00536559" w:rsidRPr="00536559" w14:paraId="5613F648" w14:textId="77777777" w:rsidTr="00536559">
        <w:trPr>
          <w:trHeight w:val="255"/>
        </w:trPr>
        <w:tc>
          <w:tcPr>
            <w:tcW w:w="990" w:type="dxa"/>
            <w:tcBorders>
              <w:top w:val="nil"/>
              <w:left w:val="nil"/>
              <w:bottom w:val="nil"/>
              <w:right w:val="nil"/>
            </w:tcBorders>
            <w:shd w:val="clear" w:color="auto" w:fill="auto"/>
            <w:noWrap/>
            <w:vAlign w:val="center"/>
            <w:hideMark/>
          </w:tcPr>
          <w:p w14:paraId="09332C6B" w14:textId="048E55E5"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2047</w:t>
            </w:r>
          </w:p>
        </w:tc>
        <w:tc>
          <w:tcPr>
            <w:tcW w:w="1117" w:type="dxa"/>
            <w:tcBorders>
              <w:top w:val="nil"/>
              <w:left w:val="nil"/>
              <w:bottom w:val="single" w:sz="4" w:space="0" w:color="auto"/>
              <w:right w:val="nil"/>
            </w:tcBorders>
            <w:shd w:val="clear" w:color="auto" w:fill="auto"/>
            <w:noWrap/>
            <w:vAlign w:val="center"/>
            <w:hideMark/>
          </w:tcPr>
          <w:p w14:paraId="0B3BC696" w14:textId="655383C7"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27,083 </w:t>
            </w:r>
          </w:p>
        </w:tc>
        <w:tc>
          <w:tcPr>
            <w:tcW w:w="1598" w:type="dxa"/>
            <w:tcBorders>
              <w:top w:val="nil"/>
              <w:left w:val="nil"/>
              <w:bottom w:val="nil"/>
              <w:right w:val="nil"/>
            </w:tcBorders>
            <w:shd w:val="clear" w:color="auto" w:fill="auto"/>
            <w:noWrap/>
            <w:vAlign w:val="center"/>
            <w:hideMark/>
          </w:tcPr>
          <w:p w14:paraId="0F3E276F" w14:textId="38340158"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$6,119 </w:t>
            </w:r>
          </w:p>
        </w:tc>
        <w:tc>
          <w:tcPr>
            <w:tcW w:w="1605" w:type="dxa"/>
            <w:tcBorders>
              <w:top w:val="nil"/>
              <w:left w:val="nil"/>
              <w:bottom w:val="nil"/>
              <w:right w:val="nil"/>
            </w:tcBorders>
            <w:shd w:val="clear" w:color="auto" w:fill="auto"/>
            <w:noWrap/>
            <w:vAlign w:val="center"/>
            <w:hideMark/>
          </w:tcPr>
          <w:p w14:paraId="5E7B96FA" w14:textId="14BFADED" w:rsidR="00536559" w:rsidRPr="00536559" w:rsidRDefault="00536559" w:rsidP="00536559">
            <w:pPr>
              <w:spacing w:line="240" w:lineRule="auto"/>
              <w:jc w:val="right"/>
              <w:rPr>
                <w:rFonts w:ascii="Arial Narrow" w:hAnsi="Arial Narrow" w:cs="Calibri"/>
                <w:szCs w:val="18"/>
              </w:rPr>
            </w:pPr>
            <w:r w:rsidRPr="00536559">
              <w:rPr>
                <w:rFonts w:ascii="Arial Narrow" w:hAnsi="Arial Narrow"/>
                <w:szCs w:val="18"/>
              </w:rPr>
              <w:t xml:space="preserve"> $0.2259 </w:t>
            </w:r>
          </w:p>
        </w:tc>
        <w:tc>
          <w:tcPr>
            <w:tcW w:w="1318" w:type="dxa"/>
            <w:tcBorders>
              <w:top w:val="nil"/>
              <w:left w:val="nil"/>
              <w:bottom w:val="nil"/>
              <w:right w:val="nil"/>
            </w:tcBorders>
            <w:shd w:val="clear" w:color="auto" w:fill="auto"/>
            <w:noWrap/>
            <w:vAlign w:val="center"/>
          </w:tcPr>
          <w:p w14:paraId="465BE3DD" w14:textId="0A0CEF77" w:rsidR="00536559" w:rsidRPr="00536559" w:rsidRDefault="00536559" w:rsidP="00536559">
            <w:pPr>
              <w:spacing w:line="240" w:lineRule="auto"/>
              <w:jc w:val="right"/>
              <w:rPr>
                <w:rFonts w:ascii="Arial Narrow" w:hAnsi="Arial Narrow" w:cs="Calibri"/>
                <w:szCs w:val="18"/>
              </w:rPr>
            </w:pPr>
          </w:p>
        </w:tc>
        <w:tc>
          <w:tcPr>
            <w:tcW w:w="1217" w:type="dxa"/>
            <w:tcBorders>
              <w:top w:val="nil"/>
              <w:left w:val="nil"/>
              <w:bottom w:val="nil"/>
              <w:right w:val="nil"/>
            </w:tcBorders>
            <w:shd w:val="clear" w:color="auto" w:fill="auto"/>
            <w:noWrap/>
            <w:vAlign w:val="center"/>
          </w:tcPr>
          <w:p w14:paraId="4E417677" w14:textId="04714FBE" w:rsidR="00536559" w:rsidRPr="00536559" w:rsidRDefault="00536559" w:rsidP="00536559">
            <w:pPr>
              <w:spacing w:line="240" w:lineRule="auto"/>
              <w:jc w:val="right"/>
              <w:rPr>
                <w:rFonts w:ascii="Arial Narrow" w:hAnsi="Arial Narrow" w:cs="Calibri"/>
                <w:szCs w:val="18"/>
              </w:rPr>
            </w:pPr>
          </w:p>
        </w:tc>
        <w:tc>
          <w:tcPr>
            <w:tcW w:w="1601" w:type="dxa"/>
            <w:tcBorders>
              <w:top w:val="nil"/>
              <w:left w:val="nil"/>
              <w:bottom w:val="nil"/>
              <w:right w:val="nil"/>
            </w:tcBorders>
            <w:shd w:val="clear" w:color="auto" w:fill="auto"/>
            <w:noWrap/>
            <w:vAlign w:val="center"/>
          </w:tcPr>
          <w:p w14:paraId="406AA3A0" w14:textId="02D36FB6" w:rsidR="00536559" w:rsidRPr="00536559" w:rsidRDefault="00536559" w:rsidP="00536559">
            <w:pPr>
              <w:spacing w:line="240" w:lineRule="auto"/>
              <w:jc w:val="right"/>
              <w:rPr>
                <w:rFonts w:ascii="Arial Narrow" w:hAnsi="Arial Narrow" w:cs="Calibri"/>
                <w:szCs w:val="18"/>
              </w:rPr>
            </w:pPr>
          </w:p>
        </w:tc>
      </w:tr>
      <w:tr w:rsidR="00536559" w:rsidRPr="00536559" w14:paraId="6E9D5190" w14:textId="77777777" w:rsidTr="00F577DE">
        <w:trPr>
          <w:trHeight w:val="255"/>
        </w:trPr>
        <w:tc>
          <w:tcPr>
            <w:tcW w:w="990" w:type="dxa"/>
            <w:tcBorders>
              <w:top w:val="single" w:sz="4" w:space="0" w:color="auto"/>
              <w:left w:val="nil"/>
              <w:bottom w:val="single" w:sz="4" w:space="0" w:color="auto"/>
              <w:right w:val="nil"/>
            </w:tcBorders>
            <w:shd w:val="clear" w:color="auto" w:fill="auto"/>
            <w:noWrap/>
            <w:vAlign w:val="center"/>
            <w:hideMark/>
          </w:tcPr>
          <w:p w14:paraId="56DC1B18" w14:textId="77777777" w:rsidR="00536559" w:rsidRPr="00536559" w:rsidRDefault="00536559">
            <w:pPr>
              <w:spacing w:line="240" w:lineRule="auto"/>
              <w:jc w:val="right"/>
              <w:rPr>
                <w:rFonts w:ascii="Arial Narrow" w:hAnsi="Arial Narrow" w:cs="Calibri"/>
                <w:b/>
                <w:bCs/>
                <w:szCs w:val="18"/>
              </w:rPr>
            </w:pPr>
            <w:r w:rsidRPr="00536559">
              <w:rPr>
                <w:rFonts w:ascii="Arial Narrow" w:hAnsi="Arial Narrow" w:cs="Calibri"/>
                <w:b/>
                <w:bCs/>
                <w:szCs w:val="18"/>
              </w:rPr>
              <w:t>Lifetime</w:t>
            </w:r>
          </w:p>
        </w:tc>
        <w:tc>
          <w:tcPr>
            <w:tcW w:w="1117" w:type="dxa"/>
            <w:tcBorders>
              <w:top w:val="nil"/>
              <w:left w:val="nil"/>
              <w:bottom w:val="single" w:sz="4" w:space="0" w:color="auto"/>
              <w:right w:val="nil"/>
            </w:tcBorders>
            <w:shd w:val="clear" w:color="auto" w:fill="auto"/>
            <w:noWrap/>
            <w:vAlign w:val="center"/>
            <w:hideMark/>
          </w:tcPr>
          <w:p w14:paraId="550859FC" w14:textId="1BEA8199" w:rsidR="00536559" w:rsidRPr="00536559" w:rsidRDefault="00536559">
            <w:pPr>
              <w:spacing w:line="240" w:lineRule="auto"/>
              <w:jc w:val="right"/>
              <w:rPr>
                <w:rFonts w:ascii="Arial Narrow" w:hAnsi="Arial Narrow" w:cs="Calibri"/>
                <w:b/>
                <w:bCs/>
                <w:szCs w:val="18"/>
              </w:rPr>
            </w:pPr>
            <w:r w:rsidRPr="00536559">
              <w:rPr>
                <w:rFonts w:ascii="Arial Narrow" w:hAnsi="Arial Narrow" w:cs="Calibri"/>
                <w:b/>
                <w:bCs/>
                <w:szCs w:val="18"/>
              </w:rPr>
              <w:t xml:space="preserve"> 58,079,599 </w:t>
            </w:r>
          </w:p>
        </w:tc>
        <w:tc>
          <w:tcPr>
            <w:tcW w:w="1598" w:type="dxa"/>
            <w:tcBorders>
              <w:top w:val="single" w:sz="4" w:space="0" w:color="auto"/>
              <w:left w:val="nil"/>
              <w:bottom w:val="single" w:sz="4" w:space="0" w:color="auto"/>
              <w:right w:val="nil"/>
            </w:tcBorders>
            <w:shd w:val="clear" w:color="auto" w:fill="auto"/>
            <w:noWrap/>
            <w:vAlign w:val="center"/>
            <w:hideMark/>
          </w:tcPr>
          <w:p w14:paraId="3C70F276" w14:textId="42554CD9" w:rsidR="00536559" w:rsidRPr="00536559" w:rsidRDefault="00536559">
            <w:pPr>
              <w:spacing w:line="240" w:lineRule="auto"/>
              <w:jc w:val="right"/>
              <w:rPr>
                <w:rFonts w:ascii="Arial Narrow" w:hAnsi="Arial Narrow" w:cs="Calibri"/>
                <w:b/>
                <w:bCs/>
                <w:szCs w:val="18"/>
              </w:rPr>
            </w:pPr>
            <w:r w:rsidRPr="00536559">
              <w:rPr>
                <w:rFonts w:ascii="Arial Narrow" w:hAnsi="Arial Narrow" w:cs="Calibri"/>
                <w:b/>
                <w:bCs/>
                <w:szCs w:val="18"/>
              </w:rPr>
              <w:t xml:space="preserve"> $     11,985,629 </w:t>
            </w:r>
          </w:p>
        </w:tc>
        <w:tc>
          <w:tcPr>
            <w:tcW w:w="1605" w:type="dxa"/>
            <w:tcBorders>
              <w:top w:val="single" w:sz="4" w:space="0" w:color="auto"/>
              <w:left w:val="nil"/>
              <w:bottom w:val="single" w:sz="4" w:space="0" w:color="auto"/>
              <w:right w:val="nil"/>
            </w:tcBorders>
            <w:shd w:val="clear" w:color="auto" w:fill="auto"/>
            <w:noWrap/>
            <w:vAlign w:val="center"/>
            <w:hideMark/>
          </w:tcPr>
          <w:p w14:paraId="54127182" w14:textId="792324B9" w:rsidR="00536559" w:rsidRPr="00536559" w:rsidRDefault="00536559">
            <w:pPr>
              <w:spacing w:line="240" w:lineRule="auto"/>
              <w:jc w:val="right"/>
              <w:rPr>
                <w:rFonts w:ascii="Arial Narrow" w:hAnsi="Arial Narrow" w:cs="Calibri"/>
                <w:b/>
                <w:bCs/>
                <w:szCs w:val="18"/>
              </w:rPr>
            </w:pPr>
            <w:r w:rsidRPr="00536559">
              <w:rPr>
                <w:rFonts w:ascii="Arial Narrow" w:hAnsi="Arial Narrow" w:cs="Calibri"/>
                <w:b/>
                <w:bCs/>
                <w:szCs w:val="18"/>
              </w:rPr>
              <w:t>0.2064</w:t>
            </w:r>
          </w:p>
        </w:tc>
        <w:tc>
          <w:tcPr>
            <w:tcW w:w="1318" w:type="dxa"/>
            <w:tcBorders>
              <w:top w:val="single" w:sz="4" w:space="0" w:color="auto"/>
              <w:left w:val="nil"/>
              <w:bottom w:val="single" w:sz="4" w:space="0" w:color="auto"/>
              <w:right w:val="nil"/>
            </w:tcBorders>
            <w:shd w:val="clear" w:color="auto" w:fill="auto"/>
            <w:noWrap/>
            <w:vAlign w:val="center"/>
            <w:hideMark/>
          </w:tcPr>
          <w:p w14:paraId="62995D7E" w14:textId="684B7488" w:rsidR="00536559" w:rsidRPr="00536559" w:rsidRDefault="00536559">
            <w:pPr>
              <w:spacing w:line="240" w:lineRule="auto"/>
              <w:jc w:val="right"/>
              <w:rPr>
                <w:rFonts w:ascii="Arial Narrow" w:hAnsi="Arial Narrow" w:cs="Calibri"/>
                <w:b/>
                <w:bCs/>
                <w:szCs w:val="18"/>
              </w:rPr>
            </w:pPr>
            <w:r w:rsidRPr="00536559">
              <w:rPr>
                <w:rFonts w:ascii="Arial Narrow" w:hAnsi="Arial Narrow"/>
                <w:b/>
                <w:bCs/>
                <w:szCs w:val="18"/>
              </w:rPr>
              <w:t xml:space="preserve"> 32,249,418 </w:t>
            </w:r>
          </w:p>
        </w:tc>
        <w:tc>
          <w:tcPr>
            <w:tcW w:w="1217" w:type="dxa"/>
            <w:tcBorders>
              <w:top w:val="single" w:sz="4" w:space="0" w:color="auto"/>
              <w:left w:val="nil"/>
              <w:bottom w:val="single" w:sz="4" w:space="0" w:color="auto"/>
              <w:right w:val="nil"/>
            </w:tcBorders>
            <w:shd w:val="clear" w:color="auto" w:fill="auto"/>
            <w:noWrap/>
            <w:vAlign w:val="center"/>
            <w:hideMark/>
          </w:tcPr>
          <w:p w14:paraId="30A49FBD" w14:textId="0AD7EE06" w:rsidR="00536559" w:rsidRPr="00536559" w:rsidRDefault="00536559">
            <w:pPr>
              <w:spacing w:line="240" w:lineRule="auto"/>
              <w:jc w:val="right"/>
              <w:rPr>
                <w:rFonts w:ascii="Arial Narrow" w:hAnsi="Arial Narrow" w:cs="Calibri"/>
                <w:b/>
                <w:bCs/>
                <w:szCs w:val="18"/>
              </w:rPr>
            </w:pPr>
            <w:r w:rsidRPr="00536559">
              <w:rPr>
                <w:rFonts w:ascii="Arial Narrow" w:hAnsi="Arial Narrow"/>
                <w:b/>
                <w:bCs/>
                <w:szCs w:val="18"/>
              </w:rPr>
              <w:t xml:space="preserve"> $6,784,307 </w:t>
            </w:r>
          </w:p>
        </w:tc>
        <w:tc>
          <w:tcPr>
            <w:tcW w:w="1601" w:type="dxa"/>
            <w:tcBorders>
              <w:top w:val="single" w:sz="4" w:space="0" w:color="auto"/>
              <w:left w:val="nil"/>
              <w:bottom w:val="single" w:sz="4" w:space="0" w:color="auto"/>
              <w:right w:val="nil"/>
            </w:tcBorders>
            <w:shd w:val="clear" w:color="auto" w:fill="auto"/>
            <w:noWrap/>
            <w:vAlign w:val="center"/>
            <w:hideMark/>
          </w:tcPr>
          <w:p w14:paraId="3690DDE4" w14:textId="769054BB" w:rsidR="00536559" w:rsidRPr="00536559" w:rsidRDefault="00536559">
            <w:pPr>
              <w:spacing w:line="240" w:lineRule="auto"/>
              <w:jc w:val="right"/>
              <w:rPr>
                <w:rFonts w:ascii="Arial Narrow" w:hAnsi="Arial Narrow" w:cs="Calibri"/>
                <w:b/>
                <w:bCs/>
                <w:szCs w:val="18"/>
              </w:rPr>
            </w:pPr>
            <w:r w:rsidRPr="00536559">
              <w:rPr>
                <w:rFonts w:ascii="Arial Narrow" w:hAnsi="Arial Narrow"/>
                <w:b/>
                <w:bCs/>
                <w:szCs w:val="18"/>
              </w:rPr>
              <w:t xml:space="preserve"> $0.2104 </w:t>
            </w:r>
          </w:p>
        </w:tc>
      </w:tr>
    </w:tbl>
    <w:p w14:paraId="3B8F5D6D" w14:textId="619D119D" w:rsidR="00DC73A9" w:rsidRDefault="006F3AF7" w:rsidP="003D65A0">
      <w:pPr>
        <w:rPr>
          <w:rFonts w:eastAsiaTheme="minorHAnsi"/>
          <w:sz w:val="20"/>
          <w:szCs w:val="20"/>
        </w:rPr>
      </w:pPr>
      <w:r w:rsidRPr="003250F9">
        <w:rPr>
          <w:i/>
          <w:iCs/>
          <w:sz w:val="16"/>
          <w:szCs w:val="20"/>
        </w:rPr>
        <w:t>Source: Guidehouse CY201</w:t>
      </w:r>
      <w:r>
        <w:rPr>
          <w:i/>
          <w:iCs/>
          <w:sz w:val="16"/>
          <w:szCs w:val="20"/>
        </w:rPr>
        <w:t>9</w:t>
      </w:r>
      <w:r w:rsidRPr="003250F9">
        <w:rPr>
          <w:i/>
          <w:iCs/>
          <w:sz w:val="16"/>
          <w:szCs w:val="20"/>
        </w:rPr>
        <w:t xml:space="preserve"> </w:t>
      </w:r>
      <w:r w:rsidR="00363BBB">
        <w:rPr>
          <w:i/>
          <w:iCs/>
          <w:sz w:val="16"/>
          <w:szCs w:val="20"/>
        </w:rPr>
        <w:t>Peoples</w:t>
      </w:r>
      <w:r w:rsidRPr="003250F9">
        <w:rPr>
          <w:i/>
          <w:iCs/>
          <w:sz w:val="16"/>
          <w:szCs w:val="20"/>
        </w:rPr>
        <w:t xml:space="preserve"> Gas Program Savings </w:t>
      </w:r>
      <w:r>
        <w:rPr>
          <w:i/>
          <w:iCs/>
          <w:sz w:val="16"/>
          <w:szCs w:val="20"/>
        </w:rPr>
        <w:t xml:space="preserve">Analysis </w:t>
      </w:r>
      <w:r w:rsidRPr="003250F9">
        <w:rPr>
          <w:i/>
          <w:iCs/>
          <w:sz w:val="16"/>
          <w:szCs w:val="20"/>
        </w:rPr>
        <w:t>data and COBRA model</w:t>
      </w:r>
      <w:r>
        <w:rPr>
          <w:i/>
          <w:iCs/>
          <w:sz w:val="16"/>
          <w:szCs w:val="20"/>
        </w:rPr>
        <w:t>.</w:t>
      </w:r>
    </w:p>
    <w:p w14:paraId="0190499B" w14:textId="1764623A" w:rsidR="00DC73A9" w:rsidRDefault="00DC73A9" w:rsidP="003D65A0">
      <w:pPr>
        <w:rPr>
          <w:rFonts w:eastAsiaTheme="minorHAnsi"/>
          <w:sz w:val="20"/>
          <w:szCs w:val="20"/>
        </w:rPr>
      </w:pPr>
    </w:p>
    <w:p w14:paraId="05D87B94" w14:textId="4F327515" w:rsidR="00DC73A9" w:rsidRPr="00304BF4" w:rsidRDefault="00DC73A9" w:rsidP="00D562CB">
      <w:pPr>
        <w:pStyle w:val="Caption"/>
        <w:keepNext/>
        <w:pageBreakBefore/>
        <w:spacing w:after="120"/>
        <w:jc w:val="center"/>
        <w:rPr>
          <w:rFonts w:eastAsiaTheme="minorHAnsi" w:cstheme="minorBidi"/>
          <w:b/>
          <w:bCs/>
          <w:color w:val="93D500" w:themeColor="accent1"/>
          <w:sz w:val="20"/>
          <w:szCs w:val="20"/>
        </w:rPr>
      </w:pPr>
      <w:r w:rsidRPr="00156E3E">
        <w:rPr>
          <w:rFonts w:eastAsiaTheme="minorHAnsi" w:cstheme="minorBidi"/>
          <w:b/>
          <w:bCs/>
          <w:i w:val="0"/>
          <w:iCs w:val="0"/>
          <w:color w:val="93D500" w:themeColor="accent1"/>
          <w:sz w:val="20"/>
          <w:szCs w:val="20"/>
        </w:rPr>
        <w:lastRenderedPageBreak/>
        <w:t xml:space="preserve">Table </w:t>
      </w:r>
      <w:r w:rsidRPr="00156E3E">
        <w:rPr>
          <w:rFonts w:eastAsiaTheme="minorHAnsi" w:cstheme="minorBidi"/>
          <w:b/>
          <w:bCs/>
          <w:i w:val="0"/>
          <w:iCs w:val="0"/>
          <w:color w:val="93D500" w:themeColor="accent1"/>
          <w:sz w:val="20"/>
          <w:szCs w:val="20"/>
        </w:rPr>
        <w:fldChar w:fldCharType="begin"/>
      </w:r>
      <w:r w:rsidRPr="00156E3E">
        <w:rPr>
          <w:rFonts w:eastAsiaTheme="minorHAnsi" w:cstheme="minorBidi"/>
          <w:b/>
          <w:bCs/>
          <w:i w:val="0"/>
          <w:iCs w:val="0"/>
          <w:color w:val="93D500" w:themeColor="accent1"/>
          <w:sz w:val="20"/>
          <w:szCs w:val="20"/>
        </w:rPr>
        <w:instrText xml:space="preserve"> SEQ Table \* ARABIC </w:instrText>
      </w:r>
      <w:r w:rsidRPr="00156E3E">
        <w:rPr>
          <w:rFonts w:eastAsiaTheme="minorHAnsi" w:cstheme="minorBidi"/>
          <w:b/>
          <w:bCs/>
          <w:i w:val="0"/>
          <w:iCs w:val="0"/>
          <w:color w:val="93D500" w:themeColor="accent1"/>
          <w:sz w:val="20"/>
          <w:szCs w:val="20"/>
        </w:rPr>
        <w:fldChar w:fldCharType="separate"/>
      </w:r>
      <w:r w:rsidR="00DD5440">
        <w:rPr>
          <w:rFonts w:eastAsiaTheme="minorHAnsi" w:cstheme="minorBidi"/>
          <w:b/>
          <w:bCs/>
          <w:i w:val="0"/>
          <w:iCs w:val="0"/>
          <w:noProof/>
          <w:color w:val="93D500" w:themeColor="accent1"/>
          <w:sz w:val="20"/>
          <w:szCs w:val="20"/>
        </w:rPr>
        <w:t>13</w:t>
      </w:r>
      <w:r w:rsidRPr="00156E3E">
        <w:rPr>
          <w:rFonts w:eastAsiaTheme="minorHAnsi" w:cstheme="minorBidi"/>
          <w:b/>
          <w:bCs/>
          <w:i w:val="0"/>
          <w:iCs w:val="0"/>
          <w:color w:val="93D500" w:themeColor="accent1"/>
          <w:sz w:val="20"/>
          <w:szCs w:val="20"/>
        </w:rPr>
        <w:fldChar w:fldCharType="end"/>
      </w:r>
      <w:r w:rsidRPr="00156E3E">
        <w:rPr>
          <w:rFonts w:eastAsiaTheme="minorHAnsi" w:cstheme="minorBidi"/>
          <w:b/>
          <w:bCs/>
          <w:i w:val="0"/>
          <w:iCs w:val="0"/>
          <w:color w:val="93D500" w:themeColor="accent1"/>
          <w:sz w:val="20"/>
          <w:szCs w:val="20"/>
        </w:rPr>
        <w:t>.</w:t>
      </w:r>
      <w:r w:rsidRPr="00DD5440">
        <w:rPr>
          <w:rFonts w:eastAsiaTheme="minorHAnsi" w:cstheme="minorBidi"/>
          <w:b/>
          <w:bCs/>
          <w:i w:val="0"/>
          <w:iCs w:val="0"/>
          <w:color w:val="93D500" w:themeColor="accent1"/>
          <w:sz w:val="20"/>
          <w:szCs w:val="20"/>
        </w:rPr>
        <w:t xml:space="preserve">Sector </w:t>
      </w:r>
      <w:r w:rsidRPr="00304BF4">
        <w:rPr>
          <w:rFonts w:eastAsiaTheme="minorHAnsi" w:cstheme="minorBidi"/>
          <w:b/>
          <w:bCs/>
          <w:i w:val="0"/>
          <w:iCs w:val="0"/>
          <w:color w:val="93D500" w:themeColor="accent1"/>
          <w:sz w:val="20"/>
          <w:szCs w:val="20"/>
        </w:rPr>
        <w:t>Level Dollars per Therms Savings – CY2024</w:t>
      </w:r>
      <w:r w:rsidR="00E01A0C">
        <w:rPr>
          <w:rFonts w:eastAsiaTheme="minorHAnsi" w:cstheme="minorBidi"/>
          <w:b/>
          <w:bCs/>
          <w:i w:val="0"/>
          <w:iCs w:val="0"/>
          <w:color w:val="93D500" w:themeColor="accent1"/>
          <w:sz w:val="20"/>
          <w:szCs w:val="20"/>
        </w:rPr>
        <w:t xml:space="preserve"> (Real Dollars)</w:t>
      </w:r>
    </w:p>
    <w:tbl>
      <w:tblPr>
        <w:tblW w:w="9360" w:type="dxa"/>
        <w:tblLook w:val="04A0" w:firstRow="1" w:lastRow="0" w:firstColumn="1" w:lastColumn="0" w:noHBand="0" w:noVBand="1"/>
      </w:tblPr>
      <w:tblGrid>
        <w:gridCol w:w="990"/>
        <w:gridCol w:w="1117"/>
        <w:gridCol w:w="1598"/>
        <w:gridCol w:w="1605"/>
        <w:gridCol w:w="1232"/>
        <w:gridCol w:w="1217"/>
        <w:gridCol w:w="1601"/>
      </w:tblGrid>
      <w:tr w:rsidR="00DC73A9" w:rsidRPr="00265568" w14:paraId="41CD58F5" w14:textId="77777777" w:rsidTr="00265568">
        <w:trPr>
          <w:trHeight w:val="825"/>
          <w:tblHeader/>
        </w:trPr>
        <w:tc>
          <w:tcPr>
            <w:tcW w:w="990" w:type="dxa"/>
            <w:tcBorders>
              <w:top w:val="nil"/>
              <w:left w:val="nil"/>
              <w:bottom w:val="single" w:sz="12" w:space="0" w:color="93D500"/>
              <w:right w:val="nil"/>
            </w:tcBorders>
            <w:shd w:val="clear" w:color="000000" w:fill="53575A"/>
            <w:vAlign w:val="center"/>
            <w:hideMark/>
          </w:tcPr>
          <w:p w14:paraId="3A9EB35B" w14:textId="77777777" w:rsidR="00DC73A9" w:rsidRPr="00265568" w:rsidRDefault="00DC73A9" w:rsidP="00265568">
            <w:pPr>
              <w:spacing w:line="240" w:lineRule="auto"/>
              <w:jc w:val="right"/>
              <w:rPr>
                <w:rFonts w:ascii="Arial Narrow" w:hAnsi="Arial Narrow" w:cs="Calibri"/>
                <w:b/>
                <w:bCs/>
                <w:color w:val="FFFFFF"/>
                <w:szCs w:val="18"/>
              </w:rPr>
            </w:pPr>
            <w:r w:rsidRPr="00265568">
              <w:rPr>
                <w:rFonts w:ascii="Arial Narrow" w:hAnsi="Arial Narrow" w:cs="Calibri"/>
                <w:b/>
                <w:bCs/>
                <w:color w:val="FFFFFF"/>
                <w:szCs w:val="18"/>
              </w:rPr>
              <w:t>Year</w:t>
            </w:r>
          </w:p>
        </w:tc>
        <w:tc>
          <w:tcPr>
            <w:tcW w:w="1117" w:type="dxa"/>
            <w:tcBorders>
              <w:top w:val="nil"/>
              <w:left w:val="nil"/>
              <w:bottom w:val="single" w:sz="12" w:space="0" w:color="93D500"/>
              <w:right w:val="nil"/>
            </w:tcBorders>
            <w:shd w:val="clear" w:color="000000" w:fill="53575A"/>
            <w:vAlign w:val="center"/>
            <w:hideMark/>
          </w:tcPr>
          <w:p w14:paraId="755380DC" w14:textId="77777777" w:rsidR="00DC73A9" w:rsidRPr="00265568" w:rsidRDefault="00DC73A9" w:rsidP="00265568">
            <w:pPr>
              <w:spacing w:line="240" w:lineRule="auto"/>
              <w:jc w:val="right"/>
              <w:rPr>
                <w:rFonts w:ascii="Arial Narrow" w:hAnsi="Arial Narrow" w:cs="Calibri"/>
                <w:b/>
                <w:bCs/>
                <w:color w:val="FFFFFF"/>
                <w:szCs w:val="18"/>
              </w:rPr>
            </w:pPr>
            <w:r w:rsidRPr="00265568">
              <w:rPr>
                <w:rFonts w:ascii="Arial Narrow" w:hAnsi="Arial Narrow" w:cs="Calibri"/>
                <w:b/>
                <w:bCs/>
                <w:color w:val="FFFFFF"/>
                <w:szCs w:val="18"/>
              </w:rPr>
              <w:t>Therms Savings (Residential)</w:t>
            </w:r>
          </w:p>
        </w:tc>
        <w:tc>
          <w:tcPr>
            <w:tcW w:w="1598" w:type="dxa"/>
            <w:tcBorders>
              <w:top w:val="nil"/>
              <w:left w:val="nil"/>
              <w:bottom w:val="single" w:sz="12" w:space="0" w:color="93D500"/>
              <w:right w:val="nil"/>
            </w:tcBorders>
            <w:shd w:val="clear" w:color="000000" w:fill="53575A"/>
            <w:vAlign w:val="center"/>
            <w:hideMark/>
          </w:tcPr>
          <w:p w14:paraId="1F8380F8" w14:textId="77777777" w:rsidR="00DC73A9" w:rsidRPr="00265568" w:rsidRDefault="00DC73A9" w:rsidP="00265568">
            <w:pPr>
              <w:spacing w:line="240" w:lineRule="auto"/>
              <w:jc w:val="right"/>
              <w:rPr>
                <w:rFonts w:ascii="Arial Narrow" w:hAnsi="Arial Narrow" w:cs="Calibri"/>
                <w:b/>
                <w:bCs/>
                <w:color w:val="FFFFFF"/>
                <w:szCs w:val="18"/>
              </w:rPr>
            </w:pPr>
            <w:r w:rsidRPr="00265568">
              <w:rPr>
                <w:rFonts w:ascii="Arial Narrow" w:hAnsi="Arial Narrow" w:cs="Calibri"/>
                <w:b/>
                <w:bCs/>
                <w:color w:val="FFFFFF"/>
                <w:szCs w:val="18"/>
              </w:rPr>
              <w:t>$ Total Health Benefits (average)</w:t>
            </w:r>
            <w:r w:rsidRPr="00265568">
              <w:rPr>
                <w:rFonts w:ascii="Arial Narrow" w:hAnsi="Arial Narrow" w:cs="Calibri"/>
                <w:szCs w:val="18"/>
              </w:rPr>
              <w:t> </w:t>
            </w:r>
          </w:p>
        </w:tc>
        <w:tc>
          <w:tcPr>
            <w:tcW w:w="1605" w:type="dxa"/>
            <w:tcBorders>
              <w:top w:val="nil"/>
              <w:left w:val="nil"/>
              <w:bottom w:val="single" w:sz="12" w:space="0" w:color="93D500"/>
              <w:right w:val="nil"/>
            </w:tcBorders>
            <w:shd w:val="clear" w:color="000000" w:fill="53575A"/>
            <w:vAlign w:val="center"/>
            <w:hideMark/>
          </w:tcPr>
          <w:p w14:paraId="12F7661D" w14:textId="09D01183" w:rsidR="00DC73A9" w:rsidRPr="00265568" w:rsidRDefault="00DC73A9" w:rsidP="00265568">
            <w:pPr>
              <w:spacing w:line="240" w:lineRule="auto"/>
              <w:jc w:val="right"/>
              <w:rPr>
                <w:rFonts w:ascii="Arial Narrow" w:hAnsi="Arial Narrow" w:cs="Calibri"/>
                <w:b/>
                <w:bCs/>
                <w:color w:val="FFFFFF"/>
                <w:szCs w:val="18"/>
              </w:rPr>
            </w:pPr>
            <w:r w:rsidRPr="00265568">
              <w:rPr>
                <w:rFonts w:ascii="Arial Narrow" w:hAnsi="Arial Narrow" w:cs="Calibri"/>
                <w:b/>
                <w:bCs/>
                <w:color w:val="FFFFFF"/>
                <w:szCs w:val="18"/>
              </w:rPr>
              <w:t xml:space="preserve">$Total Health Benefits per Therm </w:t>
            </w:r>
            <w:r w:rsidR="00151A27" w:rsidRPr="00265568">
              <w:rPr>
                <w:rFonts w:ascii="Arial Narrow" w:hAnsi="Arial Narrow" w:cs="Calibri"/>
                <w:b/>
                <w:bCs/>
                <w:color w:val="FFFFFF"/>
                <w:szCs w:val="18"/>
              </w:rPr>
              <w:t>(average)</w:t>
            </w:r>
          </w:p>
        </w:tc>
        <w:tc>
          <w:tcPr>
            <w:tcW w:w="1232" w:type="dxa"/>
            <w:tcBorders>
              <w:top w:val="nil"/>
              <w:left w:val="nil"/>
              <w:bottom w:val="single" w:sz="12" w:space="0" w:color="93D500"/>
              <w:right w:val="nil"/>
            </w:tcBorders>
            <w:shd w:val="clear" w:color="000000" w:fill="53575A"/>
            <w:vAlign w:val="center"/>
            <w:hideMark/>
          </w:tcPr>
          <w:p w14:paraId="38152CF8" w14:textId="77777777" w:rsidR="00DC73A9" w:rsidRPr="00265568" w:rsidRDefault="00DC73A9" w:rsidP="00265568">
            <w:pPr>
              <w:spacing w:line="240" w:lineRule="auto"/>
              <w:jc w:val="right"/>
              <w:rPr>
                <w:rFonts w:ascii="Arial Narrow" w:hAnsi="Arial Narrow" w:cs="Calibri"/>
                <w:b/>
                <w:bCs/>
                <w:color w:val="FFFFFF"/>
                <w:szCs w:val="18"/>
              </w:rPr>
            </w:pPr>
            <w:r w:rsidRPr="00265568">
              <w:rPr>
                <w:rFonts w:ascii="Arial Narrow" w:hAnsi="Arial Narrow" w:cs="Calibri"/>
                <w:b/>
                <w:bCs/>
                <w:color w:val="FFFFFF"/>
                <w:szCs w:val="18"/>
              </w:rPr>
              <w:t>Therms Savings (Non-Residential)</w:t>
            </w:r>
          </w:p>
        </w:tc>
        <w:tc>
          <w:tcPr>
            <w:tcW w:w="1217" w:type="dxa"/>
            <w:tcBorders>
              <w:top w:val="nil"/>
              <w:left w:val="nil"/>
              <w:bottom w:val="single" w:sz="12" w:space="0" w:color="93D500"/>
              <w:right w:val="nil"/>
            </w:tcBorders>
            <w:shd w:val="clear" w:color="000000" w:fill="53575A"/>
            <w:vAlign w:val="center"/>
            <w:hideMark/>
          </w:tcPr>
          <w:p w14:paraId="1F6AF60B" w14:textId="77777777" w:rsidR="00DC73A9" w:rsidRPr="00265568" w:rsidRDefault="00DC73A9" w:rsidP="00265568">
            <w:pPr>
              <w:spacing w:line="240" w:lineRule="auto"/>
              <w:jc w:val="right"/>
              <w:rPr>
                <w:rFonts w:ascii="Arial Narrow" w:hAnsi="Arial Narrow" w:cs="Calibri"/>
                <w:b/>
                <w:bCs/>
                <w:color w:val="FFFFFF"/>
                <w:szCs w:val="18"/>
              </w:rPr>
            </w:pPr>
            <w:r w:rsidRPr="00265568">
              <w:rPr>
                <w:rFonts w:ascii="Arial Narrow" w:hAnsi="Arial Narrow" w:cs="Calibri"/>
                <w:b/>
                <w:bCs/>
                <w:color w:val="FFFFFF"/>
                <w:szCs w:val="18"/>
              </w:rPr>
              <w:t>$ Total Health Benefits (average) </w:t>
            </w:r>
          </w:p>
        </w:tc>
        <w:tc>
          <w:tcPr>
            <w:tcW w:w="1601" w:type="dxa"/>
            <w:tcBorders>
              <w:top w:val="nil"/>
              <w:left w:val="nil"/>
              <w:bottom w:val="single" w:sz="12" w:space="0" w:color="93D500"/>
              <w:right w:val="nil"/>
            </w:tcBorders>
            <w:shd w:val="clear" w:color="000000" w:fill="53575A"/>
            <w:vAlign w:val="center"/>
            <w:hideMark/>
          </w:tcPr>
          <w:p w14:paraId="656DD691" w14:textId="41A17FFF" w:rsidR="00DC73A9" w:rsidRPr="00265568" w:rsidRDefault="00DC73A9" w:rsidP="00265568">
            <w:pPr>
              <w:spacing w:line="240" w:lineRule="auto"/>
              <w:jc w:val="right"/>
              <w:rPr>
                <w:rFonts w:ascii="Arial Narrow" w:hAnsi="Arial Narrow" w:cs="Calibri"/>
                <w:b/>
                <w:bCs/>
                <w:color w:val="FFFFFF"/>
                <w:szCs w:val="18"/>
              </w:rPr>
            </w:pPr>
            <w:r w:rsidRPr="00265568">
              <w:rPr>
                <w:rFonts w:ascii="Arial Narrow" w:hAnsi="Arial Narrow" w:cs="Calibri"/>
                <w:b/>
                <w:bCs/>
                <w:color w:val="FFFFFF"/>
                <w:szCs w:val="18"/>
              </w:rPr>
              <w:t xml:space="preserve">$Total Health Benefits per Therm </w:t>
            </w:r>
            <w:r w:rsidR="00151A27" w:rsidRPr="00265568">
              <w:rPr>
                <w:rFonts w:ascii="Arial Narrow" w:hAnsi="Arial Narrow" w:cs="Calibri"/>
                <w:b/>
                <w:bCs/>
                <w:color w:val="FFFFFF"/>
                <w:szCs w:val="18"/>
              </w:rPr>
              <w:t>(average)</w:t>
            </w:r>
          </w:p>
        </w:tc>
      </w:tr>
      <w:tr w:rsidR="00265568" w:rsidRPr="00265568" w14:paraId="314A7EF6" w14:textId="77777777" w:rsidTr="00265568">
        <w:trPr>
          <w:trHeight w:val="270"/>
        </w:trPr>
        <w:tc>
          <w:tcPr>
            <w:tcW w:w="990" w:type="dxa"/>
            <w:tcBorders>
              <w:top w:val="nil"/>
              <w:left w:val="nil"/>
              <w:bottom w:val="nil"/>
              <w:right w:val="nil"/>
            </w:tcBorders>
            <w:shd w:val="clear" w:color="auto" w:fill="auto"/>
            <w:noWrap/>
            <w:vAlign w:val="center"/>
            <w:hideMark/>
          </w:tcPr>
          <w:p w14:paraId="7DDA9880" w14:textId="3FC6C9CD"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2024</w:t>
            </w:r>
          </w:p>
        </w:tc>
        <w:tc>
          <w:tcPr>
            <w:tcW w:w="1117" w:type="dxa"/>
            <w:tcBorders>
              <w:top w:val="nil"/>
              <w:left w:val="nil"/>
              <w:bottom w:val="nil"/>
              <w:right w:val="nil"/>
            </w:tcBorders>
            <w:shd w:val="clear" w:color="auto" w:fill="auto"/>
            <w:noWrap/>
            <w:vAlign w:val="center"/>
            <w:hideMark/>
          </w:tcPr>
          <w:p w14:paraId="46195D1D" w14:textId="08FBA411"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5,944,299 </w:t>
            </w:r>
          </w:p>
        </w:tc>
        <w:tc>
          <w:tcPr>
            <w:tcW w:w="1598" w:type="dxa"/>
            <w:tcBorders>
              <w:top w:val="nil"/>
              <w:left w:val="nil"/>
              <w:bottom w:val="nil"/>
              <w:right w:val="nil"/>
            </w:tcBorders>
            <w:shd w:val="clear" w:color="auto" w:fill="auto"/>
            <w:noWrap/>
            <w:vAlign w:val="center"/>
            <w:hideMark/>
          </w:tcPr>
          <w:p w14:paraId="5615E9B1" w14:textId="022E5A48"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$1,202,857 </w:t>
            </w:r>
          </w:p>
        </w:tc>
        <w:tc>
          <w:tcPr>
            <w:tcW w:w="1605" w:type="dxa"/>
            <w:tcBorders>
              <w:top w:val="nil"/>
              <w:left w:val="nil"/>
              <w:bottom w:val="nil"/>
              <w:right w:val="nil"/>
            </w:tcBorders>
            <w:shd w:val="clear" w:color="auto" w:fill="auto"/>
            <w:noWrap/>
            <w:vAlign w:val="center"/>
            <w:hideMark/>
          </w:tcPr>
          <w:p w14:paraId="21B30212" w14:textId="02715E48"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$0.2024 </w:t>
            </w:r>
          </w:p>
        </w:tc>
        <w:tc>
          <w:tcPr>
            <w:tcW w:w="1232" w:type="dxa"/>
            <w:tcBorders>
              <w:top w:val="nil"/>
              <w:left w:val="nil"/>
              <w:bottom w:val="nil"/>
              <w:right w:val="nil"/>
            </w:tcBorders>
            <w:shd w:val="clear" w:color="auto" w:fill="auto"/>
            <w:noWrap/>
            <w:vAlign w:val="center"/>
            <w:hideMark/>
          </w:tcPr>
          <w:p w14:paraId="6B632D0D" w14:textId="46A99DF2"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3,968,899 </w:t>
            </w:r>
          </w:p>
        </w:tc>
        <w:tc>
          <w:tcPr>
            <w:tcW w:w="1217" w:type="dxa"/>
            <w:tcBorders>
              <w:top w:val="nil"/>
              <w:left w:val="nil"/>
              <w:bottom w:val="nil"/>
              <w:right w:val="nil"/>
            </w:tcBorders>
            <w:shd w:val="clear" w:color="auto" w:fill="auto"/>
            <w:noWrap/>
            <w:vAlign w:val="center"/>
            <w:hideMark/>
          </w:tcPr>
          <w:p w14:paraId="56C4349F" w14:textId="379A08D2"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$821,856 </w:t>
            </w:r>
          </w:p>
        </w:tc>
        <w:tc>
          <w:tcPr>
            <w:tcW w:w="1601" w:type="dxa"/>
            <w:tcBorders>
              <w:top w:val="nil"/>
              <w:left w:val="nil"/>
              <w:bottom w:val="nil"/>
              <w:right w:val="nil"/>
            </w:tcBorders>
            <w:shd w:val="clear" w:color="auto" w:fill="auto"/>
            <w:noWrap/>
            <w:vAlign w:val="center"/>
            <w:hideMark/>
          </w:tcPr>
          <w:p w14:paraId="40239CFD" w14:textId="633BD7AC"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$0.2071 </w:t>
            </w:r>
          </w:p>
        </w:tc>
      </w:tr>
      <w:tr w:rsidR="00265568" w:rsidRPr="00265568" w14:paraId="278F4523" w14:textId="77777777" w:rsidTr="00265568">
        <w:trPr>
          <w:trHeight w:val="255"/>
        </w:trPr>
        <w:tc>
          <w:tcPr>
            <w:tcW w:w="990" w:type="dxa"/>
            <w:tcBorders>
              <w:top w:val="nil"/>
              <w:left w:val="nil"/>
              <w:bottom w:val="nil"/>
              <w:right w:val="nil"/>
            </w:tcBorders>
            <w:shd w:val="clear" w:color="auto" w:fill="auto"/>
            <w:noWrap/>
            <w:vAlign w:val="center"/>
            <w:hideMark/>
          </w:tcPr>
          <w:p w14:paraId="11F5702C" w14:textId="01D704A6"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2025</w:t>
            </w:r>
          </w:p>
        </w:tc>
        <w:tc>
          <w:tcPr>
            <w:tcW w:w="1117" w:type="dxa"/>
            <w:tcBorders>
              <w:top w:val="nil"/>
              <w:left w:val="nil"/>
              <w:bottom w:val="nil"/>
              <w:right w:val="nil"/>
            </w:tcBorders>
            <w:shd w:val="clear" w:color="auto" w:fill="auto"/>
            <w:noWrap/>
            <w:vAlign w:val="center"/>
            <w:hideMark/>
          </w:tcPr>
          <w:p w14:paraId="0FDD026F" w14:textId="63CE698E"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5,897,053 </w:t>
            </w:r>
          </w:p>
        </w:tc>
        <w:tc>
          <w:tcPr>
            <w:tcW w:w="1598" w:type="dxa"/>
            <w:tcBorders>
              <w:top w:val="nil"/>
              <w:left w:val="nil"/>
              <w:bottom w:val="nil"/>
              <w:right w:val="nil"/>
            </w:tcBorders>
            <w:shd w:val="clear" w:color="auto" w:fill="auto"/>
            <w:noWrap/>
            <w:vAlign w:val="center"/>
            <w:hideMark/>
          </w:tcPr>
          <w:p w14:paraId="2CB30383" w14:textId="2F95C4AA"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$1,193,341 </w:t>
            </w:r>
          </w:p>
        </w:tc>
        <w:tc>
          <w:tcPr>
            <w:tcW w:w="1605" w:type="dxa"/>
            <w:tcBorders>
              <w:top w:val="nil"/>
              <w:left w:val="nil"/>
              <w:bottom w:val="nil"/>
              <w:right w:val="nil"/>
            </w:tcBorders>
            <w:shd w:val="clear" w:color="auto" w:fill="auto"/>
            <w:noWrap/>
            <w:vAlign w:val="center"/>
            <w:hideMark/>
          </w:tcPr>
          <w:p w14:paraId="6A9A925A" w14:textId="502BC718"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$0.2024 </w:t>
            </w:r>
          </w:p>
        </w:tc>
        <w:tc>
          <w:tcPr>
            <w:tcW w:w="1232" w:type="dxa"/>
            <w:tcBorders>
              <w:top w:val="nil"/>
              <w:left w:val="nil"/>
              <w:bottom w:val="nil"/>
              <w:right w:val="nil"/>
            </w:tcBorders>
            <w:shd w:val="clear" w:color="auto" w:fill="auto"/>
            <w:noWrap/>
            <w:vAlign w:val="center"/>
            <w:hideMark/>
          </w:tcPr>
          <w:p w14:paraId="46ED77C3" w14:textId="1AF7A7B9"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3,968,899 </w:t>
            </w:r>
          </w:p>
        </w:tc>
        <w:tc>
          <w:tcPr>
            <w:tcW w:w="1217" w:type="dxa"/>
            <w:tcBorders>
              <w:top w:val="nil"/>
              <w:left w:val="nil"/>
              <w:bottom w:val="nil"/>
              <w:right w:val="nil"/>
            </w:tcBorders>
            <w:shd w:val="clear" w:color="auto" w:fill="auto"/>
            <w:noWrap/>
            <w:vAlign w:val="center"/>
            <w:hideMark/>
          </w:tcPr>
          <w:p w14:paraId="1F18515A" w14:textId="35F9C0EB"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$821,856 </w:t>
            </w:r>
          </w:p>
        </w:tc>
        <w:tc>
          <w:tcPr>
            <w:tcW w:w="1601" w:type="dxa"/>
            <w:tcBorders>
              <w:top w:val="nil"/>
              <w:left w:val="nil"/>
              <w:bottom w:val="nil"/>
              <w:right w:val="nil"/>
            </w:tcBorders>
            <w:shd w:val="clear" w:color="auto" w:fill="auto"/>
            <w:noWrap/>
            <w:vAlign w:val="center"/>
            <w:hideMark/>
          </w:tcPr>
          <w:p w14:paraId="02F5B78D" w14:textId="209E452A"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$0.2071 </w:t>
            </w:r>
          </w:p>
        </w:tc>
      </w:tr>
      <w:tr w:rsidR="00265568" w:rsidRPr="00265568" w14:paraId="58A25888" w14:textId="77777777" w:rsidTr="00265568">
        <w:trPr>
          <w:trHeight w:val="255"/>
        </w:trPr>
        <w:tc>
          <w:tcPr>
            <w:tcW w:w="990" w:type="dxa"/>
            <w:tcBorders>
              <w:top w:val="nil"/>
              <w:left w:val="nil"/>
              <w:bottom w:val="nil"/>
              <w:right w:val="nil"/>
            </w:tcBorders>
            <w:shd w:val="clear" w:color="auto" w:fill="auto"/>
            <w:noWrap/>
            <w:vAlign w:val="center"/>
            <w:hideMark/>
          </w:tcPr>
          <w:p w14:paraId="3E5C09F0" w14:textId="375E00A3"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2026</w:t>
            </w:r>
          </w:p>
        </w:tc>
        <w:tc>
          <w:tcPr>
            <w:tcW w:w="1117" w:type="dxa"/>
            <w:tcBorders>
              <w:top w:val="nil"/>
              <w:left w:val="nil"/>
              <w:bottom w:val="nil"/>
              <w:right w:val="nil"/>
            </w:tcBorders>
            <w:shd w:val="clear" w:color="auto" w:fill="auto"/>
            <w:noWrap/>
            <w:vAlign w:val="center"/>
            <w:hideMark/>
          </w:tcPr>
          <w:p w14:paraId="6BF60BD5" w14:textId="21B915D8"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5,788,718 </w:t>
            </w:r>
          </w:p>
        </w:tc>
        <w:tc>
          <w:tcPr>
            <w:tcW w:w="1598" w:type="dxa"/>
            <w:tcBorders>
              <w:top w:val="nil"/>
              <w:left w:val="nil"/>
              <w:bottom w:val="nil"/>
              <w:right w:val="nil"/>
            </w:tcBorders>
            <w:shd w:val="clear" w:color="auto" w:fill="auto"/>
            <w:noWrap/>
            <w:vAlign w:val="center"/>
            <w:hideMark/>
          </w:tcPr>
          <w:p w14:paraId="5930EDCD" w14:textId="1DFE8C60"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$1,171,491 </w:t>
            </w:r>
          </w:p>
        </w:tc>
        <w:tc>
          <w:tcPr>
            <w:tcW w:w="1605" w:type="dxa"/>
            <w:tcBorders>
              <w:top w:val="nil"/>
              <w:left w:val="nil"/>
              <w:bottom w:val="nil"/>
              <w:right w:val="nil"/>
            </w:tcBorders>
            <w:shd w:val="clear" w:color="auto" w:fill="auto"/>
            <w:noWrap/>
            <w:vAlign w:val="center"/>
            <w:hideMark/>
          </w:tcPr>
          <w:p w14:paraId="451FC264" w14:textId="68059183"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$0.2024 </w:t>
            </w:r>
          </w:p>
        </w:tc>
        <w:tc>
          <w:tcPr>
            <w:tcW w:w="1232" w:type="dxa"/>
            <w:tcBorders>
              <w:top w:val="nil"/>
              <w:left w:val="nil"/>
              <w:bottom w:val="nil"/>
              <w:right w:val="nil"/>
            </w:tcBorders>
            <w:shd w:val="clear" w:color="auto" w:fill="auto"/>
            <w:noWrap/>
            <w:vAlign w:val="center"/>
            <w:hideMark/>
          </w:tcPr>
          <w:p w14:paraId="6E7145E6" w14:textId="15BAD951"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3,968,899 </w:t>
            </w:r>
          </w:p>
        </w:tc>
        <w:tc>
          <w:tcPr>
            <w:tcW w:w="1217" w:type="dxa"/>
            <w:tcBorders>
              <w:top w:val="nil"/>
              <w:left w:val="nil"/>
              <w:bottom w:val="nil"/>
              <w:right w:val="nil"/>
            </w:tcBorders>
            <w:shd w:val="clear" w:color="auto" w:fill="auto"/>
            <w:noWrap/>
            <w:vAlign w:val="center"/>
            <w:hideMark/>
          </w:tcPr>
          <w:p w14:paraId="0A938504" w14:textId="34EF7A56"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$821,856 </w:t>
            </w:r>
          </w:p>
        </w:tc>
        <w:tc>
          <w:tcPr>
            <w:tcW w:w="1601" w:type="dxa"/>
            <w:tcBorders>
              <w:top w:val="nil"/>
              <w:left w:val="nil"/>
              <w:bottom w:val="nil"/>
              <w:right w:val="nil"/>
            </w:tcBorders>
            <w:shd w:val="clear" w:color="auto" w:fill="auto"/>
            <w:noWrap/>
            <w:vAlign w:val="center"/>
            <w:hideMark/>
          </w:tcPr>
          <w:p w14:paraId="586292B0" w14:textId="29AA1DA1"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$0.2071 </w:t>
            </w:r>
          </w:p>
        </w:tc>
      </w:tr>
      <w:tr w:rsidR="00265568" w:rsidRPr="00265568" w14:paraId="219BC9F2" w14:textId="77777777" w:rsidTr="00265568">
        <w:trPr>
          <w:trHeight w:val="255"/>
        </w:trPr>
        <w:tc>
          <w:tcPr>
            <w:tcW w:w="990" w:type="dxa"/>
            <w:tcBorders>
              <w:top w:val="nil"/>
              <w:left w:val="nil"/>
              <w:bottom w:val="nil"/>
              <w:right w:val="nil"/>
            </w:tcBorders>
            <w:shd w:val="clear" w:color="auto" w:fill="auto"/>
            <w:noWrap/>
            <w:vAlign w:val="center"/>
            <w:hideMark/>
          </w:tcPr>
          <w:p w14:paraId="672B3724" w14:textId="57BE2468"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2027</w:t>
            </w:r>
          </w:p>
        </w:tc>
        <w:tc>
          <w:tcPr>
            <w:tcW w:w="1117" w:type="dxa"/>
            <w:tcBorders>
              <w:top w:val="nil"/>
              <w:left w:val="nil"/>
              <w:bottom w:val="nil"/>
              <w:right w:val="nil"/>
            </w:tcBorders>
            <w:shd w:val="clear" w:color="auto" w:fill="auto"/>
            <w:noWrap/>
            <w:vAlign w:val="center"/>
            <w:hideMark/>
          </w:tcPr>
          <w:p w14:paraId="7FEF42D4" w14:textId="79FEF080"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5,588,430 </w:t>
            </w:r>
          </w:p>
        </w:tc>
        <w:tc>
          <w:tcPr>
            <w:tcW w:w="1598" w:type="dxa"/>
            <w:tcBorders>
              <w:top w:val="nil"/>
              <w:left w:val="nil"/>
              <w:bottom w:val="nil"/>
              <w:right w:val="nil"/>
            </w:tcBorders>
            <w:shd w:val="clear" w:color="auto" w:fill="auto"/>
            <w:noWrap/>
            <w:vAlign w:val="center"/>
            <w:hideMark/>
          </w:tcPr>
          <w:p w14:paraId="18E3CEA8" w14:textId="4149E21B"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$1,131,205 </w:t>
            </w:r>
          </w:p>
        </w:tc>
        <w:tc>
          <w:tcPr>
            <w:tcW w:w="1605" w:type="dxa"/>
            <w:tcBorders>
              <w:top w:val="nil"/>
              <w:left w:val="nil"/>
              <w:bottom w:val="nil"/>
              <w:right w:val="nil"/>
            </w:tcBorders>
            <w:shd w:val="clear" w:color="auto" w:fill="auto"/>
            <w:noWrap/>
            <w:vAlign w:val="center"/>
            <w:hideMark/>
          </w:tcPr>
          <w:p w14:paraId="767BBE72" w14:textId="5DCD445D"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$0.2024 </w:t>
            </w:r>
          </w:p>
        </w:tc>
        <w:tc>
          <w:tcPr>
            <w:tcW w:w="1232" w:type="dxa"/>
            <w:tcBorders>
              <w:top w:val="nil"/>
              <w:left w:val="nil"/>
              <w:bottom w:val="nil"/>
              <w:right w:val="nil"/>
            </w:tcBorders>
            <w:shd w:val="clear" w:color="auto" w:fill="auto"/>
            <w:noWrap/>
            <w:vAlign w:val="center"/>
            <w:hideMark/>
          </w:tcPr>
          <w:p w14:paraId="04461D32" w14:textId="0D4CBE4C"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3,344,715 </w:t>
            </w:r>
          </w:p>
        </w:tc>
        <w:tc>
          <w:tcPr>
            <w:tcW w:w="1217" w:type="dxa"/>
            <w:tcBorders>
              <w:top w:val="nil"/>
              <w:left w:val="nil"/>
              <w:bottom w:val="nil"/>
              <w:right w:val="nil"/>
            </w:tcBorders>
            <w:shd w:val="clear" w:color="auto" w:fill="auto"/>
            <w:noWrap/>
            <w:vAlign w:val="center"/>
            <w:hideMark/>
          </w:tcPr>
          <w:p w14:paraId="10DAAB5C" w14:textId="6284A2E1"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$692,548 </w:t>
            </w:r>
          </w:p>
        </w:tc>
        <w:tc>
          <w:tcPr>
            <w:tcW w:w="1601" w:type="dxa"/>
            <w:tcBorders>
              <w:top w:val="nil"/>
              <w:left w:val="nil"/>
              <w:bottom w:val="nil"/>
              <w:right w:val="nil"/>
            </w:tcBorders>
            <w:shd w:val="clear" w:color="auto" w:fill="auto"/>
            <w:noWrap/>
            <w:vAlign w:val="center"/>
            <w:hideMark/>
          </w:tcPr>
          <w:p w14:paraId="2FEC91A2" w14:textId="0BFFB406"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$0.2071 </w:t>
            </w:r>
          </w:p>
        </w:tc>
      </w:tr>
      <w:tr w:rsidR="00265568" w:rsidRPr="00265568" w14:paraId="7E5ED9D4" w14:textId="77777777" w:rsidTr="00265568">
        <w:trPr>
          <w:trHeight w:val="255"/>
        </w:trPr>
        <w:tc>
          <w:tcPr>
            <w:tcW w:w="990" w:type="dxa"/>
            <w:tcBorders>
              <w:top w:val="nil"/>
              <w:left w:val="nil"/>
              <w:bottom w:val="nil"/>
              <w:right w:val="nil"/>
            </w:tcBorders>
            <w:shd w:val="clear" w:color="auto" w:fill="auto"/>
            <w:noWrap/>
            <w:vAlign w:val="center"/>
            <w:hideMark/>
          </w:tcPr>
          <w:p w14:paraId="709F1770" w14:textId="3873BA74"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2028</w:t>
            </w:r>
          </w:p>
        </w:tc>
        <w:tc>
          <w:tcPr>
            <w:tcW w:w="1117" w:type="dxa"/>
            <w:tcBorders>
              <w:top w:val="nil"/>
              <w:left w:val="nil"/>
              <w:bottom w:val="nil"/>
              <w:right w:val="nil"/>
            </w:tcBorders>
            <w:shd w:val="clear" w:color="auto" w:fill="auto"/>
            <w:noWrap/>
            <w:vAlign w:val="center"/>
            <w:hideMark/>
          </w:tcPr>
          <w:p w14:paraId="22530B51" w14:textId="4B5AA47B"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5,588,430 </w:t>
            </w:r>
          </w:p>
        </w:tc>
        <w:tc>
          <w:tcPr>
            <w:tcW w:w="1598" w:type="dxa"/>
            <w:tcBorders>
              <w:top w:val="nil"/>
              <w:left w:val="nil"/>
              <w:bottom w:val="nil"/>
              <w:right w:val="nil"/>
            </w:tcBorders>
            <w:shd w:val="clear" w:color="auto" w:fill="auto"/>
            <w:noWrap/>
            <w:vAlign w:val="center"/>
            <w:hideMark/>
          </w:tcPr>
          <w:p w14:paraId="66E5DDFE" w14:textId="5F83A1B6"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$1,171,824 </w:t>
            </w:r>
          </w:p>
        </w:tc>
        <w:tc>
          <w:tcPr>
            <w:tcW w:w="1605" w:type="dxa"/>
            <w:tcBorders>
              <w:top w:val="nil"/>
              <w:left w:val="nil"/>
              <w:bottom w:val="nil"/>
              <w:right w:val="nil"/>
            </w:tcBorders>
            <w:shd w:val="clear" w:color="auto" w:fill="auto"/>
            <w:noWrap/>
            <w:vAlign w:val="center"/>
            <w:hideMark/>
          </w:tcPr>
          <w:p w14:paraId="1B8242A0" w14:textId="3BC86FD2"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$0.2097 </w:t>
            </w:r>
          </w:p>
        </w:tc>
        <w:tc>
          <w:tcPr>
            <w:tcW w:w="1232" w:type="dxa"/>
            <w:tcBorders>
              <w:top w:val="nil"/>
              <w:left w:val="nil"/>
              <w:bottom w:val="nil"/>
              <w:right w:val="nil"/>
            </w:tcBorders>
            <w:shd w:val="clear" w:color="auto" w:fill="auto"/>
            <w:noWrap/>
            <w:vAlign w:val="center"/>
            <w:hideMark/>
          </w:tcPr>
          <w:p w14:paraId="6F42B66F" w14:textId="645C88A9"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3,344,715 </w:t>
            </w:r>
          </w:p>
        </w:tc>
        <w:tc>
          <w:tcPr>
            <w:tcW w:w="1217" w:type="dxa"/>
            <w:tcBorders>
              <w:top w:val="nil"/>
              <w:left w:val="nil"/>
              <w:bottom w:val="nil"/>
              <w:right w:val="nil"/>
            </w:tcBorders>
            <w:shd w:val="clear" w:color="auto" w:fill="auto"/>
            <w:noWrap/>
            <w:vAlign w:val="center"/>
            <w:hideMark/>
          </w:tcPr>
          <w:p w14:paraId="6D5DB702" w14:textId="720AB7FF"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$716,388 </w:t>
            </w:r>
          </w:p>
        </w:tc>
        <w:tc>
          <w:tcPr>
            <w:tcW w:w="1601" w:type="dxa"/>
            <w:tcBorders>
              <w:top w:val="nil"/>
              <w:left w:val="nil"/>
              <w:bottom w:val="nil"/>
              <w:right w:val="nil"/>
            </w:tcBorders>
            <w:shd w:val="clear" w:color="auto" w:fill="auto"/>
            <w:noWrap/>
            <w:vAlign w:val="center"/>
            <w:hideMark/>
          </w:tcPr>
          <w:p w14:paraId="3F42BD24" w14:textId="1092F669"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$0.2142 </w:t>
            </w:r>
          </w:p>
        </w:tc>
      </w:tr>
      <w:tr w:rsidR="00265568" w:rsidRPr="00265568" w14:paraId="230CA589" w14:textId="77777777" w:rsidTr="00265568">
        <w:trPr>
          <w:trHeight w:val="255"/>
        </w:trPr>
        <w:tc>
          <w:tcPr>
            <w:tcW w:w="990" w:type="dxa"/>
            <w:tcBorders>
              <w:top w:val="nil"/>
              <w:left w:val="nil"/>
              <w:bottom w:val="nil"/>
              <w:right w:val="nil"/>
            </w:tcBorders>
            <w:shd w:val="clear" w:color="auto" w:fill="auto"/>
            <w:noWrap/>
            <w:vAlign w:val="center"/>
            <w:hideMark/>
          </w:tcPr>
          <w:p w14:paraId="17D78C5C" w14:textId="3190C02D"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2029</w:t>
            </w:r>
          </w:p>
        </w:tc>
        <w:tc>
          <w:tcPr>
            <w:tcW w:w="1117" w:type="dxa"/>
            <w:tcBorders>
              <w:top w:val="nil"/>
              <w:left w:val="nil"/>
              <w:bottom w:val="nil"/>
              <w:right w:val="nil"/>
            </w:tcBorders>
            <w:shd w:val="clear" w:color="auto" w:fill="auto"/>
            <w:noWrap/>
            <w:vAlign w:val="center"/>
            <w:hideMark/>
          </w:tcPr>
          <w:p w14:paraId="43306017" w14:textId="0D7ADAB0"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4,811,107 </w:t>
            </w:r>
          </w:p>
        </w:tc>
        <w:tc>
          <w:tcPr>
            <w:tcW w:w="1598" w:type="dxa"/>
            <w:tcBorders>
              <w:top w:val="nil"/>
              <w:left w:val="nil"/>
              <w:bottom w:val="nil"/>
              <w:right w:val="nil"/>
            </w:tcBorders>
            <w:shd w:val="clear" w:color="auto" w:fill="auto"/>
            <w:noWrap/>
            <w:vAlign w:val="center"/>
            <w:hideMark/>
          </w:tcPr>
          <w:p w14:paraId="31E334D0" w14:textId="460EFE2C"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$1,008,874 </w:t>
            </w:r>
          </w:p>
        </w:tc>
        <w:tc>
          <w:tcPr>
            <w:tcW w:w="1605" w:type="dxa"/>
            <w:tcBorders>
              <w:top w:val="nil"/>
              <w:left w:val="nil"/>
              <w:bottom w:val="nil"/>
              <w:right w:val="nil"/>
            </w:tcBorders>
            <w:shd w:val="clear" w:color="auto" w:fill="auto"/>
            <w:noWrap/>
            <w:vAlign w:val="center"/>
            <w:hideMark/>
          </w:tcPr>
          <w:p w14:paraId="746DDCF6" w14:textId="6C02AC27"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$0.2097 </w:t>
            </w:r>
          </w:p>
        </w:tc>
        <w:tc>
          <w:tcPr>
            <w:tcW w:w="1232" w:type="dxa"/>
            <w:tcBorders>
              <w:top w:val="nil"/>
              <w:left w:val="nil"/>
              <w:bottom w:val="nil"/>
              <w:right w:val="nil"/>
            </w:tcBorders>
            <w:shd w:val="clear" w:color="auto" w:fill="auto"/>
            <w:noWrap/>
            <w:vAlign w:val="center"/>
            <w:hideMark/>
          </w:tcPr>
          <w:p w14:paraId="35C2BB8F" w14:textId="3812AC13"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3,318,182 </w:t>
            </w:r>
          </w:p>
        </w:tc>
        <w:tc>
          <w:tcPr>
            <w:tcW w:w="1217" w:type="dxa"/>
            <w:tcBorders>
              <w:top w:val="nil"/>
              <w:left w:val="nil"/>
              <w:bottom w:val="nil"/>
              <w:right w:val="nil"/>
            </w:tcBorders>
            <w:shd w:val="clear" w:color="auto" w:fill="auto"/>
            <w:noWrap/>
            <w:vAlign w:val="center"/>
            <w:hideMark/>
          </w:tcPr>
          <w:p w14:paraId="0AA22FE6" w14:textId="3C24A537"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$711,141 </w:t>
            </w:r>
          </w:p>
        </w:tc>
        <w:tc>
          <w:tcPr>
            <w:tcW w:w="1601" w:type="dxa"/>
            <w:tcBorders>
              <w:top w:val="nil"/>
              <w:left w:val="nil"/>
              <w:bottom w:val="nil"/>
              <w:right w:val="nil"/>
            </w:tcBorders>
            <w:shd w:val="clear" w:color="auto" w:fill="auto"/>
            <w:noWrap/>
            <w:vAlign w:val="center"/>
            <w:hideMark/>
          </w:tcPr>
          <w:p w14:paraId="0B1440F5" w14:textId="75156F1D"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$0.2143 </w:t>
            </w:r>
          </w:p>
        </w:tc>
      </w:tr>
      <w:tr w:rsidR="00265568" w:rsidRPr="00265568" w14:paraId="0AA98520" w14:textId="77777777" w:rsidTr="00265568">
        <w:trPr>
          <w:trHeight w:val="255"/>
        </w:trPr>
        <w:tc>
          <w:tcPr>
            <w:tcW w:w="990" w:type="dxa"/>
            <w:tcBorders>
              <w:top w:val="nil"/>
              <w:left w:val="nil"/>
              <w:bottom w:val="nil"/>
              <w:right w:val="nil"/>
            </w:tcBorders>
            <w:shd w:val="clear" w:color="auto" w:fill="auto"/>
            <w:noWrap/>
            <w:vAlign w:val="center"/>
            <w:hideMark/>
          </w:tcPr>
          <w:p w14:paraId="37374AE4" w14:textId="162863A5"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2030</w:t>
            </w:r>
          </w:p>
        </w:tc>
        <w:tc>
          <w:tcPr>
            <w:tcW w:w="1117" w:type="dxa"/>
            <w:tcBorders>
              <w:top w:val="nil"/>
              <w:left w:val="nil"/>
              <w:bottom w:val="nil"/>
              <w:right w:val="nil"/>
            </w:tcBorders>
            <w:shd w:val="clear" w:color="auto" w:fill="auto"/>
            <w:noWrap/>
            <w:vAlign w:val="center"/>
            <w:hideMark/>
          </w:tcPr>
          <w:p w14:paraId="5F40E9AA" w14:textId="35706F32"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3,642,144 </w:t>
            </w:r>
          </w:p>
        </w:tc>
        <w:tc>
          <w:tcPr>
            <w:tcW w:w="1598" w:type="dxa"/>
            <w:tcBorders>
              <w:top w:val="nil"/>
              <w:left w:val="nil"/>
              <w:bottom w:val="nil"/>
              <w:right w:val="nil"/>
            </w:tcBorders>
            <w:shd w:val="clear" w:color="auto" w:fill="auto"/>
            <w:noWrap/>
            <w:vAlign w:val="center"/>
            <w:hideMark/>
          </w:tcPr>
          <w:p w14:paraId="5850FA9E" w14:textId="58AB2BBD"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$763,976 </w:t>
            </w:r>
          </w:p>
        </w:tc>
        <w:tc>
          <w:tcPr>
            <w:tcW w:w="1605" w:type="dxa"/>
            <w:tcBorders>
              <w:top w:val="nil"/>
              <w:left w:val="nil"/>
              <w:bottom w:val="nil"/>
              <w:right w:val="nil"/>
            </w:tcBorders>
            <w:shd w:val="clear" w:color="auto" w:fill="auto"/>
            <w:noWrap/>
            <w:vAlign w:val="center"/>
            <w:hideMark/>
          </w:tcPr>
          <w:p w14:paraId="35AB73C3" w14:textId="2705E794"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$0.2098 </w:t>
            </w:r>
          </w:p>
        </w:tc>
        <w:tc>
          <w:tcPr>
            <w:tcW w:w="1232" w:type="dxa"/>
            <w:tcBorders>
              <w:top w:val="nil"/>
              <w:left w:val="nil"/>
              <w:bottom w:val="nil"/>
              <w:right w:val="nil"/>
            </w:tcBorders>
            <w:shd w:val="clear" w:color="auto" w:fill="auto"/>
            <w:noWrap/>
            <w:vAlign w:val="center"/>
            <w:hideMark/>
          </w:tcPr>
          <w:p w14:paraId="0D84DD0E" w14:textId="641CACAA"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1,849,999 </w:t>
            </w:r>
          </w:p>
        </w:tc>
        <w:tc>
          <w:tcPr>
            <w:tcW w:w="1217" w:type="dxa"/>
            <w:tcBorders>
              <w:top w:val="nil"/>
              <w:left w:val="nil"/>
              <w:bottom w:val="nil"/>
              <w:right w:val="nil"/>
            </w:tcBorders>
            <w:shd w:val="clear" w:color="auto" w:fill="auto"/>
            <w:noWrap/>
            <w:vAlign w:val="center"/>
            <w:hideMark/>
          </w:tcPr>
          <w:p w14:paraId="3D211410" w14:textId="13255C3E"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$396,151 </w:t>
            </w:r>
          </w:p>
        </w:tc>
        <w:tc>
          <w:tcPr>
            <w:tcW w:w="1601" w:type="dxa"/>
            <w:tcBorders>
              <w:top w:val="nil"/>
              <w:left w:val="nil"/>
              <w:bottom w:val="nil"/>
              <w:right w:val="nil"/>
            </w:tcBorders>
            <w:shd w:val="clear" w:color="auto" w:fill="auto"/>
            <w:noWrap/>
            <w:vAlign w:val="center"/>
            <w:hideMark/>
          </w:tcPr>
          <w:p w14:paraId="390B8992" w14:textId="75D18140"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$0.2141 </w:t>
            </w:r>
          </w:p>
        </w:tc>
      </w:tr>
      <w:tr w:rsidR="00265568" w:rsidRPr="00265568" w14:paraId="0429DEC8" w14:textId="77777777" w:rsidTr="00265568">
        <w:trPr>
          <w:trHeight w:val="255"/>
        </w:trPr>
        <w:tc>
          <w:tcPr>
            <w:tcW w:w="990" w:type="dxa"/>
            <w:tcBorders>
              <w:top w:val="nil"/>
              <w:left w:val="nil"/>
              <w:bottom w:val="nil"/>
              <w:right w:val="nil"/>
            </w:tcBorders>
            <w:shd w:val="clear" w:color="auto" w:fill="auto"/>
            <w:noWrap/>
            <w:vAlign w:val="center"/>
            <w:hideMark/>
          </w:tcPr>
          <w:p w14:paraId="2464E35C" w14:textId="31D19BA2"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2031</w:t>
            </w:r>
          </w:p>
        </w:tc>
        <w:tc>
          <w:tcPr>
            <w:tcW w:w="1117" w:type="dxa"/>
            <w:tcBorders>
              <w:top w:val="nil"/>
              <w:left w:val="nil"/>
              <w:bottom w:val="nil"/>
              <w:right w:val="nil"/>
            </w:tcBorders>
            <w:shd w:val="clear" w:color="auto" w:fill="auto"/>
            <w:noWrap/>
            <w:vAlign w:val="center"/>
            <w:hideMark/>
          </w:tcPr>
          <w:p w14:paraId="4D7305E1" w14:textId="3D28A924"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3,642,144 </w:t>
            </w:r>
          </w:p>
        </w:tc>
        <w:tc>
          <w:tcPr>
            <w:tcW w:w="1598" w:type="dxa"/>
            <w:tcBorders>
              <w:top w:val="nil"/>
              <w:left w:val="nil"/>
              <w:bottom w:val="nil"/>
              <w:right w:val="nil"/>
            </w:tcBorders>
            <w:shd w:val="clear" w:color="auto" w:fill="auto"/>
            <w:noWrap/>
            <w:vAlign w:val="center"/>
            <w:hideMark/>
          </w:tcPr>
          <w:p w14:paraId="50B57130" w14:textId="01E9D7ED"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$763,976 </w:t>
            </w:r>
          </w:p>
        </w:tc>
        <w:tc>
          <w:tcPr>
            <w:tcW w:w="1605" w:type="dxa"/>
            <w:tcBorders>
              <w:top w:val="nil"/>
              <w:left w:val="nil"/>
              <w:bottom w:val="nil"/>
              <w:right w:val="nil"/>
            </w:tcBorders>
            <w:shd w:val="clear" w:color="auto" w:fill="auto"/>
            <w:noWrap/>
            <w:vAlign w:val="center"/>
            <w:hideMark/>
          </w:tcPr>
          <w:p w14:paraId="5BC42038" w14:textId="2ED85D97"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$0.2098 </w:t>
            </w:r>
          </w:p>
        </w:tc>
        <w:tc>
          <w:tcPr>
            <w:tcW w:w="1232" w:type="dxa"/>
            <w:tcBorders>
              <w:top w:val="nil"/>
              <w:left w:val="nil"/>
              <w:bottom w:val="nil"/>
              <w:right w:val="nil"/>
            </w:tcBorders>
            <w:shd w:val="clear" w:color="auto" w:fill="auto"/>
            <w:noWrap/>
            <w:vAlign w:val="center"/>
            <w:hideMark/>
          </w:tcPr>
          <w:p w14:paraId="0E14DFC2" w14:textId="44D2105F"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1,839,868 </w:t>
            </w:r>
          </w:p>
        </w:tc>
        <w:tc>
          <w:tcPr>
            <w:tcW w:w="1217" w:type="dxa"/>
            <w:tcBorders>
              <w:top w:val="nil"/>
              <w:left w:val="nil"/>
              <w:bottom w:val="nil"/>
              <w:right w:val="nil"/>
            </w:tcBorders>
            <w:shd w:val="clear" w:color="auto" w:fill="auto"/>
            <w:noWrap/>
            <w:vAlign w:val="center"/>
            <w:hideMark/>
          </w:tcPr>
          <w:p w14:paraId="51D8E008" w14:textId="35426850"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$394,051 </w:t>
            </w:r>
          </w:p>
        </w:tc>
        <w:tc>
          <w:tcPr>
            <w:tcW w:w="1601" w:type="dxa"/>
            <w:tcBorders>
              <w:top w:val="nil"/>
              <w:left w:val="nil"/>
              <w:bottom w:val="nil"/>
              <w:right w:val="nil"/>
            </w:tcBorders>
            <w:shd w:val="clear" w:color="auto" w:fill="auto"/>
            <w:noWrap/>
            <w:vAlign w:val="center"/>
            <w:hideMark/>
          </w:tcPr>
          <w:p w14:paraId="0817627C" w14:textId="0EB4B155"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$0.2142 </w:t>
            </w:r>
          </w:p>
        </w:tc>
      </w:tr>
      <w:tr w:rsidR="00265568" w:rsidRPr="00265568" w14:paraId="1F40B903" w14:textId="77777777" w:rsidTr="00265568">
        <w:trPr>
          <w:trHeight w:val="255"/>
        </w:trPr>
        <w:tc>
          <w:tcPr>
            <w:tcW w:w="990" w:type="dxa"/>
            <w:tcBorders>
              <w:top w:val="nil"/>
              <w:left w:val="nil"/>
              <w:bottom w:val="nil"/>
              <w:right w:val="nil"/>
            </w:tcBorders>
            <w:shd w:val="clear" w:color="auto" w:fill="auto"/>
            <w:noWrap/>
            <w:vAlign w:val="center"/>
            <w:hideMark/>
          </w:tcPr>
          <w:p w14:paraId="555446D1" w14:textId="34E75ABB"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2032</w:t>
            </w:r>
          </w:p>
        </w:tc>
        <w:tc>
          <w:tcPr>
            <w:tcW w:w="1117" w:type="dxa"/>
            <w:tcBorders>
              <w:top w:val="nil"/>
              <w:left w:val="nil"/>
              <w:bottom w:val="nil"/>
              <w:right w:val="nil"/>
            </w:tcBorders>
            <w:shd w:val="clear" w:color="auto" w:fill="auto"/>
            <w:noWrap/>
            <w:vAlign w:val="center"/>
            <w:hideMark/>
          </w:tcPr>
          <w:p w14:paraId="1D2DA78E" w14:textId="46DE7E3B"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3,546,260 </w:t>
            </w:r>
          </w:p>
        </w:tc>
        <w:tc>
          <w:tcPr>
            <w:tcW w:w="1598" w:type="dxa"/>
            <w:tcBorders>
              <w:top w:val="nil"/>
              <w:left w:val="nil"/>
              <w:bottom w:val="nil"/>
              <w:right w:val="nil"/>
            </w:tcBorders>
            <w:shd w:val="clear" w:color="auto" w:fill="auto"/>
            <w:noWrap/>
            <w:vAlign w:val="center"/>
            <w:hideMark/>
          </w:tcPr>
          <w:p w14:paraId="7B81AE13" w14:textId="2071C133"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$745,811 </w:t>
            </w:r>
          </w:p>
        </w:tc>
        <w:tc>
          <w:tcPr>
            <w:tcW w:w="1605" w:type="dxa"/>
            <w:tcBorders>
              <w:top w:val="nil"/>
              <w:left w:val="nil"/>
              <w:bottom w:val="nil"/>
              <w:right w:val="nil"/>
            </w:tcBorders>
            <w:shd w:val="clear" w:color="auto" w:fill="auto"/>
            <w:noWrap/>
            <w:vAlign w:val="center"/>
            <w:hideMark/>
          </w:tcPr>
          <w:p w14:paraId="390017A6" w14:textId="69FDFCA7"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$0.2103 </w:t>
            </w:r>
          </w:p>
        </w:tc>
        <w:tc>
          <w:tcPr>
            <w:tcW w:w="1232" w:type="dxa"/>
            <w:tcBorders>
              <w:top w:val="nil"/>
              <w:left w:val="nil"/>
              <w:bottom w:val="nil"/>
              <w:right w:val="nil"/>
            </w:tcBorders>
            <w:shd w:val="clear" w:color="auto" w:fill="auto"/>
            <w:noWrap/>
            <w:vAlign w:val="center"/>
            <w:hideMark/>
          </w:tcPr>
          <w:p w14:paraId="539801D0" w14:textId="070DE6B8"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1,585,433 </w:t>
            </w:r>
          </w:p>
        </w:tc>
        <w:tc>
          <w:tcPr>
            <w:tcW w:w="1217" w:type="dxa"/>
            <w:tcBorders>
              <w:top w:val="nil"/>
              <w:left w:val="nil"/>
              <w:bottom w:val="nil"/>
              <w:right w:val="nil"/>
            </w:tcBorders>
            <w:shd w:val="clear" w:color="auto" w:fill="auto"/>
            <w:noWrap/>
            <w:vAlign w:val="center"/>
            <w:hideMark/>
          </w:tcPr>
          <w:p w14:paraId="098A5F7C" w14:textId="3E0AE0A2"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$339,817 </w:t>
            </w:r>
          </w:p>
        </w:tc>
        <w:tc>
          <w:tcPr>
            <w:tcW w:w="1601" w:type="dxa"/>
            <w:tcBorders>
              <w:top w:val="nil"/>
              <w:left w:val="nil"/>
              <w:bottom w:val="nil"/>
              <w:right w:val="nil"/>
            </w:tcBorders>
            <w:shd w:val="clear" w:color="auto" w:fill="auto"/>
            <w:noWrap/>
            <w:vAlign w:val="center"/>
            <w:hideMark/>
          </w:tcPr>
          <w:p w14:paraId="1C7DC023" w14:textId="57428400"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$0.2143 </w:t>
            </w:r>
          </w:p>
        </w:tc>
      </w:tr>
      <w:tr w:rsidR="00265568" w:rsidRPr="00265568" w14:paraId="256946BC" w14:textId="77777777" w:rsidTr="00265568">
        <w:trPr>
          <w:trHeight w:val="255"/>
        </w:trPr>
        <w:tc>
          <w:tcPr>
            <w:tcW w:w="990" w:type="dxa"/>
            <w:tcBorders>
              <w:top w:val="nil"/>
              <w:left w:val="nil"/>
              <w:bottom w:val="nil"/>
              <w:right w:val="nil"/>
            </w:tcBorders>
            <w:shd w:val="clear" w:color="auto" w:fill="auto"/>
            <w:noWrap/>
            <w:vAlign w:val="center"/>
            <w:hideMark/>
          </w:tcPr>
          <w:p w14:paraId="110667B5" w14:textId="4F0E50E8"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2033</w:t>
            </w:r>
          </w:p>
        </w:tc>
        <w:tc>
          <w:tcPr>
            <w:tcW w:w="1117" w:type="dxa"/>
            <w:tcBorders>
              <w:top w:val="nil"/>
              <w:left w:val="nil"/>
              <w:bottom w:val="nil"/>
              <w:right w:val="nil"/>
            </w:tcBorders>
            <w:shd w:val="clear" w:color="auto" w:fill="auto"/>
            <w:noWrap/>
            <w:vAlign w:val="center"/>
            <w:hideMark/>
          </w:tcPr>
          <w:p w14:paraId="3DC54666" w14:textId="16BE6A08"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3,546,260 </w:t>
            </w:r>
          </w:p>
        </w:tc>
        <w:tc>
          <w:tcPr>
            <w:tcW w:w="1598" w:type="dxa"/>
            <w:tcBorders>
              <w:top w:val="nil"/>
              <w:left w:val="nil"/>
              <w:bottom w:val="nil"/>
              <w:right w:val="nil"/>
            </w:tcBorders>
            <w:shd w:val="clear" w:color="auto" w:fill="auto"/>
            <w:noWrap/>
            <w:vAlign w:val="center"/>
            <w:hideMark/>
          </w:tcPr>
          <w:p w14:paraId="542A8102" w14:textId="5C5386F1"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$745,811 </w:t>
            </w:r>
          </w:p>
        </w:tc>
        <w:tc>
          <w:tcPr>
            <w:tcW w:w="1605" w:type="dxa"/>
            <w:tcBorders>
              <w:top w:val="nil"/>
              <w:left w:val="nil"/>
              <w:bottom w:val="nil"/>
              <w:right w:val="nil"/>
            </w:tcBorders>
            <w:shd w:val="clear" w:color="auto" w:fill="auto"/>
            <w:noWrap/>
            <w:vAlign w:val="center"/>
            <w:hideMark/>
          </w:tcPr>
          <w:p w14:paraId="7DA40E47" w14:textId="633CB18C"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$0.2103 </w:t>
            </w:r>
          </w:p>
        </w:tc>
        <w:tc>
          <w:tcPr>
            <w:tcW w:w="1232" w:type="dxa"/>
            <w:tcBorders>
              <w:top w:val="nil"/>
              <w:left w:val="nil"/>
              <w:bottom w:val="nil"/>
              <w:right w:val="nil"/>
            </w:tcBorders>
            <w:shd w:val="clear" w:color="auto" w:fill="auto"/>
            <w:noWrap/>
            <w:vAlign w:val="center"/>
            <w:hideMark/>
          </w:tcPr>
          <w:p w14:paraId="19C4B0DB" w14:textId="576EFB23"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1,232,799 </w:t>
            </w:r>
          </w:p>
        </w:tc>
        <w:tc>
          <w:tcPr>
            <w:tcW w:w="1217" w:type="dxa"/>
            <w:tcBorders>
              <w:top w:val="nil"/>
              <w:left w:val="nil"/>
              <w:bottom w:val="nil"/>
              <w:right w:val="nil"/>
            </w:tcBorders>
            <w:shd w:val="clear" w:color="auto" w:fill="auto"/>
            <w:noWrap/>
            <w:vAlign w:val="center"/>
            <w:hideMark/>
          </w:tcPr>
          <w:p w14:paraId="29C18D2A" w14:textId="719BE432"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$264,571 </w:t>
            </w:r>
          </w:p>
        </w:tc>
        <w:tc>
          <w:tcPr>
            <w:tcW w:w="1601" w:type="dxa"/>
            <w:tcBorders>
              <w:top w:val="nil"/>
              <w:left w:val="nil"/>
              <w:bottom w:val="nil"/>
              <w:right w:val="nil"/>
            </w:tcBorders>
            <w:shd w:val="clear" w:color="auto" w:fill="auto"/>
            <w:noWrap/>
            <w:vAlign w:val="center"/>
            <w:hideMark/>
          </w:tcPr>
          <w:p w14:paraId="0151424D" w14:textId="63F4C6B8"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$0.2146 </w:t>
            </w:r>
          </w:p>
        </w:tc>
      </w:tr>
      <w:tr w:rsidR="00265568" w:rsidRPr="00265568" w14:paraId="4E7273DF" w14:textId="77777777" w:rsidTr="00265568">
        <w:trPr>
          <w:trHeight w:val="255"/>
        </w:trPr>
        <w:tc>
          <w:tcPr>
            <w:tcW w:w="990" w:type="dxa"/>
            <w:tcBorders>
              <w:top w:val="nil"/>
              <w:left w:val="nil"/>
              <w:bottom w:val="nil"/>
              <w:right w:val="nil"/>
            </w:tcBorders>
            <w:shd w:val="clear" w:color="auto" w:fill="auto"/>
            <w:noWrap/>
            <w:vAlign w:val="center"/>
            <w:hideMark/>
          </w:tcPr>
          <w:p w14:paraId="52CB6E11" w14:textId="4FE570EA"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2034</w:t>
            </w:r>
          </w:p>
        </w:tc>
        <w:tc>
          <w:tcPr>
            <w:tcW w:w="1117" w:type="dxa"/>
            <w:tcBorders>
              <w:top w:val="nil"/>
              <w:left w:val="nil"/>
              <w:bottom w:val="nil"/>
              <w:right w:val="nil"/>
            </w:tcBorders>
            <w:shd w:val="clear" w:color="auto" w:fill="auto"/>
            <w:noWrap/>
            <w:vAlign w:val="center"/>
            <w:hideMark/>
          </w:tcPr>
          <w:p w14:paraId="614A6A5D" w14:textId="070EF242"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3,140,904 </w:t>
            </w:r>
          </w:p>
        </w:tc>
        <w:tc>
          <w:tcPr>
            <w:tcW w:w="1598" w:type="dxa"/>
            <w:tcBorders>
              <w:top w:val="nil"/>
              <w:left w:val="nil"/>
              <w:bottom w:val="nil"/>
              <w:right w:val="nil"/>
            </w:tcBorders>
            <w:shd w:val="clear" w:color="auto" w:fill="auto"/>
            <w:noWrap/>
            <w:vAlign w:val="center"/>
            <w:hideMark/>
          </w:tcPr>
          <w:p w14:paraId="7EDF4E65" w14:textId="48EF2BA4"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$658,454 </w:t>
            </w:r>
          </w:p>
        </w:tc>
        <w:tc>
          <w:tcPr>
            <w:tcW w:w="1605" w:type="dxa"/>
            <w:tcBorders>
              <w:top w:val="nil"/>
              <w:left w:val="nil"/>
              <w:bottom w:val="nil"/>
              <w:right w:val="nil"/>
            </w:tcBorders>
            <w:shd w:val="clear" w:color="auto" w:fill="auto"/>
            <w:noWrap/>
            <w:vAlign w:val="center"/>
            <w:hideMark/>
          </w:tcPr>
          <w:p w14:paraId="57CF6603" w14:textId="71E9B0DA"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$0.2096 </w:t>
            </w:r>
          </w:p>
        </w:tc>
        <w:tc>
          <w:tcPr>
            <w:tcW w:w="1232" w:type="dxa"/>
            <w:tcBorders>
              <w:top w:val="nil"/>
              <w:left w:val="nil"/>
              <w:bottom w:val="nil"/>
              <w:right w:val="nil"/>
            </w:tcBorders>
            <w:shd w:val="clear" w:color="auto" w:fill="auto"/>
            <w:noWrap/>
            <w:vAlign w:val="center"/>
            <w:hideMark/>
          </w:tcPr>
          <w:p w14:paraId="4A895B87" w14:textId="7A9465CE"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1,213,183 </w:t>
            </w:r>
          </w:p>
        </w:tc>
        <w:tc>
          <w:tcPr>
            <w:tcW w:w="1217" w:type="dxa"/>
            <w:tcBorders>
              <w:top w:val="nil"/>
              <w:left w:val="nil"/>
              <w:bottom w:val="nil"/>
              <w:right w:val="nil"/>
            </w:tcBorders>
            <w:shd w:val="clear" w:color="auto" w:fill="auto"/>
            <w:noWrap/>
            <w:vAlign w:val="center"/>
            <w:hideMark/>
          </w:tcPr>
          <w:p w14:paraId="12892D1A" w14:textId="64445CDB"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$259,774 </w:t>
            </w:r>
          </w:p>
        </w:tc>
        <w:tc>
          <w:tcPr>
            <w:tcW w:w="1601" w:type="dxa"/>
            <w:tcBorders>
              <w:top w:val="nil"/>
              <w:left w:val="nil"/>
              <w:bottom w:val="nil"/>
              <w:right w:val="nil"/>
            </w:tcBorders>
            <w:shd w:val="clear" w:color="auto" w:fill="auto"/>
            <w:noWrap/>
            <w:vAlign w:val="center"/>
            <w:hideMark/>
          </w:tcPr>
          <w:p w14:paraId="3393F6DE" w14:textId="1B81A9A1"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$0.2141 </w:t>
            </w:r>
          </w:p>
        </w:tc>
      </w:tr>
      <w:tr w:rsidR="00265568" w:rsidRPr="00265568" w14:paraId="55CE4C49" w14:textId="77777777" w:rsidTr="00265568">
        <w:trPr>
          <w:trHeight w:val="255"/>
        </w:trPr>
        <w:tc>
          <w:tcPr>
            <w:tcW w:w="990" w:type="dxa"/>
            <w:tcBorders>
              <w:top w:val="nil"/>
              <w:left w:val="nil"/>
              <w:bottom w:val="nil"/>
              <w:right w:val="nil"/>
            </w:tcBorders>
            <w:shd w:val="clear" w:color="auto" w:fill="auto"/>
            <w:noWrap/>
            <w:vAlign w:val="center"/>
            <w:hideMark/>
          </w:tcPr>
          <w:p w14:paraId="17D407F5" w14:textId="7CF98812"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2035</w:t>
            </w:r>
          </w:p>
        </w:tc>
        <w:tc>
          <w:tcPr>
            <w:tcW w:w="1117" w:type="dxa"/>
            <w:tcBorders>
              <w:top w:val="nil"/>
              <w:left w:val="nil"/>
              <w:bottom w:val="nil"/>
              <w:right w:val="nil"/>
            </w:tcBorders>
            <w:shd w:val="clear" w:color="auto" w:fill="auto"/>
            <w:noWrap/>
            <w:vAlign w:val="center"/>
            <w:hideMark/>
          </w:tcPr>
          <w:p w14:paraId="3C420298" w14:textId="6D5F999B"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2,286,791 </w:t>
            </w:r>
          </w:p>
        </w:tc>
        <w:tc>
          <w:tcPr>
            <w:tcW w:w="1598" w:type="dxa"/>
            <w:tcBorders>
              <w:top w:val="nil"/>
              <w:left w:val="nil"/>
              <w:bottom w:val="nil"/>
              <w:right w:val="nil"/>
            </w:tcBorders>
            <w:shd w:val="clear" w:color="auto" w:fill="auto"/>
            <w:noWrap/>
            <w:vAlign w:val="center"/>
            <w:hideMark/>
          </w:tcPr>
          <w:p w14:paraId="4B6A4AB9" w14:textId="0541DAB1"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$479,033 </w:t>
            </w:r>
          </w:p>
        </w:tc>
        <w:tc>
          <w:tcPr>
            <w:tcW w:w="1605" w:type="dxa"/>
            <w:tcBorders>
              <w:top w:val="nil"/>
              <w:left w:val="nil"/>
              <w:bottom w:val="nil"/>
              <w:right w:val="nil"/>
            </w:tcBorders>
            <w:shd w:val="clear" w:color="auto" w:fill="auto"/>
            <w:noWrap/>
            <w:vAlign w:val="center"/>
            <w:hideMark/>
          </w:tcPr>
          <w:p w14:paraId="47C17C50" w14:textId="2E3BF1D7"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$0.2095 </w:t>
            </w:r>
          </w:p>
        </w:tc>
        <w:tc>
          <w:tcPr>
            <w:tcW w:w="1232" w:type="dxa"/>
            <w:tcBorders>
              <w:top w:val="nil"/>
              <w:left w:val="nil"/>
              <w:bottom w:val="nil"/>
              <w:right w:val="nil"/>
            </w:tcBorders>
            <w:shd w:val="clear" w:color="auto" w:fill="auto"/>
            <w:noWrap/>
            <w:vAlign w:val="center"/>
            <w:hideMark/>
          </w:tcPr>
          <w:p w14:paraId="64CAF27C" w14:textId="26C4CF04"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1,211,881 </w:t>
            </w:r>
          </w:p>
        </w:tc>
        <w:tc>
          <w:tcPr>
            <w:tcW w:w="1217" w:type="dxa"/>
            <w:tcBorders>
              <w:top w:val="nil"/>
              <w:left w:val="nil"/>
              <w:bottom w:val="nil"/>
              <w:right w:val="nil"/>
            </w:tcBorders>
            <w:shd w:val="clear" w:color="auto" w:fill="auto"/>
            <w:noWrap/>
            <w:vAlign w:val="center"/>
            <w:hideMark/>
          </w:tcPr>
          <w:p w14:paraId="58C56EB0" w14:textId="5A8535BC"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$259,535 </w:t>
            </w:r>
          </w:p>
        </w:tc>
        <w:tc>
          <w:tcPr>
            <w:tcW w:w="1601" w:type="dxa"/>
            <w:tcBorders>
              <w:top w:val="nil"/>
              <w:left w:val="nil"/>
              <w:bottom w:val="nil"/>
              <w:right w:val="nil"/>
            </w:tcBorders>
            <w:shd w:val="clear" w:color="auto" w:fill="auto"/>
            <w:noWrap/>
            <w:vAlign w:val="center"/>
            <w:hideMark/>
          </w:tcPr>
          <w:p w14:paraId="29344881" w14:textId="077AA589"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$0.2142 </w:t>
            </w:r>
          </w:p>
        </w:tc>
      </w:tr>
      <w:tr w:rsidR="00265568" w:rsidRPr="00265568" w14:paraId="341A65BB" w14:textId="77777777" w:rsidTr="00265568">
        <w:trPr>
          <w:trHeight w:val="255"/>
        </w:trPr>
        <w:tc>
          <w:tcPr>
            <w:tcW w:w="990" w:type="dxa"/>
            <w:tcBorders>
              <w:top w:val="nil"/>
              <w:left w:val="nil"/>
              <w:bottom w:val="nil"/>
              <w:right w:val="nil"/>
            </w:tcBorders>
            <w:shd w:val="clear" w:color="auto" w:fill="auto"/>
            <w:noWrap/>
            <w:vAlign w:val="center"/>
            <w:hideMark/>
          </w:tcPr>
          <w:p w14:paraId="66517B09" w14:textId="017E1C23"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2036</w:t>
            </w:r>
          </w:p>
        </w:tc>
        <w:tc>
          <w:tcPr>
            <w:tcW w:w="1117" w:type="dxa"/>
            <w:tcBorders>
              <w:top w:val="nil"/>
              <w:left w:val="nil"/>
              <w:bottom w:val="nil"/>
              <w:right w:val="nil"/>
            </w:tcBorders>
            <w:shd w:val="clear" w:color="auto" w:fill="auto"/>
            <w:noWrap/>
            <w:vAlign w:val="center"/>
            <w:hideMark/>
          </w:tcPr>
          <w:p w14:paraId="5EEA0566" w14:textId="6ED91526"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2,286,791 </w:t>
            </w:r>
          </w:p>
        </w:tc>
        <w:tc>
          <w:tcPr>
            <w:tcW w:w="1598" w:type="dxa"/>
            <w:tcBorders>
              <w:top w:val="nil"/>
              <w:left w:val="nil"/>
              <w:bottom w:val="nil"/>
              <w:right w:val="nil"/>
            </w:tcBorders>
            <w:shd w:val="clear" w:color="auto" w:fill="auto"/>
            <w:noWrap/>
            <w:vAlign w:val="center"/>
            <w:hideMark/>
          </w:tcPr>
          <w:p w14:paraId="52DE00EE" w14:textId="044AC72C"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$479,033 </w:t>
            </w:r>
          </w:p>
        </w:tc>
        <w:tc>
          <w:tcPr>
            <w:tcW w:w="1605" w:type="dxa"/>
            <w:tcBorders>
              <w:top w:val="nil"/>
              <w:left w:val="nil"/>
              <w:bottom w:val="nil"/>
              <w:right w:val="nil"/>
            </w:tcBorders>
            <w:shd w:val="clear" w:color="auto" w:fill="auto"/>
            <w:noWrap/>
            <w:vAlign w:val="center"/>
            <w:hideMark/>
          </w:tcPr>
          <w:p w14:paraId="29D6935D" w14:textId="5BFAD1FE"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$0.2095 </w:t>
            </w:r>
          </w:p>
        </w:tc>
        <w:tc>
          <w:tcPr>
            <w:tcW w:w="1232" w:type="dxa"/>
            <w:tcBorders>
              <w:top w:val="nil"/>
              <w:left w:val="nil"/>
              <w:bottom w:val="nil"/>
              <w:right w:val="nil"/>
            </w:tcBorders>
            <w:shd w:val="clear" w:color="auto" w:fill="auto"/>
            <w:noWrap/>
            <w:vAlign w:val="center"/>
            <w:hideMark/>
          </w:tcPr>
          <w:p w14:paraId="27E015A7" w14:textId="1BEAC27B"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1,210,725 </w:t>
            </w:r>
          </w:p>
        </w:tc>
        <w:tc>
          <w:tcPr>
            <w:tcW w:w="1217" w:type="dxa"/>
            <w:tcBorders>
              <w:top w:val="nil"/>
              <w:left w:val="nil"/>
              <w:bottom w:val="nil"/>
              <w:right w:val="nil"/>
            </w:tcBorders>
            <w:shd w:val="clear" w:color="auto" w:fill="auto"/>
            <w:noWrap/>
            <w:vAlign w:val="center"/>
            <w:hideMark/>
          </w:tcPr>
          <w:p w14:paraId="5AAB6A5A" w14:textId="6A12E98D"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$259,336 </w:t>
            </w:r>
          </w:p>
        </w:tc>
        <w:tc>
          <w:tcPr>
            <w:tcW w:w="1601" w:type="dxa"/>
            <w:tcBorders>
              <w:top w:val="nil"/>
              <w:left w:val="nil"/>
              <w:bottom w:val="nil"/>
              <w:right w:val="nil"/>
            </w:tcBorders>
            <w:shd w:val="clear" w:color="auto" w:fill="auto"/>
            <w:noWrap/>
            <w:vAlign w:val="center"/>
            <w:hideMark/>
          </w:tcPr>
          <w:p w14:paraId="7D1BF1DB" w14:textId="1836AF99"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$0.2142 </w:t>
            </w:r>
          </w:p>
        </w:tc>
      </w:tr>
      <w:tr w:rsidR="00265568" w:rsidRPr="00265568" w14:paraId="6BEBE612" w14:textId="77777777" w:rsidTr="00265568">
        <w:trPr>
          <w:trHeight w:val="255"/>
        </w:trPr>
        <w:tc>
          <w:tcPr>
            <w:tcW w:w="990" w:type="dxa"/>
            <w:tcBorders>
              <w:top w:val="nil"/>
              <w:left w:val="nil"/>
              <w:bottom w:val="nil"/>
              <w:right w:val="nil"/>
            </w:tcBorders>
            <w:shd w:val="clear" w:color="auto" w:fill="auto"/>
            <w:noWrap/>
            <w:vAlign w:val="center"/>
            <w:hideMark/>
          </w:tcPr>
          <w:p w14:paraId="73BD847B" w14:textId="1BCDCD31"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2037</w:t>
            </w:r>
          </w:p>
        </w:tc>
        <w:tc>
          <w:tcPr>
            <w:tcW w:w="1117" w:type="dxa"/>
            <w:tcBorders>
              <w:top w:val="nil"/>
              <w:left w:val="nil"/>
              <w:bottom w:val="nil"/>
              <w:right w:val="nil"/>
            </w:tcBorders>
            <w:shd w:val="clear" w:color="auto" w:fill="auto"/>
            <w:noWrap/>
            <w:vAlign w:val="center"/>
            <w:hideMark/>
          </w:tcPr>
          <w:p w14:paraId="489062D0" w14:textId="2F89A1A6"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2,279,386 </w:t>
            </w:r>
          </w:p>
        </w:tc>
        <w:tc>
          <w:tcPr>
            <w:tcW w:w="1598" w:type="dxa"/>
            <w:tcBorders>
              <w:top w:val="nil"/>
              <w:left w:val="nil"/>
              <w:bottom w:val="nil"/>
              <w:right w:val="nil"/>
            </w:tcBorders>
            <w:shd w:val="clear" w:color="auto" w:fill="auto"/>
            <w:noWrap/>
            <w:vAlign w:val="center"/>
            <w:hideMark/>
          </w:tcPr>
          <w:p w14:paraId="662B906A" w14:textId="61CBBF92"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$477,677 </w:t>
            </w:r>
          </w:p>
        </w:tc>
        <w:tc>
          <w:tcPr>
            <w:tcW w:w="1605" w:type="dxa"/>
            <w:tcBorders>
              <w:top w:val="nil"/>
              <w:left w:val="nil"/>
              <w:bottom w:val="nil"/>
              <w:right w:val="nil"/>
            </w:tcBorders>
            <w:shd w:val="clear" w:color="auto" w:fill="auto"/>
            <w:noWrap/>
            <w:vAlign w:val="center"/>
            <w:hideMark/>
          </w:tcPr>
          <w:p w14:paraId="30501DF5" w14:textId="5894422C"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$0.2096 </w:t>
            </w:r>
          </w:p>
        </w:tc>
        <w:tc>
          <w:tcPr>
            <w:tcW w:w="1232" w:type="dxa"/>
            <w:tcBorders>
              <w:top w:val="nil"/>
              <w:left w:val="nil"/>
              <w:bottom w:val="nil"/>
              <w:right w:val="nil"/>
            </w:tcBorders>
            <w:shd w:val="clear" w:color="auto" w:fill="auto"/>
            <w:noWrap/>
            <w:vAlign w:val="center"/>
            <w:hideMark/>
          </w:tcPr>
          <w:p w14:paraId="0C9A059E" w14:textId="12789A59"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933,957 </w:t>
            </w:r>
          </w:p>
        </w:tc>
        <w:tc>
          <w:tcPr>
            <w:tcW w:w="1217" w:type="dxa"/>
            <w:tcBorders>
              <w:top w:val="nil"/>
              <w:left w:val="nil"/>
              <w:bottom w:val="nil"/>
              <w:right w:val="nil"/>
            </w:tcBorders>
            <w:shd w:val="clear" w:color="auto" w:fill="auto"/>
            <w:noWrap/>
            <w:vAlign w:val="center"/>
            <w:hideMark/>
          </w:tcPr>
          <w:p w14:paraId="0BD62810" w14:textId="368CD827"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$199,788 </w:t>
            </w:r>
          </w:p>
        </w:tc>
        <w:tc>
          <w:tcPr>
            <w:tcW w:w="1601" w:type="dxa"/>
            <w:tcBorders>
              <w:top w:val="nil"/>
              <w:left w:val="nil"/>
              <w:bottom w:val="nil"/>
              <w:right w:val="nil"/>
            </w:tcBorders>
            <w:shd w:val="clear" w:color="auto" w:fill="auto"/>
            <w:noWrap/>
            <w:vAlign w:val="center"/>
            <w:hideMark/>
          </w:tcPr>
          <w:p w14:paraId="31CBA0FD" w14:textId="2EE42550"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$0.2139 </w:t>
            </w:r>
          </w:p>
        </w:tc>
      </w:tr>
      <w:tr w:rsidR="00265568" w:rsidRPr="00265568" w14:paraId="31A39410" w14:textId="77777777" w:rsidTr="00265568">
        <w:trPr>
          <w:trHeight w:val="255"/>
        </w:trPr>
        <w:tc>
          <w:tcPr>
            <w:tcW w:w="990" w:type="dxa"/>
            <w:tcBorders>
              <w:top w:val="nil"/>
              <w:left w:val="nil"/>
              <w:bottom w:val="nil"/>
              <w:right w:val="nil"/>
            </w:tcBorders>
            <w:shd w:val="clear" w:color="auto" w:fill="auto"/>
            <w:noWrap/>
            <w:vAlign w:val="center"/>
            <w:hideMark/>
          </w:tcPr>
          <w:p w14:paraId="53E62A69" w14:textId="3EB38A78"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2038</w:t>
            </w:r>
          </w:p>
        </w:tc>
        <w:tc>
          <w:tcPr>
            <w:tcW w:w="1117" w:type="dxa"/>
            <w:tcBorders>
              <w:top w:val="nil"/>
              <w:left w:val="nil"/>
              <w:bottom w:val="nil"/>
              <w:right w:val="nil"/>
            </w:tcBorders>
            <w:shd w:val="clear" w:color="auto" w:fill="auto"/>
            <w:noWrap/>
            <w:vAlign w:val="center"/>
            <w:hideMark/>
          </w:tcPr>
          <w:p w14:paraId="3FF5F14F" w14:textId="1E948086"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2,279,364 </w:t>
            </w:r>
          </w:p>
        </w:tc>
        <w:tc>
          <w:tcPr>
            <w:tcW w:w="1598" w:type="dxa"/>
            <w:tcBorders>
              <w:top w:val="nil"/>
              <w:left w:val="nil"/>
              <w:bottom w:val="nil"/>
              <w:right w:val="nil"/>
            </w:tcBorders>
            <w:shd w:val="clear" w:color="auto" w:fill="auto"/>
            <w:noWrap/>
            <w:vAlign w:val="center"/>
            <w:hideMark/>
          </w:tcPr>
          <w:p w14:paraId="59374481" w14:textId="12AE74A1"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$477,677 </w:t>
            </w:r>
          </w:p>
        </w:tc>
        <w:tc>
          <w:tcPr>
            <w:tcW w:w="1605" w:type="dxa"/>
            <w:tcBorders>
              <w:top w:val="nil"/>
              <w:left w:val="nil"/>
              <w:bottom w:val="nil"/>
              <w:right w:val="nil"/>
            </w:tcBorders>
            <w:shd w:val="clear" w:color="auto" w:fill="auto"/>
            <w:noWrap/>
            <w:vAlign w:val="center"/>
            <w:hideMark/>
          </w:tcPr>
          <w:p w14:paraId="384BFCC7" w14:textId="73C35668"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$0.2096 </w:t>
            </w:r>
          </w:p>
        </w:tc>
        <w:tc>
          <w:tcPr>
            <w:tcW w:w="1232" w:type="dxa"/>
            <w:tcBorders>
              <w:top w:val="nil"/>
              <w:left w:val="nil"/>
              <w:bottom w:val="nil"/>
              <w:right w:val="nil"/>
            </w:tcBorders>
            <w:shd w:val="clear" w:color="auto" w:fill="auto"/>
            <w:noWrap/>
            <w:vAlign w:val="center"/>
            <w:hideMark/>
          </w:tcPr>
          <w:p w14:paraId="562D380E" w14:textId="44AFBF76"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933,534 </w:t>
            </w:r>
          </w:p>
        </w:tc>
        <w:tc>
          <w:tcPr>
            <w:tcW w:w="1217" w:type="dxa"/>
            <w:tcBorders>
              <w:top w:val="nil"/>
              <w:left w:val="nil"/>
              <w:bottom w:val="nil"/>
              <w:right w:val="nil"/>
            </w:tcBorders>
            <w:shd w:val="clear" w:color="auto" w:fill="auto"/>
            <w:noWrap/>
            <w:vAlign w:val="center"/>
            <w:hideMark/>
          </w:tcPr>
          <w:p w14:paraId="1FCC6228" w14:textId="7ED2B5EE"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$199,709 </w:t>
            </w:r>
          </w:p>
        </w:tc>
        <w:tc>
          <w:tcPr>
            <w:tcW w:w="1601" w:type="dxa"/>
            <w:tcBorders>
              <w:top w:val="nil"/>
              <w:left w:val="nil"/>
              <w:bottom w:val="nil"/>
              <w:right w:val="nil"/>
            </w:tcBorders>
            <w:shd w:val="clear" w:color="auto" w:fill="auto"/>
            <w:noWrap/>
            <w:vAlign w:val="center"/>
            <w:hideMark/>
          </w:tcPr>
          <w:p w14:paraId="7EDE4FAD" w14:textId="63D36E06"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$0.2139 </w:t>
            </w:r>
          </w:p>
        </w:tc>
      </w:tr>
      <w:tr w:rsidR="00265568" w:rsidRPr="00265568" w14:paraId="0E4EF7B0" w14:textId="77777777" w:rsidTr="00265568">
        <w:trPr>
          <w:trHeight w:val="255"/>
        </w:trPr>
        <w:tc>
          <w:tcPr>
            <w:tcW w:w="990" w:type="dxa"/>
            <w:tcBorders>
              <w:top w:val="nil"/>
              <w:left w:val="nil"/>
              <w:bottom w:val="nil"/>
              <w:right w:val="nil"/>
            </w:tcBorders>
            <w:shd w:val="clear" w:color="auto" w:fill="auto"/>
            <w:noWrap/>
            <w:vAlign w:val="center"/>
            <w:hideMark/>
          </w:tcPr>
          <w:p w14:paraId="6B73F929" w14:textId="7E5A7652"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2039</w:t>
            </w:r>
          </w:p>
        </w:tc>
        <w:tc>
          <w:tcPr>
            <w:tcW w:w="1117" w:type="dxa"/>
            <w:tcBorders>
              <w:top w:val="nil"/>
              <w:left w:val="nil"/>
              <w:bottom w:val="nil"/>
              <w:right w:val="nil"/>
            </w:tcBorders>
            <w:shd w:val="clear" w:color="auto" w:fill="auto"/>
            <w:noWrap/>
            <w:vAlign w:val="center"/>
            <w:hideMark/>
          </w:tcPr>
          <w:p w14:paraId="5B2A8172" w14:textId="7898DA24"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1,920,573 </w:t>
            </w:r>
          </w:p>
        </w:tc>
        <w:tc>
          <w:tcPr>
            <w:tcW w:w="1598" w:type="dxa"/>
            <w:tcBorders>
              <w:top w:val="nil"/>
              <w:left w:val="nil"/>
              <w:bottom w:val="nil"/>
              <w:right w:val="nil"/>
            </w:tcBorders>
            <w:shd w:val="clear" w:color="auto" w:fill="auto"/>
            <w:noWrap/>
            <w:vAlign w:val="center"/>
            <w:hideMark/>
          </w:tcPr>
          <w:p w14:paraId="08B4CD75" w14:textId="74170454"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$402,917 </w:t>
            </w:r>
          </w:p>
        </w:tc>
        <w:tc>
          <w:tcPr>
            <w:tcW w:w="1605" w:type="dxa"/>
            <w:tcBorders>
              <w:top w:val="nil"/>
              <w:left w:val="nil"/>
              <w:bottom w:val="nil"/>
              <w:right w:val="nil"/>
            </w:tcBorders>
            <w:shd w:val="clear" w:color="auto" w:fill="auto"/>
            <w:noWrap/>
            <w:vAlign w:val="center"/>
            <w:hideMark/>
          </w:tcPr>
          <w:p w14:paraId="1B3AA938" w14:textId="5D2044CC"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$0.2098 </w:t>
            </w:r>
          </w:p>
        </w:tc>
        <w:tc>
          <w:tcPr>
            <w:tcW w:w="1232" w:type="dxa"/>
            <w:tcBorders>
              <w:top w:val="nil"/>
              <w:left w:val="nil"/>
              <w:bottom w:val="nil"/>
              <w:right w:val="nil"/>
            </w:tcBorders>
            <w:shd w:val="clear" w:color="auto" w:fill="auto"/>
            <w:noWrap/>
            <w:vAlign w:val="center"/>
            <w:hideMark/>
          </w:tcPr>
          <w:p w14:paraId="347A8729" w14:textId="2CEAEADE"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690,358 </w:t>
            </w:r>
          </w:p>
        </w:tc>
        <w:tc>
          <w:tcPr>
            <w:tcW w:w="1217" w:type="dxa"/>
            <w:tcBorders>
              <w:top w:val="nil"/>
              <w:left w:val="nil"/>
              <w:bottom w:val="nil"/>
              <w:right w:val="nil"/>
            </w:tcBorders>
            <w:shd w:val="clear" w:color="auto" w:fill="auto"/>
            <w:noWrap/>
            <w:vAlign w:val="center"/>
            <w:hideMark/>
          </w:tcPr>
          <w:p w14:paraId="5BA0041D" w14:textId="078C8F6B"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$147,666 </w:t>
            </w:r>
          </w:p>
        </w:tc>
        <w:tc>
          <w:tcPr>
            <w:tcW w:w="1601" w:type="dxa"/>
            <w:tcBorders>
              <w:top w:val="nil"/>
              <w:left w:val="nil"/>
              <w:bottom w:val="nil"/>
              <w:right w:val="nil"/>
            </w:tcBorders>
            <w:shd w:val="clear" w:color="auto" w:fill="auto"/>
            <w:noWrap/>
            <w:vAlign w:val="center"/>
            <w:hideMark/>
          </w:tcPr>
          <w:p w14:paraId="24CAACAC" w14:textId="1E6163FC"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$0.2139 </w:t>
            </w:r>
          </w:p>
        </w:tc>
      </w:tr>
      <w:tr w:rsidR="00265568" w:rsidRPr="00265568" w14:paraId="7860135F" w14:textId="77777777" w:rsidTr="00265568">
        <w:trPr>
          <w:trHeight w:val="255"/>
        </w:trPr>
        <w:tc>
          <w:tcPr>
            <w:tcW w:w="990" w:type="dxa"/>
            <w:tcBorders>
              <w:top w:val="nil"/>
              <w:left w:val="nil"/>
              <w:bottom w:val="nil"/>
              <w:right w:val="nil"/>
            </w:tcBorders>
            <w:shd w:val="clear" w:color="auto" w:fill="auto"/>
            <w:noWrap/>
            <w:vAlign w:val="center"/>
            <w:hideMark/>
          </w:tcPr>
          <w:p w14:paraId="0680CD12" w14:textId="25A1D376"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2040</w:t>
            </w:r>
          </w:p>
        </w:tc>
        <w:tc>
          <w:tcPr>
            <w:tcW w:w="1117" w:type="dxa"/>
            <w:tcBorders>
              <w:top w:val="nil"/>
              <w:left w:val="nil"/>
              <w:bottom w:val="nil"/>
              <w:right w:val="nil"/>
            </w:tcBorders>
            <w:shd w:val="clear" w:color="auto" w:fill="auto"/>
            <w:noWrap/>
            <w:vAlign w:val="center"/>
            <w:hideMark/>
          </w:tcPr>
          <w:p w14:paraId="1647CC83" w14:textId="586C317D"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1,917,977 </w:t>
            </w:r>
          </w:p>
        </w:tc>
        <w:tc>
          <w:tcPr>
            <w:tcW w:w="1598" w:type="dxa"/>
            <w:tcBorders>
              <w:top w:val="nil"/>
              <w:left w:val="nil"/>
              <w:bottom w:val="nil"/>
              <w:right w:val="nil"/>
            </w:tcBorders>
            <w:shd w:val="clear" w:color="auto" w:fill="auto"/>
            <w:noWrap/>
            <w:vAlign w:val="center"/>
            <w:hideMark/>
          </w:tcPr>
          <w:p w14:paraId="5B7D6E11" w14:textId="1A9305BC"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$402,259 </w:t>
            </w:r>
          </w:p>
        </w:tc>
        <w:tc>
          <w:tcPr>
            <w:tcW w:w="1605" w:type="dxa"/>
            <w:tcBorders>
              <w:top w:val="nil"/>
              <w:left w:val="nil"/>
              <w:bottom w:val="nil"/>
              <w:right w:val="nil"/>
            </w:tcBorders>
            <w:shd w:val="clear" w:color="auto" w:fill="auto"/>
            <w:noWrap/>
            <w:vAlign w:val="center"/>
            <w:hideMark/>
          </w:tcPr>
          <w:p w14:paraId="75F47005" w14:textId="2D79CAE3"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$0.2097 </w:t>
            </w:r>
          </w:p>
        </w:tc>
        <w:tc>
          <w:tcPr>
            <w:tcW w:w="1232" w:type="dxa"/>
            <w:tcBorders>
              <w:top w:val="nil"/>
              <w:left w:val="nil"/>
              <w:bottom w:val="nil"/>
              <w:right w:val="nil"/>
            </w:tcBorders>
            <w:shd w:val="clear" w:color="auto" w:fill="auto"/>
            <w:noWrap/>
            <w:vAlign w:val="center"/>
            <w:hideMark/>
          </w:tcPr>
          <w:p w14:paraId="3D7A5498" w14:textId="18E7B6DB"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676,956 </w:t>
            </w:r>
          </w:p>
        </w:tc>
        <w:tc>
          <w:tcPr>
            <w:tcW w:w="1217" w:type="dxa"/>
            <w:tcBorders>
              <w:top w:val="nil"/>
              <w:left w:val="nil"/>
              <w:bottom w:val="nil"/>
              <w:right w:val="nil"/>
            </w:tcBorders>
            <w:shd w:val="clear" w:color="auto" w:fill="auto"/>
            <w:noWrap/>
            <w:vAlign w:val="center"/>
            <w:hideMark/>
          </w:tcPr>
          <w:p w14:paraId="190C30E6" w14:textId="1C96F46F"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$145,077 </w:t>
            </w:r>
          </w:p>
        </w:tc>
        <w:tc>
          <w:tcPr>
            <w:tcW w:w="1601" w:type="dxa"/>
            <w:tcBorders>
              <w:top w:val="nil"/>
              <w:left w:val="nil"/>
              <w:bottom w:val="nil"/>
              <w:right w:val="nil"/>
            </w:tcBorders>
            <w:shd w:val="clear" w:color="auto" w:fill="auto"/>
            <w:noWrap/>
            <w:vAlign w:val="center"/>
            <w:hideMark/>
          </w:tcPr>
          <w:p w14:paraId="03BCADB1" w14:textId="41CA2BBF"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$0.2143 </w:t>
            </w:r>
          </w:p>
        </w:tc>
      </w:tr>
      <w:tr w:rsidR="00265568" w:rsidRPr="00265568" w14:paraId="0B910A24" w14:textId="77777777" w:rsidTr="00265568">
        <w:trPr>
          <w:trHeight w:val="255"/>
        </w:trPr>
        <w:tc>
          <w:tcPr>
            <w:tcW w:w="990" w:type="dxa"/>
            <w:tcBorders>
              <w:top w:val="nil"/>
              <w:left w:val="nil"/>
              <w:bottom w:val="nil"/>
              <w:right w:val="nil"/>
            </w:tcBorders>
            <w:shd w:val="clear" w:color="auto" w:fill="auto"/>
            <w:noWrap/>
            <w:vAlign w:val="center"/>
            <w:hideMark/>
          </w:tcPr>
          <w:p w14:paraId="18D42CEF" w14:textId="0A2310BD"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2041</w:t>
            </w:r>
          </w:p>
        </w:tc>
        <w:tc>
          <w:tcPr>
            <w:tcW w:w="1117" w:type="dxa"/>
            <w:tcBorders>
              <w:top w:val="nil"/>
              <w:left w:val="nil"/>
              <w:bottom w:val="nil"/>
              <w:right w:val="nil"/>
            </w:tcBorders>
            <w:shd w:val="clear" w:color="auto" w:fill="auto"/>
            <w:noWrap/>
            <w:vAlign w:val="center"/>
            <w:hideMark/>
          </w:tcPr>
          <w:p w14:paraId="1ECC8566" w14:textId="03F20A39"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1,855,227 </w:t>
            </w:r>
          </w:p>
        </w:tc>
        <w:tc>
          <w:tcPr>
            <w:tcW w:w="1598" w:type="dxa"/>
            <w:tcBorders>
              <w:top w:val="nil"/>
              <w:left w:val="nil"/>
              <w:bottom w:val="nil"/>
              <w:right w:val="nil"/>
            </w:tcBorders>
            <w:shd w:val="clear" w:color="auto" w:fill="auto"/>
            <w:noWrap/>
            <w:vAlign w:val="center"/>
            <w:hideMark/>
          </w:tcPr>
          <w:p w14:paraId="272652DA" w14:textId="434AF3BA"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$388,585 </w:t>
            </w:r>
          </w:p>
        </w:tc>
        <w:tc>
          <w:tcPr>
            <w:tcW w:w="1605" w:type="dxa"/>
            <w:tcBorders>
              <w:top w:val="nil"/>
              <w:left w:val="nil"/>
              <w:bottom w:val="nil"/>
              <w:right w:val="nil"/>
            </w:tcBorders>
            <w:shd w:val="clear" w:color="auto" w:fill="auto"/>
            <w:noWrap/>
            <w:vAlign w:val="center"/>
            <w:hideMark/>
          </w:tcPr>
          <w:p w14:paraId="044542E6" w14:textId="7AEB8157"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$0.2095 </w:t>
            </w:r>
          </w:p>
        </w:tc>
        <w:tc>
          <w:tcPr>
            <w:tcW w:w="1232" w:type="dxa"/>
            <w:tcBorders>
              <w:top w:val="nil"/>
              <w:left w:val="nil"/>
              <w:bottom w:val="nil"/>
              <w:right w:val="nil"/>
            </w:tcBorders>
            <w:shd w:val="clear" w:color="auto" w:fill="auto"/>
            <w:noWrap/>
            <w:vAlign w:val="center"/>
            <w:hideMark/>
          </w:tcPr>
          <w:p w14:paraId="702432E4" w14:textId="2992548D"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674,663 </w:t>
            </w:r>
          </w:p>
        </w:tc>
        <w:tc>
          <w:tcPr>
            <w:tcW w:w="1217" w:type="dxa"/>
            <w:tcBorders>
              <w:top w:val="nil"/>
              <w:left w:val="nil"/>
              <w:bottom w:val="nil"/>
              <w:right w:val="nil"/>
            </w:tcBorders>
            <w:shd w:val="clear" w:color="auto" w:fill="auto"/>
            <w:noWrap/>
            <w:vAlign w:val="center"/>
            <w:hideMark/>
          </w:tcPr>
          <w:p w14:paraId="37C13DA7" w14:textId="1EDF4305"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$144,639 </w:t>
            </w:r>
          </w:p>
        </w:tc>
        <w:tc>
          <w:tcPr>
            <w:tcW w:w="1601" w:type="dxa"/>
            <w:tcBorders>
              <w:top w:val="nil"/>
              <w:left w:val="nil"/>
              <w:bottom w:val="nil"/>
              <w:right w:val="nil"/>
            </w:tcBorders>
            <w:shd w:val="clear" w:color="auto" w:fill="auto"/>
            <w:noWrap/>
            <w:vAlign w:val="center"/>
            <w:hideMark/>
          </w:tcPr>
          <w:p w14:paraId="0B670E02" w14:textId="01C5F7C3"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$0.2144 </w:t>
            </w:r>
          </w:p>
        </w:tc>
      </w:tr>
      <w:tr w:rsidR="00265568" w:rsidRPr="00265568" w14:paraId="50AD15AD" w14:textId="77777777" w:rsidTr="00265568">
        <w:trPr>
          <w:trHeight w:val="255"/>
        </w:trPr>
        <w:tc>
          <w:tcPr>
            <w:tcW w:w="990" w:type="dxa"/>
            <w:tcBorders>
              <w:top w:val="nil"/>
              <w:left w:val="nil"/>
              <w:bottom w:val="nil"/>
              <w:right w:val="nil"/>
            </w:tcBorders>
            <w:shd w:val="clear" w:color="auto" w:fill="auto"/>
            <w:noWrap/>
            <w:vAlign w:val="center"/>
            <w:hideMark/>
          </w:tcPr>
          <w:p w14:paraId="563ECF62" w14:textId="6A90FB51"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2042</w:t>
            </w:r>
          </w:p>
        </w:tc>
        <w:tc>
          <w:tcPr>
            <w:tcW w:w="1117" w:type="dxa"/>
            <w:tcBorders>
              <w:top w:val="nil"/>
              <w:left w:val="nil"/>
              <w:bottom w:val="nil"/>
              <w:right w:val="nil"/>
            </w:tcBorders>
            <w:shd w:val="clear" w:color="auto" w:fill="auto"/>
            <w:noWrap/>
            <w:vAlign w:val="center"/>
            <w:hideMark/>
          </w:tcPr>
          <w:p w14:paraId="42A6C74E" w14:textId="5C1FFD94"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1,855,227 </w:t>
            </w:r>
          </w:p>
        </w:tc>
        <w:tc>
          <w:tcPr>
            <w:tcW w:w="1598" w:type="dxa"/>
            <w:tcBorders>
              <w:top w:val="nil"/>
              <w:left w:val="nil"/>
              <w:bottom w:val="nil"/>
              <w:right w:val="nil"/>
            </w:tcBorders>
            <w:shd w:val="clear" w:color="auto" w:fill="auto"/>
            <w:noWrap/>
            <w:vAlign w:val="center"/>
            <w:hideMark/>
          </w:tcPr>
          <w:p w14:paraId="1338D9F9" w14:textId="724FF72E"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$388,585 </w:t>
            </w:r>
          </w:p>
        </w:tc>
        <w:tc>
          <w:tcPr>
            <w:tcW w:w="1605" w:type="dxa"/>
            <w:tcBorders>
              <w:top w:val="nil"/>
              <w:left w:val="nil"/>
              <w:bottom w:val="nil"/>
              <w:right w:val="nil"/>
            </w:tcBorders>
            <w:shd w:val="clear" w:color="auto" w:fill="auto"/>
            <w:noWrap/>
            <w:vAlign w:val="center"/>
            <w:hideMark/>
          </w:tcPr>
          <w:p w14:paraId="070EE8BF" w14:textId="7793CF44"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$0.2095 </w:t>
            </w:r>
          </w:p>
        </w:tc>
        <w:tc>
          <w:tcPr>
            <w:tcW w:w="1232" w:type="dxa"/>
            <w:tcBorders>
              <w:top w:val="nil"/>
              <w:left w:val="nil"/>
              <w:bottom w:val="nil"/>
              <w:right w:val="nil"/>
            </w:tcBorders>
            <w:shd w:val="clear" w:color="auto" w:fill="auto"/>
            <w:noWrap/>
            <w:vAlign w:val="center"/>
            <w:hideMark/>
          </w:tcPr>
          <w:p w14:paraId="62039F35" w14:textId="557269F2"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674,663 </w:t>
            </w:r>
          </w:p>
        </w:tc>
        <w:tc>
          <w:tcPr>
            <w:tcW w:w="1217" w:type="dxa"/>
            <w:tcBorders>
              <w:top w:val="nil"/>
              <w:left w:val="nil"/>
              <w:bottom w:val="nil"/>
              <w:right w:val="nil"/>
            </w:tcBorders>
            <w:shd w:val="clear" w:color="auto" w:fill="auto"/>
            <w:noWrap/>
            <w:vAlign w:val="center"/>
            <w:hideMark/>
          </w:tcPr>
          <w:p w14:paraId="3FFF9A75" w14:textId="045140B2"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$144,639 </w:t>
            </w:r>
          </w:p>
        </w:tc>
        <w:tc>
          <w:tcPr>
            <w:tcW w:w="1601" w:type="dxa"/>
            <w:tcBorders>
              <w:top w:val="nil"/>
              <w:left w:val="nil"/>
              <w:bottom w:val="nil"/>
              <w:right w:val="nil"/>
            </w:tcBorders>
            <w:shd w:val="clear" w:color="auto" w:fill="auto"/>
            <w:noWrap/>
            <w:vAlign w:val="center"/>
            <w:hideMark/>
          </w:tcPr>
          <w:p w14:paraId="4BD54B0D" w14:textId="6EB44D61"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$0.2144 </w:t>
            </w:r>
          </w:p>
        </w:tc>
      </w:tr>
      <w:tr w:rsidR="00265568" w:rsidRPr="00265568" w14:paraId="7AADB8B1" w14:textId="77777777" w:rsidTr="00265568">
        <w:trPr>
          <w:trHeight w:val="255"/>
        </w:trPr>
        <w:tc>
          <w:tcPr>
            <w:tcW w:w="990" w:type="dxa"/>
            <w:tcBorders>
              <w:top w:val="nil"/>
              <w:left w:val="nil"/>
              <w:bottom w:val="nil"/>
              <w:right w:val="nil"/>
            </w:tcBorders>
            <w:shd w:val="clear" w:color="auto" w:fill="auto"/>
            <w:noWrap/>
            <w:vAlign w:val="center"/>
            <w:hideMark/>
          </w:tcPr>
          <w:p w14:paraId="1B257387" w14:textId="6BE788CD"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2043</w:t>
            </w:r>
          </w:p>
        </w:tc>
        <w:tc>
          <w:tcPr>
            <w:tcW w:w="1117" w:type="dxa"/>
            <w:tcBorders>
              <w:top w:val="nil"/>
              <w:left w:val="nil"/>
              <w:bottom w:val="nil"/>
              <w:right w:val="nil"/>
            </w:tcBorders>
            <w:shd w:val="clear" w:color="auto" w:fill="auto"/>
            <w:noWrap/>
            <w:vAlign w:val="center"/>
            <w:hideMark/>
          </w:tcPr>
          <w:p w14:paraId="06CDC82E" w14:textId="6063B541"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1,852,049 </w:t>
            </w:r>
          </w:p>
        </w:tc>
        <w:tc>
          <w:tcPr>
            <w:tcW w:w="1598" w:type="dxa"/>
            <w:tcBorders>
              <w:top w:val="nil"/>
              <w:left w:val="nil"/>
              <w:bottom w:val="nil"/>
              <w:right w:val="nil"/>
            </w:tcBorders>
            <w:shd w:val="clear" w:color="auto" w:fill="auto"/>
            <w:noWrap/>
            <w:vAlign w:val="center"/>
            <w:hideMark/>
          </w:tcPr>
          <w:p w14:paraId="1F8540CA" w14:textId="58B92BB0"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$388,009 </w:t>
            </w:r>
          </w:p>
        </w:tc>
        <w:tc>
          <w:tcPr>
            <w:tcW w:w="1605" w:type="dxa"/>
            <w:tcBorders>
              <w:top w:val="nil"/>
              <w:left w:val="nil"/>
              <w:bottom w:val="nil"/>
              <w:right w:val="nil"/>
            </w:tcBorders>
            <w:shd w:val="clear" w:color="auto" w:fill="auto"/>
            <w:noWrap/>
            <w:vAlign w:val="center"/>
            <w:hideMark/>
          </w:tcPr>
          <w:p w14:paraId="56134213" w14:textId="3FE5063D"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$0.2095 </w:t>
            </w:r>
          </w:p>
        </w:tc>
        <w:tc>
          <w:tcPr>
            <w:tcW w:w="1232" w:type="dxa"/>
            <w:tcBorders>
              <w:top w:val="nil"/>
              <w:left w:val="nil"/>
              <w:bottom w:val="nil"/>
              <w:right w:val="nil"/>
            </w:tcBorders>
            <w:shd w:val="clear" w:color="auto" w:fill="auto"/>
            <w:noWrap/>
            <w:vAlign w:val="center"/>
            <w:hideMark/>
          </w:tcPr>
          <w:p w14:paraId="3BDAB1B0" w14:textId="2E0A1C5F"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674,663 </w:t>
            </w:r>
          </w:p>
        </w:tc>
        <w:tc>
          <w:tcPr>
            <w:tcW w:w="1217" w:type="dxa"/>
            <w:tcBorders>
              <w:top w:val="nil"/>
              <w:left w:val="nil"/>
              <w:bottom w:val="nil"/>
              <w:right w:val="nil"/>
            </w:tcBorders>
            <w:shd w:val="clear" w:color="auto" w:fill="auto"/>
            <w:noWrap/>
            <w:vAlign w:val="center"/>
            <w:hideMark/>
          </w:tcPr>
          <w:p w14:paraId="4FDF7E29" w14:textId="04A4A8F9"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$144,639 </w:t>
            </w:r>
          </w:p>
        </w:tc>
        <w:tc>
          <w:tcPr>
            <w:tcW w:w="1601" w:type="dxa"/>
            <w:tcBorders>
              <w:top w:val="nil"/>
              <w:left w:val="nil"/>
              <w:bottom w:val="nil"/>
              <w:right w:val="nil"/>
            </w:tcBorders>
            <w:shd w:val="clear" w:color="auto" w:fill="auto"/>
            <w:noWrap/>
            <w:vAlign w:val="center"/>
            <w:hideMark/>
          </w:tcPr>
          <w:p w14:paraId="4BF7C0D6" w14:textId="7676BD7C"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$0.2144 </w:t>
            </w:r>
          </w:p>
        </w:tc>
      </w:tr>
      <w:tr w:rsidR="00265568" w:rsidRPr="00265568" w14:paraId="3AD27ED0" w14:textId="77777777" w:rsidTr="00265568">
        <w:trPr>
          <w:trHeight w:val="255"/>
        </w:trPr>
        <w:tc>
          <w:tcPr>
            <w:tcW w:w="990" w:type="dxa"/>
            <w:tcBorders>
              <w:top w:val="nil"/>
              <w:left w:val="nil"/>
              <w:bottom w:val="nil"/>
              <w:right w:val="nil"/>
            </w:tcBorders>
            <w:shd w:val="clear" w:color="auto" w:fill="auto"/>
            <w:noWrap/>
            <w:vAlign w:val="center"/>
            <w:hideMark/>
          </w:tcPr>
          <w:p w14:paraId="75934E2A" w14:textId="2766817F"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2044</w:t>
            </w:r>
          </w:p>
        </w:tc>
        <w:tc>
          <w:tcPr>
            <w:tcW w:w="1117" w:type="dxa"/>
            <w:tcBorders>
              <w:top w:val="nil"/>
              <w:left w:val="nil"/>
              <w:bottom w:val="nil"/>
              <w:right w:val="nil"/>
            </w:tcBorders>
            <w:shd w:val="clear" w:color="auto" w:fill="auto"/>
            <w:noWrap/>
            <w:vAlign w:val="center"/>
            <w:hideMark/>
          </w:tcPr>
          <w:p w14:paraId="2F2AA8CE" w14:textId="24F7512C"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34,140 </w:t>
            </w:r>
          </w:p>
        </w:tc>
        <w:tc>
          <w:tcPr>
            <w:tcW w:w="1598" w:type="dxa"/>
            <w:tcBorders>
              <w:top w:val="nil"/>
              <w:left w:val="nil"/>
              <w:bottom w:val="nil"/>
              <w:right w:val="nil"/>
            </w:tcBorders>
            <w:shd w:val="clear" w:color="auto" w:fill="auto"/>
            <w:noWrap/>
            <w:vAlign w:val="center"/>
            <w:hideMark/>
          </w:tcPr>
          <w:p w14:paraId="129AB0F1" w14:textId="6FA7918D"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$7,433 </w:t>
            </w:r>
          </w:p>
        </w:tc>
        <w:tc>
          <w:tcPr>
            <w:tcW w:w="1605" w:type="dxa"/>
            <w:tcBorders>
              <w:top w:val="nil"/>
              <w:left w:val="nil"/>
              <w:bottom w:val="nil"/>
              <w:right w:val="nil"/>
            </w:tcBorders>
            <w:shd w:val="clear" w:color="auto" w:fill="auto"/>
            <w:noWrap/>
            <w:vAlign w:val="center"/>
            <w:hideMark/>
          </w:tcPr>
          <w:p w14:paraId="5382D9AD" w14:textId="127DB198"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$0.2177 </w:t>
            </w:r>
          </w:p>
        </w:tc>
        <w:tc>
          <w:tcPr>
            <w:tcW w:w="1232" w:type="dxa"/>
            <w:tcBorders>
              <w:top w:val="nil"/>
              <w:left w:val="nil"/>
              <w:bottom w:val="nil"/>
              <w:right w:val="nil"/>
            </w:tcBorders>
            <w:shd w:val="clear" w:color="auto" w:fill="auto"/>
            <w:noWrap/>
            <w:vAlign w:val="center"/>
            <w:hideMark/>
          </w:tcPr>
          <w:p w14:paraId="5DE5B0AA" w14:textId="754DBC5A"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632,869 </w:t>
            </w:r>
          </w:p>
        </w:tc>
        <w:tc>
          <w:tcPr>
            <w:tcW w:w="1217" w:type="dxa"/>
            <w:tcBorders>
              <w:top w:val="nil"/>
              <w:left w:val="nil"/>
              <w:bottom w:val="nil"/>
              <w:right w:val="nil"/>
            </w:tcBorders>
            <w:shd w:val="clear" w:color="auto" w:fill="auto"/>
            <w:noWrap/>
            <w:vAlign w:val="center"/>
            <w:hideMark/>
          </w:tcPr>
          <w:p w14:paraId="4FB75C66" w14:textId="5379E58E"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$135,432 </w:t>
            </w:r>
          </w:p>
        </w:tc>
        <w:tc>
          <w:tcPr>
            <w:tcW w:w="1601" w:type="dxa"/>
            <w:tcBorders>
              <w:top w:val="nil"/>
              <w:left w:val="nil"/>
              <w:bottom w:val="nil"/>
              <w:right w:val="nil"/>
            </w:tcBorders>
            <w:shd w:val="clear" w:color="auto" w:fill="auto"/>
            <w:noWrap/>
            <w:vAlign w:val="center"/>
            <w:hideMark/>
          </w:tcPr>
          <w:p w14:paraId="48608B72" w14:textId="69F59F5D"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$0.2140 </w:t>
            </w:r>
          </w:p>
        </w:tc>
      </w:tr>
      <w:tr w:rsidR="00265568" w:rsidRPr="00265568" w14:paraId="353454A0" w14:textId="77777777" w:rsidTr="00265568">
        <w:trPr>
          <w:trHeight w:val="255"/>
        </w:trPr>
        <w:tc>
          <w:tcPr>
            <w:tcW w:w="990" w:type="dxa"/>
            <w:tcBorders>
              <w:top w:val="nil"/>
              <w:left w:val="nil"/>
              <w:bottom w:val="nil"/>
              <w:right w:val="nil"/>
            </w:tcBorders>
            <w:shd w:val="clear" w:color="auto" w:fill="auto"/>
            <w:noWrap/>
            <w:vAlign w:val="center"/>
            <w:hideMark/>
          </w:tcPr>
          <w:p w14:paraId="3857C8B4" w14:textId="36B68910"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2045</w:t>
            </w:r>
          </w:p>
        </w:tc>
        <w:tc>
          <w:tcPr>
            <w:tcW w:w="1117" w:type="dxa"/>
            <w:tcBorders>
              <w:top w:val="nil"/>
              <w:left w:val="nil"/>
              <w:bottom w:val="nil"/>
              <w:right w:val="nil"/>
            </w:tcBorders>
            <w:shd w:val="clear" w:color="auto" w:fill="auto"/>
            <w:noWrap/>
            <w:vAlign w:val="center"/>
            <w:hideMark/>
          </w:tcPr>
          <w:p w14:paraId="1ABB84C0" w14:textId="5F2F1FA2"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34,140 </w:t>
            </w:r>
          </w:p>
        </w:tc>
        <w:tc>
          <w:tcPr>
            <w:tcW w:w="1598" w:type="dxa"/>
            <w:tcBorders>
              <w:top w:val="nil"/>
              <w:left w:val="nil"/>
              <w:bottom w:val="nil"/>
              <w:right w:val="nil"/>
            </w:tcBorders>
            <w:shd w:val="clear" w:color="auto" w:fill="auto"/>
            <w:noWrap/>
            <w:vAlign w:val="center"/>
            <w:hideMark/>
          </w:tcPr>
          <w:p w14:paraId="26E067AF" w14:textId="1DC843B4"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$7,433 </w:t>
            </w:r>
          </w:p>
        </w:tc>
        <w:tc>
          <w:tcPr>
            <w:tcW w:w="1605" w:type="dxa"/>
            <w:tcBorders>
              <w:top w:val="nil"/>
              <w:left w:val="nil"/>
              <w:bottom w:val="nil"/>
              <w:right w:val="nil"/>
            </w:tcBorders>
            <w:shd w:val="clear" w:color="auto" w:fill="auto"/>
            <w:noWrap/>
            <w:vAlign w:val="center"/>
            <w:hideMark/>
          </w:tcPr>
          <w:p w14:paraId="09F66551" w14:textId="19063CF5"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$0.2177 </w:t>
            </w:r>
          </w:p>
        </w:tc>
        <w:tc>
          <w:tcPr>
            <w:tcW w:w="1232" w:type="dxa"/>
            <w:tcBorders>
              <w:top w:val="nil"/>
              <w:left w:val="nil"/>
              <w:bottom w:val="nil"/>
              <w:right w:val="nil"/>
            </w:tcBorders>
            <w:shd w:val="clear" w:color="auto" w:fill="auto"/>
            <w:noWrap/>
            <w:vAlign w:val="center"/>
          </w:tcPr>
          <w:p w14:paraId="4C998581" w14:textId="7CB3F7FA" w:rsidR="00265568" w:rsidRPr="00265568" w:rsidRDefault="00265568" w:rsidP="00265568">
            <w:pPr>
              <w:spacing w:line="240" w:lineRule="auto"/>
              <w:jc w:val="right"/>
              <w:rPr>
                <w:rFonts w:ascii="Arial Narrow" w:hAnsi="Arial Narrow" w:cs="Calibri"/>
                <w:szCs w:val="18"/>
              </w:rPr>
            </w:pPr>
          </w:p>
        </w:tc>
        <w:tc>
          <w:tcPr>
            <w:tcW w:w="1217" w:type="dxa"/>
            <w:tcBorders>
              <w:top w:val="nil"/>
              <w:left w:val="nil"/>
              <w:bottom w:val="nil"/>
              <w:right w:val="nil"/>
            </w:tcBorders>
            <w:shd w:val="clear" w:color="auto" w:fill="auto"/>
            <w:noWrap/>
            <w:vAlign w:val="center"/>
          </w:tcPr>
          <w:p w14:paraId="38A37EBB" w14:textId="37C0DB90" w:rsidR="00265568" w:rsidRPr="00265568" w:rsidRDefault="00265568" w:rsidP="00265568">
            <w:pPr>
              <w:spacing w:line="240" w:lineRule="auto"/>
              <w:jc w:val="right"/>
              <w:rPr>
                <w:rFonts w:ascii="Arial Narrow" w:hAnsi="Arial Narrow" w:cs="Calibri"/>
                <w:szCs w:val="18"/>
              </w:rPr>
            </w:pPr>
          </w:p>
        </w:tc>
        <w:tc>
          <w:tcPr>
            <w:tcW w:w="1601" w:type="dxa"/>
            <w:tcBorders>
              <w:top w:val="nil"/>
              <w:left w:val="nil"/>
              <w:bottom w:val="nil"/>
              <w:right w:val="nil"/>
            </w:tcBorders>
            <w:shd w:val="clear" w:color="auto" w:fill="auto"/>
            <w:noWrap/>
            <w:vAlign w:val="center"/>
          </w:tcPr>
          <w:p w14:paraId="73418FBE" w14:textId="5AE90064" w:rsidR="00265568" w:rsidRPr="00265568" w:rsidRDefault="00265568" w:rsidP="00265568">
            <w:pPr>
              <w:spacing w:line="240" w:lineRule="auto"/>
              <w:jc w:val="right"/>
              <w:rPr>
                <w:rFonts w:ascii="Arial Narrow" w:hAnsi="Arial Narrow" w:cs="Calibri"/>
                <w:szCs w:val="18"/>
              </w:rPr>
            </w:pPr>
          </w:p>
        </w:tc>
      </w:tr>
      <w:tr w:rsidR="00265568" w:rsidRPr="00265568" w14:paraId="056FA9EE" w14:textId="77777777" w:rsidTr="00265568">
        <w:trPr>
          <w:trHeight w:val="255"/>
        </w:trPr>
        <w:tc>
          <w:tcPr>
            <w:tcW w:w="990" w:type="dxa"/>
            <w:tcBorders>
              <w:top w:val="nil"/>
              <w:left w:val="nil"/>
              <w:bottom w:val="nil"/>
              <w:right w:val="nil"/>
            </w:tcBorders>
            <w:shd w:val="clear" w:color="auto" w:fill="auto"/>
            <w:noWrap/>
            <w:vAlign w:val="center"/>
            <w:hideMark/>
          </w:tcPr>
          <w:p w14:paraId="339F477B" w14:textId="087097AB"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2046</w:t>
            </w:r>
          </w:p>
        </w:tc>
        <w:tc>
          <w:tcPr>
            <w:tcW w:w="1117" w:type="dxa"/>
            <w:tcBorders>
              <w:top w:val="nil"/>
              <w:left w:val="nil"/>
              <w:bottom w:val="nil"/>
              <w:right w:val="nil"/>
            </w:tcBorders>
            <w:shd w:val="clear" w:color="auto" w:fill="auto"/>
            <w:noWrap/>
            <w:vAlign w:val="center"/>
            <w:hideMark/>
          </w:tcPr>
          <w:p w14:paraId="00860CDC" w14:textId="256DDF20"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27,083 </w:t>
            </w:r>
          </w:p>
        </w:tc>
        <w:tc>
          <w:tcPr>
            <w:tcW w:w="1598" w:type="dxa"/>
            <w:tcBorders>
              <w:top w:val="nil"/>
              <w:left w:val="nil"/>
              <w:bottom w:val="nil"/>
              <w:right w:val="nil"/>
            </w:tcBorders>
            <w:shd w:val="clear" w:color="auto" w:fill="auto"/>
            <w:noWrap/>
            <w:vAlign w:val="center"/>
            <w:hideMark/>
          </w:tcPr>
          <w:p w14:paraId="31A7F8DD" w14:textId="54EBEAC5"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$6,119 </w:t>
            </w:r>
          </w:p>
        </w:tc>
        <w:tc>
          <w:tcPr>
            <w:tcW w:w="1605" w:type="dxa"/>
            <w:tcBorders>
              <w:top w:val="nil"/>
              <w:left w:val="nil"/>
              <w:bottom w:val="nil"/>
              <w:right w:val="nil"/>
            </w:tcBorders>
            <w:shd w:val="clear" w:color="auto" w:fill="auto"/>
            <w:noWrap/>
            <w:vAlign w:val="center"/>
            <w:hideMark/>
          </w:tcPr>
          <w:p w14:paraId="1402FED2" w14:textId="3452508A"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$0.2259 </w:t>
            </w:r>
          </w:p>
        </w:tc>
        <w:tc>
          <w:tcPr>
            <w:tcW w:w="1232" w:type="dxa"/>
            <w:tcBorders>
              <w:top w:val="nil"/>
              <w:left w:val="nil"/>
              <w:bottom w:val="nil"/>
              <w:right w:val="nil"/>
            </w:tcBorders>
            <w:shd w:val="clear" w:color="auto" w:fill="auto"/>
            <w:noWrap/>
            <w:vAlign w:val="center"/>
          </w:tcPr>
          <w:p w14:paraId="51F676AC" w14:textId="7B0DE73D" w:rsidR="00265568" w:rsidRPr="00265568" w:rsidRDefault="00265568" w:rsidP="00265568">
            <w:pPr>
              <w:spacing w:line="240" w:lineRule="auto"/>
              <w:jc w:val="right"/>
              <w:rPr>
                <w:rFonts w:ascii="Arial Narrow" w:hAnsi="Arial Narrow" w:cs="Calibri"/>
                <w:szCs w:val="18"/>
              </w:rPr>
            </w:pPr>
          </w:p>
        </w:tc>
        <w:tc>
          <w:tcPr>
            <w:tcW w:w="1217" w:type="dxa"/>
            <w:tcBorders>
              <w:top w:val="nil"/>
              <w:left w:val="nil"/>
              <w:bottom w:val="nil"/>
              <w:right w:val="nil"/>
            </w:tcBorders>
            <w:shd w:val="clear" w:color="auto" w:fill="auto"/>
            <w:noWrap/>
            <w:vAlign w:val="center"/>
          </w:tcPr>
          <w:p w14:paraId="77338567" w14:textId="0B2A911E" w:rsidR="00265568" w:rsidRPr="00265568" w:rsidRDefault="00265568" w:rsidP="00265568">
            <w:pPr>
              <w:spacing w:line="240" w:lineRule="auto"/>
              <w:jc w:val="right"/>
              <w:rPr>
                <w:rFonts w:ascii="Arial Narrow" w:hAnsi="Arial Narrow" w:cs="Calibri"/>
                <w:szCs w:val="18"/>
              </w:rPr>
            </w:pPr>
          </w:p>
        </w:tc>
        <w:tc>
          <w:tcPr>
            <w:tcW w:w="1601" w:type="dxa"/>
            <w:tcBorders>
              <w:top w:val="nil"/>
              <w:left w:val="nil"/>
              <w:bottom w:val="nil"/>
              <w:right w:val="nil"/>
            </w:tcBorders>
            <w:shd w:val="clear" w:color="auto" w:fill="auto"/>
            <w:noWrap/>
            <w:vAlign w:val="center"/>
          </w:tcPr>
          <w:p w14:paraId="0E91AB92" w14:textId="1F3D3BC4" w:rsidR="00265568" w:rsidRPr="00265568" w:rsidRDefault="00265568" w:rsidP="00265568">
            <w:pPr>
              <w:spacing w:line="240" w:lineRule="auto"/>
              <w:jc w:val="right"/>
              <w:rPr>
                <w:rFonts w:ascii="Arial Narrow" w:hAnsi="Arial Narrow" w:cs="Calibri"/>
                <w:szCs w:val="18"/>
              </w:rPr>
            </w:pPr>
          </w:p>
        </w:tc>
      </w:tr>
      <w:tr w:rsidR="00265568" w:rsidRPr="00265568" w14:paraId="4F332451" w14:textId="77777777" w:rsidTr="00265568">
        <w:trPr>
          <w:trHeight w:val="255"/>
        </w:trPr>
        <w:tc>
          <w:tcPr>
            <w:tcW w:w="990" w:type="dxa"/>
            <w:tcBorders>
              <w:top w:val="nil"/>
              <w:left w:val="nil"/>
              <w:bottom w:val="nil"/>
              <w:right w:val="nil"/>
            </w:tcBorders>
            <w:shd w:val="clear" w:color="auto" w:fill="auto"/>
            <w:noWrap/>
            <w:vAlign w:val="center"/>
            <w:hideMark/>
          </w:tcPr>
          <w:p w14:paraId="27D6B12E" w14:textId="675640E9"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2047</w:t>
            </w:r>
          </w:p>
        </w:tc>
        <w:tc>
          <w:tcPr>
            <w:tcW w:w="1117" w:type="dxa"/>
            <w:tcBorders>
              <w:top w:val="nil"/>
              <w:left w:val="nil"/>
              <w:bottom w:val="nil"/>
              <w:right w:val="nil"/>
            </w:tcBorders>
            <w:shd w:val="clear" w:color="auto" w:fill="auto"/>
            <w:noWrap/>
            <w:vAlign w:val="center"/>
            <w:hideMark/>
          </w:tcPr>
          <w:p w14:paraId="72580182" w14:textId="6C916114"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27,083 </w:t>
            </w:r>
          </w:p>
        </w:tc>
        <w:tc>
          <w:tcPr>
            <w:tcW w:w="1598" w:type="dxa"/>
            <w:tcBorders>
              <w:top w:val="nil"/>
              <w:left w:val="nil"/>
              <w:bottom w:val="nil"/>
              <w:right w:val="nil"/>
            </w:tcBorders>
            <w:shd w:val="clear" w:color="auto" w:fill="auto"/>
            <w:noWrap/>
            <w:vAlign w:val="center"/>
            <w:hideMark/>
          </w:tcPr>
          <w:p w14:paraId="353EC33A" w14:textId="76EAA1DB"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$6,119 </w:t>
            </w:r>
          </w:p>
        </w:tc>
        <w:tc>
          <w:tcPr>
            <w:tcW w:w="1605" w:type="dxa"/>
            <w:tcBorders>
              <w:top w:val="nil"/>
              <w:left w:val="nil"/>
              <w:bottom w:val="nil"/>
              <w:right w:val="nil"/>
            </w:tcBorders>
            <w:shd w:val="clear" w:color="auto" w:fill="auto"/>
            <w:noWrap/>
            <w:vAlign w:val="center"/>
            <w:hideMark/>
          </w:tcPr>
          <w:p w14:paraId="43D44A3B" w14:textId="7B04C1F3"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$0.2259 </w:t>
            </w:r>
          </w:p>
        </w:tc>
        <w:tc>
          <w:tcPr>
            <w:tcW w:w="1232" w:type="dxa"/>
            <w:tcBorders>
              <w:top w:val="nil"/>
              <w:left w:val="nil"/>
              <w:bottom w:val="nil"/>
              <w:right w:val="nil"/>
            </w:tcBorders>
            <w:shd w:val="clear" w:color="auto" w:fill="auto"/>
            <w:noWrap/>
            <w:vAlign w:val="center"/>
          </w:tcPr>
          <w:p w14:paraId="4230A22F" w14:textId="0A655DA4" w:rsidR="00265568" w:rsidRPr="00265568" w:rsidRDefault="00265568" w:rsidP="00265568">
            <w:pPr>
              <w:spacing w:line="240" w:lineRule="auto"/>
              <w:jc w:val="right"/>
              <w:rPr>
                <w:rFonts w:ascii="Arial Narrow" w:hAnsi="Arial Narrow" w:cs="Calibri"/>
                <w:szCs w:val="18"/>
              </w:rPr>
            </w:pPr>
          </w:p>
        </w:tc>
        <w:tc>
          <w:tcPr>
            <w:tcW w:w="1217" w:type="dxa"/>
            <w:tcBorders>
              <w:top w:val="nil"/>
              <w:left w:val="nil"/>
              <w:bottom w:val="nil"/>
              <w:right w:val="nil"/>
            </w:tcBorders>
            <w:shd w:val="clear" w:color="auto" w:fill="auto"/>
            <w:noWrap/>
            <w:vAlign w:val="center"/>
          </w:tcPr>
          <w:p w14:paraId="5ECABC5D" w14:textId="75243DD7" w:rsidR="00265568" w:rsidRPr="00265568" w:rsidRDefault="00265568" w:rsidP="00265568">
            <w:pPr>
              <w:spacing w:line="240" w:lineRule="auto"/>
              <w:jc w:val="right"/>
              <w:rPr>
                <w:rFonts w:ascii="Arial Narrow" w:hAnsi="Arial Narrow" w:cs="Calibri"/>
                <w:szCs w:val="18"/>
              </w:rPr>
            </w:pPr>
          </w:p>
        </w:tc>
        <w:tc>
          <w:tcPr>
            <w:tcW w:w="1601" w:type="dxa"/>
            <w:tcBorders>
              <w:top w:val="nil"/>
              <w:left w:val="nil"/>
              <w:bottom w:val="nil"/>
              <w:right w:val="nil"/>
            </w:tcBorders>
            <w:shd w:val="clear" w:color="auto" w:fill="auto"/>
            <w:noWrap/>
            <w:vAlign w:val="center"/>
          </w:tcPr>
          <w:p w14:paraId="22A92D14" w14:textId="5F6D09F7" w:rsidR="00265568" w:rsidRPr="00265568" w:rsidRDefault="00265568" w:rsidP="00265568">
            <w:pPr>
              <w:spacing w:line="240" w:lineRule="auto"/>
              <w:jc w:val="right"/>
              <w:rPr>
                <w:rFonts w:ascii="Arial Narrow" w:hAnsi="Arial Narrow" w:cs="Calibri"/>
                <w:szCs w:val="18"/>
              </w:rPr>
            </w:pPr>
          </w:p>
        </w:tc>
      </w:tr>
      <w:tr w:rsidR="00265568" w:rsidRPr="00265568" w14:paraId="6C28FEE1" w14:textId="77777777" w:rsidTr="00265568">
        <w:trPr>
          <w:trHeight w:val="255"/>
        </w:trPr>
        <w:tc>
          <w:tcPr>
            <w:tcW w:w="990" w:type="dxa"/>
            <w:tcBorders>
              <w:top w:val="nil"/>
              <w:left w:val="nil"/>
              <w:bottom w:val="nil"/>
              <w:right w:val="nil"/>
            </w:tcBorders>
            <w:shd w:val="clear" w:color="auto" w:fill="auto"/>
            <w:noWrap/>
            <w:vAlign w:val="center"/>
            <w:hideMark/>
          </w:tcPr>
          <w:p w14:paraId="78051F46" w14:textId="5C2CB416"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2048</w:t>
            </w:r>
          </w:p>
        </w:tc>
        <w:tc>
          <w:tcPr>
            <w:tcW w:w="1117" w:type="dxa"/>
            <w:tcBorders>
              <w:top w:val="nil"/>
              <w:left w:val="nil"/>
              <w:bottom w:val="single" w:sz="4" w:space="0" w:color="auto"/>
              <w:right w:val="nil"/>
            </w:tcBorders>
            <w:shd w:val="clear" w:color="auto" w:fill="auto"/>
            <w:noWrap/>
            <w:vAlign w:val="center"/>
            <w:hideMark/>
          </w:tcPr>
          <w:p w14:paraId="778DB730" w14:textId="3FA20641"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27,083 </w:t>
            </w:r>
          </w:p>
        </w:tc>
        <w:tc>
          <w:tcPr>
            <w:tcW w:w="1598" w:type="dxa"/>
            <w:tcBorders>
              <w:top w:val="nil"/>
              <w:left w:val="nil"/>
              <w:bottom w:val="nil"/>
              <w:right w:val="nil"/>
            </w:tcBorders>
            <w:shd w:val="clear" w:color="auto" w:fill="auto"/>
            <w:noWrap/>
            <w:vAlign w:val="center"/>
            <w:hideMark/>
          </w:tcPr>
          <w:p w14:paraId="12B9A8E6" w14:textId="695DB2FC"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$6,119 </w:t>
            </w:r>
          </w:p>
        </w:tc>
        <w:tc>
          <w:tcPr>
            <w:tcW w:w="1605" w:type="dxa"/>
            <w:tcBorders>
              <w:top w:val="nil"/>
              <w:left w:val="nil"/>
              <w:bottom w:val="nil"/>
              <w:right w:val="nil"/>
            </w:tcBorders>
            <w:shd w:val="clear" w:color="auto" w:fill="auto"/>
            <w:noWrap/>
            <w:vAlign w:val="center"/>
            <w:hideMark/>
          </w:tcPr>
          <w:p w14:paraId="779127CA" w14:textId="36A78881" w:rsidR="00265568" w:rsidRPr="00265568" w:rsidRDefault="00265568" w:rsidP="00265568">
            <w:pPr>
              <w:spacing w:line="240" w:lineRule="auto"/>
              <w:jc w:val="right"/>
              <w:rPr>
                <w:rFonts w:ascii="Arial Narrow" w:hAnsi="Arial Narrow" w:cs="Calibri"/>
                <w:szCs w:val="18"/>
              </w:rPr>
            </w:pPr>
            <w:r w:rsidRPr="00265568">
              <w:rPr>
                <w:rFonts w:ascii="Arial Narrow" w:hAnsi="Arial Narrow"/>
                <w:szCs w:val="18"/>
              </w:rPr>
              <w:t xml:space="preserve"> $0.2259 </w:t>
            </w:r>
          </w:p>
        </w:tc>
        <w:tc>
          <w:tcPr>
            <w:tcW w:w="1232" w:type="dxa"/>
            <w:tcBorders>
              <w:top w:val="nil"/>
              <w:left w:val="nil"/>
              <w:bottom w:val="nil"/>
              <w:right w:val="nil"/>
            </w:tcBorders>
            <w:shd w:val="clear" w:color="auto" w:fill="auto"/>
            <w:noWrap/>
            <w:vAlign w:val="center"/>
          </w:tcPr>
          <w:p w14:paraId="16B05EFB" w14:textId="613C5423" w:rsidR="00265568" w:rsidRPr="00265568" w:rsidRDefault="00265568" w:rsidP="00265568">
            <w:pPr>
              <w:spacing w:line="240" w:lineRule="auto"/>
              <w:jc w:val="right"/>
              <w:rPr>
                <w:rFonts w:ascii="Arial Narrow" w:hAnsi="Arial Narrow" w:cs="Calibri"/>
                <w:szCs w:val="18"/>
              </w:rPr>
            </w:pPr>
          </w:p>
        </w:tc>
        <w:tc>
          <w:tcPr>
            <w:tcW w:w="1217" w:type="dxa"/>
            <w:tcBorders>
              <w:top w:val="nil"/>
              <w:left w:val="nil"/>
              <w:bottom w:val="nil"/>
              <w:right w:val="nil"/>
            </w:tcBorders>
            <w:shd w:val="clear" w:color="auto" w:fill="auto"/>
            <w:noWrap/>
            <w:vAlign w:val="center"/>
          </w:tcPr>
          <w:p w14:paraId="07387A8F" w14:textId="61C1C200" w:rsidR="00265568" w:rsidRPr="00265568" w:rsidRDefault="00265568" w:rsidP="00265568">
            <w:pPr>
              <w:spacing w:line="240" w:lineRule="auto"/>
              <w:jc w:val="right"/>
              <w:rPr>
                <w:rFonts w:ascii="Arial Narrow" w:hAnsi="Arial Narrow" w:cs="Calibri"/>
                <w:szCs w:val="18"/>
              </w:rPr>
            </w:pPr>
          </w:p>
        </w:tc>
        <w:tc>
          <w:tcPr>
            <w:tcW w:w="1601" w:type="dxa"/>
            <w:tcBorders>
              <w:top w:val="nil"/>
              <w:left w:val="nil"/>
              <w:bottom w:val="nil"/>
              <w:right w:val="nil"/>
            </w:tcBorders>
            <w:shd w:val="clear" w:color="auto" w:fill="auto"/>
            <w:noWrap/>
            <w:vAlign w:val="center"/>
          </w:tcPr>
          <w:p w14:paraId="1CC27C58" w14:textId="6DC60BDB" w:rsidR="00265568" w:rsidRPr="00265568" w:rsidRDefault="00265568" w:rsidP="00265568">
            <w:pPr>
              <w:spacing w:line="240" w:lineRule="auto"/>
              <w:jc w:val="right"/>
              <w:rPr>
                <w:rFonts w:ascii="Arial Narrow" w:hAnsi="Arial Narrow" w:cs="Calibri"/>
                <w:szCs w:val="18"/>
              </w:rPr>
            </w:pPr>
          </w:p>
        </w:tc>
      </w:tr>
      <w:tr w:rsidR="00265568" w:rsidRPr="00265568" w14:paraId="6D9AB860" w14:textId="77777777" w:rsidTr="00F577DE">
        <w:trPr>
          <w:trHeight w:val="255"/>
        </w:trPr>
        <w:tc>
          <w:tcPr>
            <w:tcW w:w="990" w:type="dxa"/>
            <w:tcBorders>
              <w:top w:val="single" w:sz="4" w:space="0" w:color="auto"/>
              <w:left w:val="nil"/>
              <w:bottom w:val="single" w:sz="4" w:space="0" w:color="auto"/>
              <w:right w:val="nil"/>
            </w:tcBorders>
            <w:shd w:val="clear" w:color="auto" w:fill="auto"/>
            <w:noWrap/>
            <w:vAlign w:val="center"/>
            <w:hideMark/>
          </w:tcPr>
          <w:p w14:paraId="7BC6DF71" w14:textId="67AB4CAB" w:rsidR="00265568" w:rsidRPr="00265568" w:rsidRDefault="00265568">
            <w:pPr>
              <w:spacing w:line="240" w:lineRule="auto"/>
              <w:jc w:val="right"/>
              <w:rPr>
                <w:rFonts w:ascii="Arial Narrow" w:hAnsi="Arial Narrow" w:cs="Calibri"/>
                <w:b/>
                <w:bCs/>
                <w:szCs w:val="18"/>
              </w:rPr>
            </w:pPr>
            <w:r w:rsidRPr="00265568">
              <w:rPr>
                <w:rFonts w:ascii="Arial Narrow" w:hAnsi="Arial Narrow" w:cs="Calibri"/>
                <w:b/>
                <w:bCs/>
                <w:szCs w:val="18"/>
              </w:rPr>
              <w:t>Lifetime</w:t>
            </w:r>
          </w:p>
        </w:tc>
        <w:tc>
          <w:tcPr>
            <w:tcW w:w="1117" w:type="dxa"/>
            <w:tcBorders>
              <w:top w:val="nil"/>
              <w:left w:val="nil"/>
              <w:bottom w:val="single" w:sz="4" w:space="0" w:color="auto"/>
              <w:right w:val="nil"/>
            </w:tcBorders>
            <w:shd w:val="clear" w:color="auto" w:fill="auto"/>
            <w:noWrap/>
            <w:vAlign w:val="center"/>
            <w:hideMark/>
          </w:tcPr>
          <w:p w14:paraId="1776ECDC" w14:textId="48D52D44" w:rsidR="00265568" w:rsidRPr="00265568" w:rsidRDefault="00265568">
            <w:pPr>
              <w:spacing w:line="240" w:lineRule="auto"/>
              <w:jc w:val="right"/>
              <w:rPr>
                <w:rFonts w:ascii="Arial Narrow" w:hAnsi="Arial Narrow" w:cs="Calibri"/>
                <w:b/>
                <w:bCs/>
                <w:szCs w:val="18"/>
              </w:rPr>
            </w:pPr>
            <w:r w:rsidRPr="00265568">
              <w:rPr>
                <w:rFonts w:ascii="Arial Narrow" w:hAnsi="Arial Narrow"/>
                <w:b/>
                <w:bCs/>
                <w:szCs w:val="18"/>
              </w:rPr>
              <w:t xml:space="preserve"> 58,079,599 </w:t>
            </w:r>
          </w:p>
        </w:tc>
        <w:tc>
          <w:tcPr>
            <w:tcW w:w="1598" w:type="dxa"/>
            <w:tcBorders>
              <w:top w:val="single" w:sz="4" w:space="0" w:color="auto"/>
              <w:left w:val="nil"/>
              <w:bottom w:val="single" w:sz="4" w:space="0" w:color="auto"/>
              <w:right w:val="nil"/>
            </w:tcBorders>
            <w:shd w:val="clear" w:color="auto" w:fill="auto"/>
            <w:noWrap/>
            <w:vAlign w:val="center"/>
            <w:hideMark/>
          </w:tcPr>
          <w:p w14:paraId="486982AC" w14:textId="05979E80" w:rsidR="00265568" w:rsidRPr="00265568" w:rsidRDefault="00265568">
            <w:pPr>
              <w:spacing w:line="240" w:lineRule="auto"/>
              <w:jc w:val="right"/>
              <w:rPr>
                <w:rFonts w:ascii="Arial Narrow" w:hAnsi="Arial Narrow" w:cs="Calibri"/>
                <w:b/>
                <w:bCs/>
                <w:szCs w:val="18"/>
              </w:rPr>
            </w:pPr>
            <w:r w:rsidRPr="00265568">
              <w:rPr>
                <w:rFonts w:ascii="Arial Narrow" w:hAnsi="Arial Narrow"/>
                <w:b/>
                <w:bCs/>
                <w:szCs w:val="18"/>
              </w:rPr>
              <w:t xml:space="preserve"> $12,021,706 </w:t>
            </w:r>
          </w:p>
        </w:tc>
        <w:tc>
          <w:tcPr>
            <w:tcW w:w="1605" w:type="dxa"/>
            <w:tcBorders>
              <w:top w:val="single" w:sz="4" w:space="0" w:color="auto"/>
              <w:left w:val="nil"/>
              <w:bottom w:val="single" w:sz="4" w:space="0" w:color="auto"/>
              <w:right w:val="nil"/>
            </w:tcBorders>
            <w:shd w:val="clear" w:color="auto" w:fill="auto"/>
            <w:noWrap/>
            <w:vAlign w:val="center"/>
            <w:hideMark/>
          </w:tcPr>
          <w:p w14:paraId="12C6D6A8" w14:textId="67B2C9EC" w:rsidR="00265568" w:rsidRPr="00265568" w:rsidRDefault="00265568">
            <w:pPr>
              <w:spacing w:line="240" w:lineRule="auto"/>
              <w:jc w:val="right"/>
              <w:rPr>
                <w:rFonts w:ascii="Arial Narrow" w:hAnsi="Arial Narrow" w:cs="Calibri"/>
                <w:b/>
                <w:bCs/>
                <w:szCs w:val="18"/>
              </w:rPr>
            </w:pPr>
            <w:r w:rsidRPr="00265568">
              <w:rPr>
                <w:rFonts w:ascii="Arial Narrow" w:hAnsi="Arial Narrow"/>
                <w:b/>
                <w:bCs/>
                <w:szCs w:val="18"/>
              </w:rPr>
              <w:t xml:space="preserve"> $0.2070 </w:t>
            </w:r>
          </w:p>
        </w:tc>
        <w:tc>
          <w:tcPr>
            <w:tcW w:w="1232" w:type="dxa"/>
            <w:tcBorders>
              <w:top w:val="single" w:sz="4" w:space="0" w:color="auto"/>
              <w:left w:val="nil"/>
              <w:bottom w:val="single" w:sz="4" w:space="0" w:color="auto"/>
              <w:right w:val="nil"/>
            </w:tcBorders>
            <w:shd w:val="clear" w:color="auto" w:fill="auto"/>
            <w:noWrap/>
            <w:vAlign w:val="center"/>
            <w:hideMark/>
          </w:tcPr>
          <w:p w14:paraId="71259A29" w14:textId="35C4098A" w:rsidR="00265568" w:rsidRPr="00265568" w:rsidRDefault="00265568">
            <w:pPr>
              <w:spacing w:line="240" w:lineRule="auto"/>
              <w:jc w:val="right"/>
              <w:rPr>
                <w:rFonts w:ascii="Arial Narrow" w:hAnsi="Arial Narrow" w:cs="Calibri"/>
                <w:b/>
                <w:bCs/>
                <w:szCs w:val="18"/>
              </w:rPr>
            </w:pPr>
            <w:r w:rsidRPr="00265568">
              <w:rPr>
                <w:rFonts w:ascii="Arial Narrow" w:hAnsi="Arial Narrow"/>
                <w:b/>
                <w:bCs/>
                <w:szCs w:val="18"/>
              </w:rPr>
              <w:t xml:space="preserve"> 32,249,418 </w:t>
            </w:r>
          </w:p>
        </w:tc>
        <w:tc>
          <w:tcPr>
            <w:tcW w:w="1217" w:type="dxa"/>
            <w:tcBorders>
              <w:top w:val="single" w:sz="4" w:space="0" w:color="auto"/>
              <w:left w:val="nil"/>
              <w:bottom w:val="single" w:sz="4" w:space="0" w:color="auto"/>
              <w:right w:val="nil"/>
            </w:tcBorders>
            <w:shd w:val="clear" w:color="auto" w:fill="auto"/>
            <w:noWrap/>
            <w:vAlign w:val="center"/>
            <w:hideMark/>
          </w:tcPr>
          <w:p w14:paraId="4A97FA66" w14:textId="15A1A4AC" w:rsidR="00265568" w:rsidRPr="00265568" w:rsidRDefault="00265568">
            <w:pPr>
              <w:spacing w:line="240" w:lineRule="auto"/>
              <w:jc w:val="right"/>
              <w:rPr>
                <w:rFonts w:ascii="Arial Narrow" w:hAnsi="Arial Narrow" w:cs="Calibri"/>
                <w:b/>
                <w:bCs/>
                <w:szCs w:val="18"/>
              </w:rPr>
            </w:pPr>
            <w:r w:rsidRPr="00265568">
              <w:rPr>
                <w:rFonts w:ascii="Arial Narrow" w:hAnsi="Arial Narrow"/>
                <w:b/>
                <w:bCs/>
                <w:szCs w:val="18"/>
              </w:rPr>
              <w:t xml:space="preserve"> $6,805,481 </w:t>
            </w:r>
          </w:p>
        </w:tc>
        <w:tc>
          <w:tcPr>
            <w:tcW w:w="1601" w:type="dxa"/>
            <w:tcBorders>
              <w:top w:val="single" w:sz="4" w:space="0" w:color="auto"/>
              <w:left w:val="nil"/>
              <w:bottom w:val="single" w:sz="4" w:space="0" w:color="auto"/>
              <w:right w:val="nil"/>
            </w:tcBorders>
            <w:shd w:val="clear" w:color="auto" w:fill="auto"/>
            <w:noWrap/>
            <w:vAlign w:val="center"/>
            <w:hideMark/>
          </w:tcPr>
          <w:p w14:paraId="436DFD49" w14:textId="5C1F680A" w:rsidR="00265568" w:rsidRPr="00265568" w:rsidRDefault="00265568">
            <w:pPr>
              <w:spacing w:line="240" w:lineRule="auto"/>
              <w:jc w:val="right"/>
              <w:rPr>
                <w:rFonts w:ascii="Arial Narrow" w:hAnsi="Arial Narrow" w:cs="Calibri"/>
                <w:b/>
                <w:bCs/>
                <w:szCs w:val="18"/>
              </w:rPr>
            </w:pPr>
            <w:r w:rsidRPr="00265568">
              <w:rPr>
                <w:rFonts w:ascii="Arial Narrow" w:hAnsi="Arial Narrow"/>
                <w:b/>
                <w:bCs/>
                <w:szCs w:val="18"/>
              </w:rPr>
              <w:t xml:space="preserve"> $0.2110 </w:t>
            </w:r>
          </w:p>
        </w:tc>
      </w:tr>
    </w:tbl>
    <w:p w14:paraId="01191747" w14:textId="61B99EE2" w:rsidR="00DC73A9" w:rsidRDefault="006F3AF7" w:rsidP="003D65A0">
      <w:pPr>
        <w:rPr>
          <w:rFonts w:eastAsiaTheme="minorHAnsi"/>
          <w:sz w:val="20"/>
          <w:szCs w:val="20"/>
        </w:rPr>
      </w:pPr>
      <w:r w:rsidRPr="003250F9">
        <w:rPr>
          <w:i/>
          <w:iCs/>
          <w:sz w:val="16"/>
          <w:szCs w:val="20"/>
        </w:rPr>
        <w:t>Source: Guidehouse CY201</w:t>
      </w:r>
      <w:r>
        <w:rPr>
          <w:i/>
          <w:iCs/>
          <w:sz w:val="16"/>
          <w:szCs w:val="20"/>
        </w:rPr>
        <w:t>9</w:t>
      </w:r>
      <w:r w:rsidRPr="003250F9">
        <w:rPr>
          <w:i/>
          <w:iCs/>
          <w:sz w:val="16"/>
          <w:szCs w:val="20"/>
        </w:rPr>
        <w:t xml:space="preserve"> </w:t>
      </w:r>
      <w:r w:rsidR="00363BBB">
        <w:rPr>
          <w:i/>
          <w:iCs/>
          <w:sz w:val="16"/>
          <w:szCs w:val="20"/>
        </w:rPr>
        <w:t>Peoples</w:t>
      </w:r>
      <w:r w:rsidRPr="003250F9">
        <w:rPr>
          <w:i/>
          <w:iCs/>
          <w:sz w:val="16"/>
          <w:szCs w:val="20"/>
        </w:rPr>
        <w:t xml:space="preserve"> Gas Program Savings </w:t>
      </w:r>
      <w:r>
        <w:rPr>
          <w:i/>
          <w:iCs/>
          <w:sz w:val="16"/>
          <w:szCs w:val="20"/>
        </w:rPr>
        <w:t xml:space="preserve">Analysis </w:t>
      </w:r>
      <w:r w:rsidRPr="003250F9">
        <w:rPr>
          <w:i/>
          <w:iCs/>
          <w:sz w:val="16"/>
          <w:szCs w:val="20"/>
        </w:rPr>
        <w:t>data and COBRA model</w:t>
      </w:r>
      <w:r>
        <w:rPr>
          <w:i/>
          <w:iCs/>
          <w:sz w:val="16"/>
          <w:szCs w:val="20"/>
        </w:rPr>
        <w:t>.</w:t>
      </w:r>
    </w:p>
    <w:p w14:paraId="14C802DC" w14:textId="582279DA" w:rsidR="00DC73A9" w:rsidRDefault="00DC73A9" w:rsidP="003D65A0">
      <w:pPr>
        <w:rPr>
          <w:rFonts w:eastAsiaTheme="minorHAnsi"/>
          <w:sz w:val="20"/>
          <w:szCs w:val="20"/>
        </w:rPr>
      </w:pPr>
    </w:p>
    <w:p w14:paraId="3DA9886C" w14:textId="2BE3641D" w:rsidR="00DC73A9" w:rsidRDefault="00DC73A9" w:rsidP="003D65A0">
      <w:pPr>
        <w:rPr>
          <w:rFonts w:eastAsiaTheme="minorHAnsi"/>
          <w:sz w:val="20"/>
          <w:szCs w:val="20"/>
        </w:rPr>
      </w:pPr>
    </w:p>
    <w:p w14:paraId="5751A05B" w14:textId="0A45C794" w:rsidR="00DC73A9" w:rsidRPr="00304BF4" w:rsidRDefault="00DC73A9" w:rsidP="00D562CB">
      <w:pPr>
        <w:pStyle w:val="Caption"/>
        <w:keepNext/>
        <w:pageBreakBefore/>
        <w:spacing w:after="120"/>
        <w:jc w:val="center"/>
        <w:rPr>
          <w:rFonts w:eastAsiaTheme="minorHAnsi" w:cstheme="minorBidi"/>
          <w:b/>
          <w:bCs/>
          <w:color w:val="93D500" w:themeColor="accent1"/>
          <w:sz w:val="20"/>
          <w:szCs w:val="20"/>
        </w:rPr>
      </w:pPr>
      <w:bookmarkStart w:id="23" w:name="_Ref51828938"/>
      <w:r w:rsidRPr="00156E3E">
        <w:rPr>
          <w:rFonts w:eastAsiaTheme="minorHAnsi" w:cstheme="minorBidi"/>
          <w:b/>
          <w:bCs/>
          <w:i w:val="0"/>
          <w:iCs w:val="0"/>
          <w:color w:val="93D500" w:themeColor="accent1"/>
          <w:sz w:val="20"/>
          <w:szCs w:val="20"/>
        </w:rPr>
        <w:lastRenderedPageBreak/>
        <w:t xml:space="preserve">Table </w:t>
      </w:r>
      <w:r w:rsidRPr="00156E3E">
        <w:rPr>
          <w:rFonts w:eastAsiaTheme="minorHAnsi" w:cstheme="minorBidi"/>
          <w:b/>
          <w:bCs/>
          <w:i w:val="0"/>
          <w:iCs w:val="0"/>
          <w:color w:val="93D500" w:themeColor="accent1"/>
          <w:sz w:val="20"/>
          <w:szCs w:val="20"/>
        </w:rPr>
        <w:fldChar w:fldCharType="begin"/>
      </w:r>
      <w:r w:rsidRPr="00156E3E">
        <w:rPr>
          <w:rFonts w:eastAsiaTheme="minorHAnsi" w:cstheme="minorBidi"/>
          <w:b/>
          <w:bCs/>
          <w:i w:val="0"/>
          <w:iCs w:val="0"/>
          <w:color w:val="93D500" w:themeColor="accent1"/>
          <w:sz w:val="20"/>
          <w:szCs w:val="20"/>
        </w:rPr>
        <w:instrText xml:space="preserve"> SEQ Table \* ARABIC </w:instrText>
      </w:r>
      <w:r w:rsidRPr="00156E3E">
        <w:rPr>
          <w:rFonts w:eastAsiaTheme="minorHAnsi" w:cstheme="minorBidi"/>
          <w:b/>
          <w:bCs/>
          <w:i w:val="0"/>
          <w:iCs w:val="0"/>
          <w:color w:val="93D500" w:themeColor="accent1"/>
          <w:sz w:val="20"/>
          <w:szCs w:val="20"/>
        </w:rPr>
        <w:fldChar w:fldCharType="separate"/>
      </w:r>
      <w:r w:rsidR="00DD5440">
        <w:rPr>
          <w:rFonts w:eastAsiaTheme="minorHAnsi" w:cstheme="minorBidi"/>
          <w:b/>
          <w:bCs/>
          <w:i w:val="0"/>
          <w:iCs w:val="0"/>
          <w:noProof/>
          <w:color w:val="93D500" w:themeColor="accent1"/>
          <w:sz w:val="20"/>
          <w:szCs w:val="20"/>
        </w:rPr>
        <w:t>14</w:t>
      </w:r>
      <w:r w:rsidRPr="00156E3E">
        <w:rPr>
          <w:rFonts w:eastAsiaTheme="minorHAnsi" w:cstheme="minorBidi"/>
          <w:b/>
          <w:bCs/>
          <w:i w:val="0"/>
          <w:iCs w:val="0"/>
          <w:color w:val="93D500" w:themeColor="accent1"/>
          <w:sz w:val="20"/>
          <w:szCs w:val="20"/>
        </w:rPr>
        <w:fldChar w:fldCharType="end"/>
      </w:r>
      <w:bookmarkEnd w:id="23"/>
      <w:r w:rsidRPr="00156E3E">
        <w:rPr>
          <w:rFonts w:eastAsiaTheme="minorHAnsi" w:cstheme="minorBidi"/>
          <w:b/>
          <w:bCs/>
          <w:i w:val="0"/>
          <w:iCs w:val="0"/>
          <w:color w:val="93D500" w:themeColor="accent1"/>
          <w:sz w:val="20"/>
          <w:szCs w:val="20"/>
        </w:rPr>
        <w:t xml:space="preserve">. </w:t>
      </w:r>
      <w:r w:rsidRPr="00304BF4">
        <w:rPr>
          <w:rFonts w:eastAsiaTheme="minorHAnsi" w:cstheme="minorBidi"/>
          <w:b/>
          <w:bCs/>
          <w:i w:val="0"/>
          <w:iCs w:val="0"/>
          <w:color w:val="93D500" w:themeColor="accent1"/>
          <w:sz w:val="20"/>
          <w:szCs w:val="20"/>
        </w:rPr>
        <w:t>Sector Level Dollars per Therms Savings – CY2025</w:t>
      </w:r>
      <w:r w:rsidR="00E01A0C">
        <w:rPr>
          <w:rFonts w:eastAsiaTheme="minorHAnsi" w:cstheme="minorBidi"/>
          <w:b/>
          <w:bCs/>
          <w:i w:val="0"/>
          <w:iCs w:val="0"/>
          <w:color w:val="93D500" w:themeColor="accent1"/>
          <w:sz w:val="20"/>
          <w:szCs w:val="20"/>
        </w:rPr>
        <w:t xml:space="preserve"> (Real Dollars)</w:t>
      </w:r>
    </w:p>
    <w:tbl>
      <w:tblPr>
        <w:tblW w:w="9360" w:type="dxa"/>
        <w:tblLook w:val="04A0" w:firstRow="1" w:lastRow="0" w:firstColumn="1" w:lastColumn="0" w:noHBand="0" w:noVBand="1"/>
      </w:tblPr>
      <w:tblGrid>
        <w:gridCol w:w="990"/>
        <w:gridCol w:w="1117"/>
        <w:gridCol w:w="1598"/>
        <w:gridCol w:w="1605"/>
        <w:gridCol w:w="1232"/>
        <w:gridCol w:w="1217"/>
        <w:gridCol w:w="1601"/>
      </w:tblGrid>
      <w:tr w:rsidR="00304BF4" w:rsidRPr="00265568" w14:paraId="1FD68806" w14:textId="77777777" w:rsidTr="00265568">
        <w:trPr>
          <w:trHeight w:val="825"/>
          <w:tblHeader/>
        </w:trPr>
        <w:tc>
          <w:tcPr>
            <w:tcW w:w="990" w:type="dxa"/>
            <w:tcBorders>
              <w:top w:val="nil"/>
              <w:left w:val="nil"/>
              <w:bottom w:val="single" w:sz="12" w:space="0" w:color="93D500"/>
              <w:right w:val="nil"/>
            </w:tcBorders>
            <w:shd w:val="clear" w:color="000000" w:fill="53575A"/>
            <w:vAlign w:val="center"/>
            <w:hideMark/>
          </w:tcPr>
          <w:p w14:paraId="6C7ACCB4" w14:textId="77777777" w:rsidR="00DC73A9" w:rsidRPr="00265568" w:rsidRDefault="00DC73A9" w:rsidP="00265568">
            <w:pPr>
              <w:spacing w:line="240" w:lineRule="auto"/>
              <w:jc w:val="right"/>
              <w:rPr>
                <w:rFonts w:ascii="Arial Narrow" w:hAnsi="Arial Narrow" w:cstheme="majorHAnsi"/>
                <w:b/>
                <w:bCs/>
                <w:color w:val="FFFFFF"/>
                <w:szCs w:val="18"/>
              </w:rPr>
            </w:pPr>
            <w:r w:rsidRPr="00265568">
              <w:rPr>
                <w:rFonts w:ascii="Arial Narrow" w:hAnsi="Arial Narrow" w:cstheme="majorHAnsi"/>
                <w:b/>
                <w:bCs/>
                <w:color w:val="FFFFFF"/>
                <w:szCs w:val="18"/>
              </w:rPr>
              <w:t>Year</w:t>
            </w:r>
          </w:p>
        </w:tc>
        <w:tc>
          <w:tcPr>
            <w:tcW w:w="1117" w:type="dxa"/>
            <w:tcBorders>
              <w:top w:val="nil"/>
              <w:left w:val="nil"/>
              <w:bottom w:val="single" w:sz="12" w:space="0" w:color="93D500"/>
              <w:right w:val="nil"/>
            </w:tcBorders>
            <w:shd w:val="clear" w:color="000000" w:fill="53575A"/>
            <w:vAlign w:val="center"/>
            <w:hideMark/>
          </w:tcPr>
          <w:p w14:paraId="3E0C15E5" w14:textId="77777777" w:rsidR="00DC73A9" w:rsidRPr="00265568" w:rsidRDefault="00DC73A9" w:rsidP="00265568">
            <w:pPr>
              <w:spacing w:line="240" w:lineRule="auto"/>
              <w:jc w:val="right"/>
              <w:rPr>
                <w:rFonts w:ascii="Arial Narrow" w:hAnsi="Arial Narrow" w:cstheme="majorHAnsi"/>
                <w:b/>
                <w:bCs/>
                <w:color w:val="FFFFFF"/>
                <w:szCs w:val="18"/>
              </w:rPr>
            </w:pPr>
            <w:r w:rsidRPr="00265568">
              <w:rPr>
                <w:rFonts w:ascii="Arial Narrow" w:hAnsi="Arial Narrow" w:cstheme="majorHAnsi"/>
                <w:b/>
                <w:bCs/>
                <w:color w:val="FFFFFF"/>
                <w:szCs w:val="18"/>
              </w:rPr>
              <w:t>Therms Savings (Residential)</w:t>
            </w:r>
          </w:p>
        </w:tc>
        <w:tc>
          <w:tcPr>
            <w:tcW w:w="1598" w:type="dxa"/>
            <w:tcBorders>
              <w:top w:val="nil"/>
              <w:left w:val="nil"/>
              <w:bottom w:val="single" w:sz="12" w:space="0" w:color="93D500"/>
              <w:right w:val="nil"/>
            </w:tcBorders>
            <w:shd w:val="clear" w:color="000000" w:fill="53575A"/>
            <w:vAlign w:val="center"/>
            <w:hideMark/>
          </w:tcPr>
          <w:p w14:paraId="70B0B972" w14:textId="77777777" w:rsidR="00DC73A9" w:rsidRPr="00265568" w:rsidRDefault="00DC73A9" w:rsidP="00265568">
            <w:pPr>
              <w:spacing w:line="240" w:lineRule="auto"/>
              <w:jc w:val="right"/>
              <w:rPr>
                <w:rFonts w:ascii="Arial Narrow" w:hAnsi="Arial Narrow" w:cstheme="majorHAnsi"/>
                <w:b/>
                <w:bCs/>
                <w:color w:val="FFFFFF"/>
                <w:szCs w:val="18"/>
              </w:rPr>
            </w:pPr>
            <w:r w:rsidRPr="00265568">
              <w:rPr>
                <w:rFonts w:ascii="Arial Narrow" w:hAnsi="Arial Narrow" w:cstheme="majorHAnsi"/>
                <w:b/>
                <w:bCs/>
                <w:color w:val="FFFFFF"/>
                <w:szCs w:val="18"/>
              </w:rPr>
              <w:t>$ Total Health Benefits (average)</w:t>
            </w:r>
            <w:r w:rsidRPr="00265568">
              <w:rPr>
                <w:rFonts w:ascii="Arial Narrow" w:hAnsi="Arial Narrow" w:cstheme="majorHAnsi"/>
                <w:szCs w:val="18"/>
              </w:rPr>
              <w:t> </w:t>
            </w:r>
          </w:p>
        </w:tc>
        <w:tc>
          <w:tcPr>
            <w:tcW w:w="1605" w:type="dxa"/>
            <w:tcBorders>
              <w:top w:val="nil"/>
              <w:left w:val="nil"/>
              <w:bottom w:val="single" w:sz="12" w:space="0" w:color="93D500"/>
              <w:right w:val="nil"/>
            </w:tcBorders>
            <w:shd w:val="clear" w:color="000000" w:fill="53575A"/>
            <w:vAlign w:val="center"/>
            <w:hideMark/>
          </w:tcPr>
          <w:p w14:paraId="46C740A7" w14:textId="13345129" w:rsidR="00DC73A9" w:rsidRPr="00265568" w:rsidRDefault="00DC73A9" w:rsidP="00265568">
            <w:pPr>
              <w:spacing w:line="240" w:lineRule="auto"/>
              <w:jc w:val="right"/>
              <w:rPr>
                <w:rFonts w:ascii="Arial Narrow" w:hAnsi="Arial Narrow" w:cstheme="majorHAnsi"/>
                <w:b/>
                <w:bCs/>
                <w:color w:val="FFFFFF"/>
                <w:szCs w:val="18"/>
              </w:rPr>
            </w:pPr>
            <w:r w:rsidRPr="00265568">
              <w:rPr>
                <w:rFonts w:ascii="Arial Narrow" w:hAnsi="Arial Narrow" w:cstheme="majorHAnsi"/>
                <w:b/>
                <w:bCs/>
                <w:color w:val="FFFFFF"/>
                <w:szCs w:val="18"/>
              </w:rPr>
              <w:t xml:space="preserve">$Total Health Benefits per Therm </w:t>
            </w:r>
            <w:r w:rsidR="00151A27" w:rsidRPr="00265568">
              <w:rPr>
                <w:rFonts w:ascii="Arial Narrow" w:hAnsi="Arial Narrow" w:cstheme="majorHAnsi"/>
                <w:b/>
                <w:bCs/>
                <w:color w:val="FFFFFF"/>
                <w:szCs w:val="18"/>
              </w:rPr>
              <w:t>(average)</w:t>
            </w:r>
          </w:p>
        </w:tc>
        <w:tc>
          <w:tcPr>
            <w:tcW w:w="1232" w:type="dxa"/>
            <w:tcBorders>
              <w:top w:val="nil"/>
              <w:left w:val="nil"/>
              <w:bottom w:val="single" w:sz="12" w:space="0" w:color="93D500"/>
              <w:right w:val="nil"/>
            </w:tcBorders>
            <w:shd w:val="clear" w:color="000000" w:fill="53575A"/>
            <w:vAlign w:val="center"/>
            <w:hideMark/>
          </w:tcPr>
          <w:p w14:paraId="6508126B" w14:textId="77777777" w:rsidR="00DC73A9" w:rsidRPr="00265568" w:rsidRDefault="00DC73A9" w:rsidP="00265568">
            <w:pPr>
              <w:spacing w:line="240" w:lineRule="auto"/>
              <w:jc w:val="right"/>
              <w:rPr>
                <w:rFonts w:ascii="Arial Narrow" w:hAnsi="Arial Narrow" w:cstheme="majorHAnsi"/>
                <w:b/>
                <w:bCs/>
                <w:color w:val="FFFFFF"/>
                <w:szCs w:val="18"/>
              </w:rPr>
            </w:pPr>
            <w:r w:rsidRPr="00265568">
              <w:rPr>
                <w:rFonts w:ascii="Arial Narrow" w:hAnsi="Arial Narrow" w:cstheme="majorHAnsi"/>
                <w:b/>
                <w:bCs/>
                <w:color w:val="FFFFFF"/>
                <w:szCs w:val="18"/>
              </w:rPr>
              <w:t>Therms Savings (Non-Residential)</w:t>
            </w:r>
          </w:p>
        </w:tc>
        <w:tc>
          <w:tcPr>
            <w:tcW w:w="1217" w:type="dxa"/>
            <w:tcBorders>
              <w:top w:val="nil"/>
              <w:left w:val="nil"/>
              <w:bottom w:val="single" w:sz="12" w:space="0" w:color="93D500"/>
              <w:right w:val="nil"/>
            </w:tcBorders>
            <w:shd w:val="clear" w:color="000000" w:fill="53575A"/>
            <w:vAlign w:val="center"/>
            <w:hideMark/>
          </w:tcPr>
          <w:p w14:paraId="01B78537" w14:textId="77777777" w:rsidR="00DC73A9" w:rsidRPr="00265568" w:rsidRDefault="00DC73A9" w:rsidP="00265568">
            <w:pPr>
              <w:spacing w:line="240" w:lineRule="auto"/>
              <w:jc w:val="right"/>
              <w:rPr>
                <w:rFonts w:ascii="Arial Narrow" w:hAnsi="Arial Narrow" w:cstheme="majorHAnsi"/>
                <w:b/>
                <w:bCs/>
                <w:color w:val="FFFFFF"/>
                <w:szCs w:val="18"/>
              </w:rPr>
            </w:pPr>
            <w:r w:rsidRPr="00265568">
              <w:rPr>
                <w:rFonts w:ascii="Arial Narrow" w:hAnsi="Arial Narrow" w:cstheme="majorHAnsi"/>
                <w:b/>
                <w:bCs/>
                <w:color w:val="FFFFFF"/>
                <w:szCs w:val="18"/>
              </w:rPr>
              <w:t>$ Total Health Benefits (average) </w:t>
            </w:r>
          </w:p>
        </w:tc>
        <w:tc>
          <w:tcPr>
            <w:tcW w:w="1601" w:type="dxa"/>
            <w:tcBorders>
              <w:top w:val="nil"/>
              <w:left w:val="nil"/>
              <w:bottom w:val="single" w:sz="12" w:space="0" w:color="93D500"/>
              <w:right w:val="nil"/>
            </w:tcBorders>
            <w:shd w:val="clear" w:color="000000" w:fill="53575A"/>
            <w:vAlign w:val="center"/>
            <w:hideMark/>
          </w:tcPr>
          <w:p w14:paraId="787E497F" w14:textId="624B4382" w:rsidR="00DC73A9" w:rsidRPr="00265568" w:rsidRDefault="00DC73A9" w:rsidP="00265568">
            <w:pPr>
              <w:spacing w:line="240" w:lineRule="auto"/>
              <w:jc w:val="right"/>
              <w:rPr>
                <w:rFonts w:ascii="Arial Narrow" w:hAnsi="Arial Narrow" w:cstheme="majorHAnsi"/>
                <w:b/>
                <w:bCs/>
                <w:color w:val="FFFFFF"/>
                <w:szCs w:val="18"/>
              </w:rPr>
            </w:pPr>
            <w:r w:rsidRPr="00265568">
              <w:rPr>
                <w:rFonts w:ascii="Arial Narrow" w:hAnsi="Arial Narrow" w:cstheme="majorHAnsi"/>
                <w:b/>
                <w:bCs/>
                <w:color w:val="FFFFFF"/>
                <w:szCs w:val="18"/>
              </w:rPr>
              <w:t xml:space="preserve">$Total Health Benefits per Therm </w:t>
            </w:r>
            <w:r w:rsidR="00151A27" w:rsidRPr="00265568">
              <w:rPr>
                <w:rFonts w:ascii="Arial Narrow" w:hAnsi="Arial Narrow" w:cstheme="majorHAnsi"/>
                <w:b/>
                <w:bCs/>
                <w:color w:val="FFFFFF"/>
                <w:szCs w:val="18"/>
              </w:rPr>
              <w:t>(average)</w:t>
            </w:r>
          </w:p>
        </w:tc>
      </w:tr>
      <w:tr w:rsidR="00265568" w:rsidRPr="00265568" w14:paraId="3498208D" w14:textId="77777777" w:rsidTr="00265568">
        <w:trPr>
          <w:trHeight w:val="270"/>
        </w:trPr>
        <w:tc>
          <w:tcPr>
            <w:tcW w:w="990" w:type="dxa"/>
            <w:tcBorders>
              <w:top w:val="nil"/>
              <w:left w:val="nil"/>
              <w:bottom w:val="nil"/>
              <w:right w:val="nil"/>
            </w:tcBorders>
            <w:shd w:val="clear" w:color="auto" w:fill="auto"/>
            <w:noWrap/>
            <w:vAlign w:val="center"/>
            <w:hideMark/>
          </w:tcPr>
          <w:p w14:paraId="042D148B" w14:textId="20F4C4BC"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cstheme="majorHAnsi"/>
                <w:szCs w:val="18"/>
              </w:rPr>
              <w:t>2025</w:t>
            </w:r>
          </w:p>
        </w:tc>
        <w:tc>
          <w:tcPr>
            <w:tcW w:w="1117" w:type="dxa"/>
            <w:tcBorders>
              <w:top w:val="nil"/>
              <w:left w:val="nil"/>
              <w:bottom w:val="nil"/>
              <w:right w:val="nil"/>
            </w:tcBorders>
            <w:shd w:val="clear" w:color="auto" w:fill="auto"/>
            <w:noWrap/>
            <w:vAlign w:val="center"/>
            <w:hideMark/>
          </w:tcPr>
          <w:p w14:paraId="5079BB1D" w14:textId="61D5C5BD"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5,944,299 </w:t>
            </w:r>
          </w:p>
        </w:tc>
        <w:tc>
          <w:tcPr>
            <w:tcW w:w="1598" w:type="dxa"/>
            <w:tcBorders>
              <w:top w:val="nil"/>
              <w:left w:val="nil"/>
              <w:bottom w:val="nil"/>
              <w:right w:val="nil"/>
            </w:tcBorders>
            <w:shd w:val="clear" w:color="auto" w:fill="auto"/>
            <w:noWrap/>
            <w:vAlign w:val="center"/>
            <w:hideMark/>
          </w:tcPr>
          <w:p w14:paraId="690C1E3A" w14:textId="4FA640DC"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$1,202,857 </w:t>
            </w:r>
          </w:p>
        </w:tc>
        <w:tc>
          <w:tcPr>
            <w:tcW w:w="1605" w:type="dxa"/>
            <w:tcBorders>
              <w:top w:val="nil"/>
              <w:left w:val="nil"/>
              <w:bottom w:val="nil"/>
              <w:right w:val="nil"/>
            </w:tcBorders>
            <w:shd w:val="clear" w:color="auto" w:fill="auto"/>
            <w:noWrap/>
            <w:vAlign w:val="center"/>
            <w:hideMark/>
          </w:tcPr>
          <w:p w14:paraId="10F076FB" w14:textId="4DB1821E"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$0.2024 </w:t>
            </w:r>
          </w:p>
        </w:tc>
        <w:tc>
          <w:tcPr>
            <w:tcW w:w="1232" w:type="dxa"/>
            <w:tcBorders>
              <w:top w:val="nil"/>
              <w:left w:val="nil"/>
              <w:bottom w:val="nil"/>
              <w:right w:val="nil"/>
            </w:tcBorders>
            <w:shd w:val="clear" w:color="auto" w:fill="auto"/>
            <w:noWrap/>
            <w:vAlign w:val="center"/>
            <w:hideMark/>
          </w:tcPr>
          <w:p w14:paraId="741141D7" w14:textId="09A2D3AA"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3,968,899 </w:t>
            </w:r>
          </w:p>
        </w:tc>
        <w:tc>
          <w:tcPr>
            <w:tcW w:w="1217" w:type="dxa"/>
            <w:tcBorders>
              <w:top w:val="nil"/>
              <w:left w:val="nil"/>
              <w:bottom w:val="nil"/>
              <w:right w:val="nil"/>
            </w:tcBorders>
            <w:shd w:val="clear" w:color="auto" w:fill="auto"/>
            <w:noWrap/>
            <w:vAlign w:val="center"/>
            <w:hideMark/>
          </w:tcPr>
          <w:p w14:paraId="5517B9F5" w14:textId="4863AA4B"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$821,856 </w:t>
            </w:r>
          </w:p>
        </w:tc>
        <w:tc>
          <w:tcPr>
            <w:tcW w:w="1601" w:type="dxa"/>
            <w:tcBorders>
              <w:top w:val="nil"/>
              <w:left w:val="nil"/>
              <w:bottom w:val="nil"/>
              <w:right w:val="nil"/>
            </w:tcBorders>
            <w:shd w:val="clear" w:color="auto" w:fill="auto"/>
            <w:noWrap/>
            <w:vAlign w:val="center"/>
            <w:hideMark/>
          </w:tcPr>
          <w:p w14:paraId="0A45D8BA" w14:textId="44848F1E"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$0.2071 </w:t>
            </w:r>
          </w:p>
        </w:tc>
      </w:tr>
      <w:tr w:rsidR="00265568" w:rsidRPr="00265568" w14:paraId="2B5F4AC1" w14:textId="77777777" w:rsidTr="00265568">
        <w:trPr>
          <w:trHeight w:val="255"/>
        </w:trPr>
        <w:tc>
          <w:tcPr>
            <w:tcW w:w="990" w:type="dxa"/>
            <w:tcBorders>
              <w:top w:val="nil"/>
              <w:left w:val="nil"/>
              <w:bottom w:val="nil"/>
              <w:right w:val="nil"/>
            </w:tcBorders>
            <w:shd w:val="clear" w:color="auto" w:fill="auto"/>
            <w:noWrap/>
            <w:vAlign w:val="center"/>
            <w:hideMark/>
          </w:tcPr>
          <w:p w14:paraId="4B2597EA" w14:textId="67BB9099"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cstheme="majorHAnsi"/>
                <w:szCs w:val="18"/>
              </w:rPr>
              <w:t>2026</w:t>
            </w:r>
          </w:p>
        </w:tc>
        <w:tc>
          <w:tcPr>
            <w:tcW w:w="1117" w:type="dxa"/>
            <w:tcBorders>
              <w:top w:val="nil"/>
              <w:left w:val="nil"/>
              <w:bottom w:val="nil"/>
              <w:right w:val="nil"/>
            </w:tcBorders>
            <w:shd w:val="clear" w:color="auto" w:fill="auto"/>
            <w:noWrap/>
            <w:vAlign w:val="center"/>
            <w:hideMark/>
          </w:tcPr>
          <w:p w14:paraId="7C41CBEA" w14:textId="36EAE662"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5,897,053 </w:t>
            </w:r>
          </w:p>
        </w:tc>
        <w:tc>
          <w:tcPr>
            <w:tcW w:w="1598" w:type="dxa"/>
            <w:tcBorders>
              <w:top w:val="nil"/>
              <w:left w:val="nil"/>
              <w:bottom w:val="nil"/>
              <w:right w:val="nil"/>
            </w:tcBorders>
            <w:shd w:val="clear" w:color="auto" w:fill="auto"/>
            <w:noWrap/>
            <w:vAlign w:val="center"/>
            <w:hideMark/>
          </w:tcPr>
          <w:p w14:paraId="0338BD08" w14:textId="0DB43BC9"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$1,193,341 </w:t>
            </w:r>
          </w:p>
        </w:tc>
        <w:tc>
          <w:tcPr>
            <w:tcW w:w="1605" w:type="dxa"/>
            <w:tcBorders>
              <w:top w:val="nil"/>
              <w:left w:val="nil"/>
              <w:bottom w:val="nil"/>
              <w:right w:val="nil"/>
            </w:tcBorders>
            <w:shd w:val="clear" w:color="auto" w:fill="auto"/>
            <w:noWrap/>
            <w:vAlign w:val="center"/>
            <w:hideMark/>
          </w:tcPr>
          <w:p w14:paraId="32B89A79" w14:textId="2CD72C35"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$0.2024 </w:t>
            </w:r>
          </w:p>
        </w:tc>
        <w:tc>
          <w:tcPr>
            <w:tcW w:w="1232" w:type="dxa"/>
            <w:tcBorders>
              <w:top w:val="nil"/>
              <w:left w:val="nil"/>
              <w:bottom w:val="nil"/>
              <w:right w:val="nil"/>
            </w:tcBorders>
            <w:shd w:val="clear" w:color="auto" w:fill="auto"/>
            <w:noWrap/>
            <w:vAlign w:val="center"/>
            <w:hideMark/>
          </w:tcPr>
          <w:p w14:paraId="6F0AE122" w14:textId="56D92C9D"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3,968,899 </w:t>
            </w:r>
          </w:p>
        </w:tc>
        <w:tc>
          <w:tcPr>
            <w:tcW w:w="1217" w:type="dxa"/>
            <w:tcBorders>
              <w:top w:val="nil"/>
              <w:left w:val="nil"/>
              <w:bottom w:val="nil"/>
              <w:right w:val="nil"/>
            </w:tcBorders>
            <w:shd w:val="clear" w:color="auto" w:fill="auto"/>
            <w:noWrap/>
            <w:vAlign w:val="center"/>
            <w:hideMark/>
          </w:tcPr>
          <w:p w14:paraId="0F6BC9A5" w14:textId="5BFFBC6B"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$821,856 </w:t>
            </w:r>
          </w:p>
        </w:tc>
        <w:tc>
          <w:tcPr>
            <w:tcW w:w="1601" w:type="dxa"/>
            <w:tcBorders>
              <w:top w:val="nil"/>
              <w:left w:val="nil"/>
              <w:bottom w:val="nil"/>
              <w:right w:val="nil"/>
            </w:tcBorders>
            <w:shd w:val="clear" w:color="auto" w:fill="auto"/>
            <w:noWrap/>
            <w:vAlign w:val="center"/>
            <w:hideMark/>
          </w:tcPr>
          <w:p w14:paraId="35236ED2" w14:textId="108B96F5"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$0.2071 </w:t>
            </w:r>
          </w:p>
        </w:tc>
      </w:tr>
      <w:tr w:rsidR="00265568" w:rsidRPr="00265568" w14:paraId="73E1AA62" w14:textId="77777777" w:rsidTr="00265568">
        <w:trPr>
          <w:trHeight w:val="255"/>
        </w:trPr>
        <w:tc>
          <w:tcPr>
            <w:tcW w:w="990" w:type="dxa"/>
            <w:tcBorders>
              <w:top w:val="nil"/>
              <w:left w:val="nil"/>
              <w:bottom w:val="nil"/>
              <w:right w:val="nil"/>
            </w:tcBorders>
            <w:shd w:val="clear" w:color="auto" w:fill="auto"/>
            <w:noWrap/>
            <w:vAlign w:val="center"/>
            <w:hideMark/>
          </w:tcPr>
          <w:p w14:paraId="01C38723" w14:textId="7D60B02A"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cstheme="majorHAnsi"/>
                <w:szCs w:val="18"/>
              </w:rPr>
              <w:t>2027</w:t>
            </w:r>
          </w:p>
        </w:tc>
        <w:tc>
          <w:tcPr>
            <w:tcW w:w="1117" w:type="dxa"/>
            <w:tcBorders>
              <w:top w:val="nil"/>
              <w:left w:val="nil"/>
              <w:bottom w:val="nil"/>
              <w:right w:val="nil"/>
            </w:tcBorders>
            <w:shd w:val="clear" w:color="auto" w:fill="auto"/>
            <w:noWrap/>
            <w:vAlign w:val="center"/>
            <w:hideMark/>
          </w:tcPr>
          <w:p w14:paraId="452405F5" w14:textId="2F3835A5"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5,788,718 </w:t>
            </w:r>
          </w:p>
        </w:tc>
        <w:tc>
          <w:tcPr>
            <w:tcW w:w="1598" w:type="dxa"/>
            <w:tcBorders>
              <w:top w:val="nil"/>
              <w:left w:val="nil"/>
              <w:bottom w:val="nil"/>
              <w:right w:val="nil"/>
            </w:tcBorders>
            <w:shd w:val="clear" w:color="auto" w:fill="auto"/>
            <w:noWrap/>
            <w:vAlign w:val="center"/>
            <w:hideMark/>
          </w:tcPr>
          <w:p w14:paraId="12056359" w14:textId="67766BB5"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$1,171,491 </w:t>
            </w:r>
          </w:p>
        </w:tc>
        <w:tc>
          <w:tcPr>
            <w:tcW w:w="1605" w:type="dxa"/>
            <w:tcBorders>
              <w:top w:val="nil"/>
              <w:left w:val="nil"/>
              <w:bottom w:val="nil"/>
              <w:right w:val="nil"/>
            </w:tcBorders>
            <w:shd w:val="clear" w:color="auto" w:fill="auto"/>
            <w:noWrap/>
            <w:vAlign w:val="center"/>
            <w:hideMark/>
          </w:tcPr>
          <w:p w14:paraId="73C1018E" w14:textId="663349E8"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$0.2024 </w:t>
            </w:r>
          </w:p>
        </w:tc>
        <w:tc>
          <w:tcPr>
            <w:tcW w:w="1232" w:type="dxa"/>
            <w:tcBorders>
              <w:top w:val="nil"/>
              <w:left w:val="nil"/>
              <w:bottom w:val="nil"/>
              <w:right w:val="nil"/>
            </w:tcBorders>
            <w:shd w:val="clear" w:color="auto" w:fill="auto"/>
            <w:noWrap/>
            <w:vAlign w:val="center"/>
            <w:hideMark/>
          </w:tcPr>
          <w:p w14:paraId="4E659594" w14:textId="3956DB85"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3,968,899 </w:t>
            </w:r>
          </w:p>
        </w:tc>
        <w:tc>
          <w:tcPr>
            <w:tcW w:w="1217" w:type="dxa"/>
            <w:tcBorders>
              <w:top w:val="nil"/>
              <w:left w:val="nil"/>
              <w:bottom w:val="nil"/>
              <w:right w:val="nil"/>
            </w:tcBorders>
            <w:shd w:val="clear" w:color="auto" w:fill="auto"/>
            <w:noWrap/>
            <w:vAlign w:val="center"/>
            <w:hideMark/>
          </w:tcPr>
          <w:p w14:paraId="2A28254F" w14:textId="49B4EADE"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$821,856 </w:t>
            </w:r>
          </w:p>
        </w:tc>
        <w:tc>
          <w:tcPr>
            <w:tcW w:w="1601" w:type="dxa"/>
            <w:tcBorders>
              <w:top w:val="nil"/>
              <w:left w:val="nil"/>
              <w:bottom w:val="nil"/>
              <w:right w:val="nil"/>
            </w:tcBorders>
            <w:shd w:val="clear" w:color="auto" w:fill="auto"/>
            <w:noWrap/>
            <w:vAlign w:val="center"/>
            <w:hideMark/>
          </w:tcPr>
          <w:p w14:paraId="612C19AB" w14:textId="5BFC4C3B"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$0.2071 </w:t>
            </w:r>
          </w:p>
        </w:tc>
      </w:tr>
      <w:tr w:rsidR="00265568" w:rsidRPr="00265568" w14:paraId="7F2055BF" w14:textId="77777777" w:rsidTr="00265568">
        <w:trPr>
          <w:trHeight w:val="255"/>
        </w:trPr>
        <w:tc>
          <w:tcPr>
            <w:tcW w:w="990" w:type="dxa"/>
            <w:tcBorders>
              <w:top w:val="nil"/>
              <w:left w:val="nil"/>
              <w:bottom w:val="nil"/>
              <w:right w:val="nil"/>
            </w:tcBorders>
            <w:shd w:val="clear" w:color="auto" w:fill="auto"/>
            <w:noWrap/>
            <w:vAlign w:val="center"/>
            <w:hideMark/>
          </w:tcPr>
          <w:p w14:paraId="335255B5" w14:textId="0B4D0F53"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cstheme="majorHAnsi"/>
                <w:szCs w:val="18"/>
              </w:rPr>
              <w:t>2028</w:t>
            </w:r>
          </w:p>
        </w:tc>
        <w:tc>
          <w:tcPr>
            <w:tcW w:w="1117" w:type="dxa"/>
            <w:tcBorders>
              <w:top w:val="nil"/>
              <w:left w:val="nil"/>
              <w:bottom w:val="nil"/>
              <w:right w:val="nil"/>
            </w:tcBorders>
            <w:shd w:val="clear" w:color="auto" w:fill="auto"/>
            <w:noWrap/>
            <w:vAlign w:val="center"/>
            <w:hideMark/>
          </w:tcPr>
          <w:p w14:paraId="78AECE00" w14:textId="288F9236"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5,588,430 </w:t>
            </w:r>
          </w:p>
        </w:tc>
        <w:tc>
          <w:tcPr>
            <w:tcW w:w="1598" w:type="dxa"/>
            <w:tcBorders>
              <w:top w:val="nil"/>
              <w:left w:val="nil"/>
              <w:bottom w:val="nil"/>
              <w:right w:val="nil"/>
            </w:tcBorders>
            <w:shd w:val="clear" w:color="auto" w:fill="auto"/>
            <w:noWrap/>
            <w:vAlign w:val="center"/>
            <w:hideMark/>
          </w:tcPr>
          <w:p w14:paraId="6521E09E" w14:textId="200F2185"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$1,171,824 </w:t>
            </w:r>
          </w:p>
        </w:tc>
        <w:tc>
          <w:tcPr>
            <w:tcW w:w="1605" w:type="dxa"/>
            <w:tcBorders>
              <w:top w:val="nil"/>
              <w:left w:val="nil"/>
              <w:bottom w:val="nil"/>
              <w:right w:val="nil"/>
            </w:tcBorders>
            <w:shd w:val="clear" w:color="auto" w:fill="auto"/>
            <w:noWrap/>
            <w:vAlign w:val="center"/>
            <w:hideMark/>
          </w:tcPr>
          <w:p w14:paraId="5FB2E8BC" w14:textId="480C36AC"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$0.2097 </w:t>
            </w:r>
          </w:p>
        </w:tc>
        <w:tc>
          <w:tcPr>
            <w:tcW w:w="1232" w:type="dxa"/>
            <w:tcBorders>
              <w:top w:val="nil"/>
              <w:left w:val="nil"/>
              <w:bottom w:val="nil"/>
              <w:right w:val="nil"/>
            </w:tcBorders>
            <w:shd w:val="clear" w:color="auto" w:fill="auto"/>
            <w:noWrap/>
            <w:vAlign w:val="center"/>
            <w:hideMark/>
          </w:tcPr>
          <w:p w14:paraId="6D975E3E" w14:textId="5C365A97"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3,344,715 </w:t>
            </w:r>
          </w:p>
        </w:tc>
        <w:tc>
          <w:tcPr>
            <w:tcW w:w="1217" w:type="dxa"/>
            <w:tcBorders>
              <w:top w:val="nil"/>
              <w:left w:val="nil"/>
              <w:bottom w:val="nil"/>
              <w:right w:val="nil"/>
            </w:tcBorders>
            <w:shd w:val="clear" w:color="auto" w:fill="auto"/>
            <w:noWrap/>
            <w:vAlign w:val="center"/>
            <w:hideMark/>
          </w:tcPr>
          <w:p w14:paraId="63076A94" w14:textId="5F7D198B"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$716,388 </w:t>
            </w:r>
          </w:p>
        </w:tc>
        <w:tc>
          <w:tcPr>
            <w:tcW w:w="1601" w:type="dxa"/>
            <w:tcBorders>
              <w:top w:val="nil"/>
              <w:left w:val="nil"/>
              <w:bottom w:val="nil"/>
              <w:right w:val="nil"/>
            </w:tcBorders>
            <w:shd w:val="clear" w:color="auto" w:fill="auto"/>
            <w:noWrap/>
            <w:vAlign w:val="center"/>
            <w:hideMark/>
          </w:tcPr>
          <w:p w14:paraId="2E90ABEC" w14:textId="73AEF6B4"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$0.2142 </w:t>
            </w:r>
          </w:p>
        </w:tc>
      </w:tr>
      <w:tr w:rsidR="00265568" w:rsidRPr="00265568" w14:paraId="7F9F1F40" w14:textId="77777777" w:rsidTr="00265568">
        <w:trPr>
          <w:trHeight w:val="255"/>
        </w:trPr>
        <w:tc>
          <w:tcPr>
            <w:tcW w:w="990" w:type="dxa"/>
            <w:tcBorders>
              <w:top w:val="nil"/>
              <w:left w:val="nil"/>
              <w:bottom w:val="nil"/>
              <w:right w:val="nil"/>
            </w:tcBorders>
            <w:shd w:val="clear" w:color="auto" w:fill="auto"/>
            <w:noWrap/>
            <w:vAlign w:val="center"/>
            <w:hideMark/>
          </w:tcPr>
          <w:p w14:paraId="16867880" w14:textId="6C3B8B7B"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cstheme="majorHAnsi"/>
                <w:szCs w:val="18"/>
              </w:rPr>
              <w:t>2029</w:t>
            </w:r>
          </w:p>
        </w:tc>
        <w:tc>
          <w:tcPr>
            <w:tcW w:w="1117" w:type="dxa"/>
            <w:tcBorders>
              <w:top w:val="nil"/>
              <w:left w:val="nil"/>
              <w:bottom w:val="nil"/>
              <w:right w:val="nil"/>
            </w:tcBorders>
            <w:shd w:val="clear" w:color="auto" w:fill="auto"/>
            <w:noWrap/>
            <w:vAlign w:val="center"/>
            <w:hideMark/>
          </w:tcPr>
          <w:p w14:paraId="3FC98092" w14:textId="4E7A3D6C"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5,588,430 </w:t>
            </w:r>
          </w:p>
        </w:tc>
        <w:tc>
          <w:tcPr>
            <w:tcW w:w="1598" w:type="dxa"/>
            <w:tcBorders>
              <w:top w:val="nil"/>
              <w:left w:val="nil"/>
              <w:bottom w:val="nil"/>
              <w:right w:val="nil"/>
            </w:tcBorders>
            <w:shd w:val="clear" w:color="auto" w:fill="auto"/>
            <w:noWrap/>
            <w:vAlign w:val="center"/>
            <w:hideMark/>
          </w:tcPr>
          <w:p w14:paraId="3056321D" w14:textId="124D53BA"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$1,171,824 </w:t>
            </w:r>
          </w:p>
        </w:tc>
        <w:tc>
          <w:tcPr>
            <w:tcW w:w="1605" w:type="dxa"/>
            <w:tcBorders>
              <w:top w:val="nil"/>
              <w:left w:val="nil"/>
              <w:bottom w:val="nil"/>
              <w:right w:val="nil"/>
            </w:tcBorders>
            <w:shd w:val="clear" w:color="auto" w:fill="auto"/>
            <w:noWrap/>
            <w:vAlign w:val="center"/>
            <w:hideMark/>
          </w:tcPr>
          <w:p w14:paraId="75CD4A8A" w14:textId="5FDD7891"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$0.2097 </w:t>
            </w:r>
          </w:p>
        </w:tc>
        <w:tc>
          <w:tcPr>
            <w:tcW w:w="1232" w:type="dxa"/>
            <w:tcBorders>
              <w:top w:val="nil"/>
              <w:left w:val="nil"/>
              <w:bottom w:val="nil"/>
              <w:right w:val="nil"/>
            </w:tcBorders>
            <w:shd w:val="clear" w:color="auto" w:fill="auto"/>
            <w:noWrap/>
            <w:vAlign w:val="center"/>
            <w:hideMark/>
          </w:tcPr>
          <w:p w14:paraId="5FB17F53" w14:textId="6CB4E740"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3,344,715 </w:t>
            </w:r>
          </w:p>
        </w:tc>
        <w:tc>
          <w:tcPr>
            <w:tcW w:w="1217" w:type="dxa"/>
            <w:tcBorders>
              <w:top w:val="nil"/>
              <w:left w:val="nil"/>
              <w:bottom w:val="nil"/>
              <w:right w:val="nil"/>
            </w:tcBorders>
            <w:shd w:val="clear" w:color="auto" w:fill="auto"/>
            <w:noWrap/>
            <w:vAlign w:val="center"/>
            <w:hideMark/>
          </w:tcPr>
          <w:p w14:paraId="376E8246" w14:textId="6DFE9D9B"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$716,388 </w:t>
            </w:r>
          </w:p>
        </w:tc>
        <w:tc>
          <w:tcPr>
            <w:tcW w:w="1601" w:type="dxa"/>
            <w:tcBorders>
              <w:top w:val="nil"/>
              <w:left w:val="nil"/>
              <w:bottom w:val="nil"/>
              <w:right w:val="nil"/>
            </w:tcBorders>
            <w:shd w:val="clear" w:color="auto" w:fill="auto"/>
            <w:noWrap/>
            <w:vAlign w:val="center"/>
            <w:hideMark/>
          </w:tcPr>
          <w:p w14:paraId="25887938" w14:textId="50563A2B"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$0.2142 </w:t>
            </w:r>
          </w:p>
        </w:tc>
      </w:tr>
      <w:tr w:rsidR="00265568" w:rsidRPr="00265568" w14:paraId="302CB6A2" w14:textId="77777777" w:rsidTr="00265568">
        <w:trPr>
          <w:trHeight w:val="255"/>
        </w:trPr>
        <w:tc>
          <w:tcPr>
            <w:tcW w:w="990" w:type="dxa"/>
            <w:tcBorders>
              <w:top w:val="nil"/>
              <w:left w:val="nil"/>
              <w:bottom w:val="nil"/>
              <w:right w:val="nil"/>
            </w:tcBorders>
            <w:shd w:val="clear" w:color="auto" w:fill="auto"/>
            <w:noWrap/>
            <w:vAlign w:val="center"/>
            <w:hideMark/>
          </w:tcPr>
          <w:p w14:paraId="167EC626" w14:textId="44169F50"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cstheme="majorHAnsi"/>
                <w:szCs w:val="18"/>
              </w:rPr>
              <w:t>2030</w:t>
            </w:r>
          </w:p>
        </w:tc>
        <w:tc>
          <w:tcPr>
            <w:tcW w:w="1117" w:type="dxa"/>
            <w:tcBorders>
              <w:top w:val="nil"/>
              <w:left w:val="nil"/>
              <w:bottom w:val="nil"/>
              <w:right w:val="nil"/>
            </w:tcBorders>
            <w:shd w:val="clear" w:color="auto" w:fill="auto"/>
            <w:noWrap/>
            <w:vAlign w:val="center"/>
            <w:hideMark/>
          </w:tcPr>
          <w:p w14:paraId="188468DD" w14:textId="262DFAF8"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4,811,107 </w:t>
            </w:r>
          </w:p>
        </w:tc>
        <w:tc>
          <w:tcPr>
            <w:tcW w:w="1598" w:type="dxa"/>
            <w:tcBorders>
              <w:top w:val="nil"/>
              <w:left w:val="nil"/>
              <w:bottom w:val="nil"/>
              <w:right w:val="nil"/>
            </w:tcBorders>
            <w:shd w:val="clear" w:color="auto" w:fill="auto"/>
            <w:noWrap/>
            <w:vAlign w:val="center"/>
            <w:hideMark/>
          </w:tcPr>
          <w:p w14:paraId="2AB79D95" w14:textId="67969073"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$1,008,874 </w:t>
            </w:r>
          </w:p>
        </w:tc>
        <w:tc>
          <w:tcPr>
            <w:tcW w:w="1605" w:type="dxa"/>
            <w:tcBorders>
              <w:top w:val="nil"/>
              <w:left w:val="nil"/>
              <w:bottom w:val="nil"/>
              <w:right w:val="nil"/>
            </w:tcBorders>
            <w:shd w:val="clear" w:color="auto" w:fill="auto"/>
            <w:noWrap/>
            <w:vAlign w:val="center"/>
            <w:hideMark/>
          </w:tcPr>
          <w:p w14:paraId="612538EA" w14:textId="5DB0C24A"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$0.2097 </w:t>
            </w:r>
          </w:p>
        </w:tc>
        <w:tc>
          <w:tcPr>
            <w:tcW w:w="1232" w:type="dxa"/>
            <w:tcBorders>
              <w:top w:val="nil"/>
              <w:left w:val="nil"/>
              <w:bottom w:val="nil"/>
              <w:right w:val="nil"/>
            </w:tcBorders>
            <w:shd w:val="clear" w:color="auto" w:fill="auto"/>
            <w:noWrap/>
            <w:vAlign w:val="center"/>
            <w:hideMark/>
          </w:tcPr>
          <w:p w14:paraId="6C055667" w14:textId="0BC4EB2C"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3,318,182 </w:t>
            </w:r>
          </w:p>
        </w:tc>
        <w:tc>
          <w:tcPr>
            <w:tcW w:w="1217" w:type="dxa"/>
            <w:tcBorders>
              <w:top w:val="nil"/>
              <w:left w:val="nil"/>
              <w:bottom w:val="nil"/>
              <w:right w:val="nil"/>
            </w:tcBorders>
            <w:shd w:val="clear" w:color="auto" w:fill="auto"/>
            <w:noWrap/>
            <w:vAlign w:val="center"/>
            <w:hideMark/>
          </w:tcPr>
          <w:p w14:paraId="23D08EC0" w14:textId="51F05C38"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$711,141 </w:t>
            </w:r>
          </w:p>
        </w:tc>
        <w:tc>
          <w:tcPr>
            <w:tcW w:w="1601" w:type="dxa"/>
            <w:tcBorders>
              <w:top w:val="nil"/>
              <w:left w:val="nil"/>
              <w:bottom w:val="nil"/>
              <w:right w:val="nil"/>
            </w:tcBorders>
            <w:shd w:val="clear" w:color="auto" w:fill="auto"/>
            <w:noWrap/>
            <w:vAlign w:val="center"/>
            <w:hideMark/>
          </w:tcPr>
          <w:p w14:paraId="130133CB" w14:textId="063383CB"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$0.2143 </w:t>
            </w:r>
          </w:p>
        </w:tc>
      </w:tr>
      <w:tr w:rsidR="00265568" w:rsidRPr="00265568" w14:paraId="6EA8FBFE" w14:textId="77777777" w:rsidTr="00265568">
        <w:trPr>
          <w:trHeight w:val="255"/>
        </w:trPr>
        <w:tc>
          <w:tcPr>
            <w:tcW w:w="990" w:type="dxa"/>
            <w:tcBorders>
              <w:top w:val="nil"/>
              <w:left w:val="nil"/>
              <w:bottom w:val="nil"/>
              <w:right w:val="nil"/>
            </w:tcBorders>
            <w:shd w:val="clear" w:color="auto" w:fill="auto"/>
            <w:noWrap/>
            <w:vAlign w:val="center"/>
            <w:hideMark/>
          </w:tcPr>
          <w:p w14:paraId="3E672E0F" w14:textId="323D7D56"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cstheme="majorHAnsi"/>
                <w:szCs w:val="18"/>
              </w:rPr>
              <w:t>2031</w:t>
            </w:r>
          </w:p>
        </w:tc>
        <w:tc>
          <w:tcPr>
            <w:tcW w:w="1117" w:type="dxa"/>
            <w:tcBorders>
              <w:top w:val="nil"/>
              <w:left w:val="nil"/>
              <w:bottom w:val="nil"/>
              <w:right w:val="nil"/>
            </w:tcBorders>
            <w:shd w:val="clear" w:color="auto" w:fill="auto"/>
            <w:noWrap/>
            <w:vAlign w:val="center"/>
            <w:hideMark/>
          </w:tcPr>
          <w:p w14:paraId="175EBAB0" w14:textId="58DB161E"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3,642,144 </w:t>
            </w:r>
          </w:p>
        </w:tc>
        <w:tc>
          <w:tcPr>
            <w:tcW w:w="1598" w:type="dxa"/>
            <w:tcBorders>
              <w:top w:val="nil"/>
              <w:left w:val="nil"/>
              <w:bottom w:val="nil"/>
              <w:right w:val="nil"/>
            </w:tcBorders>
            <w:shd w:val="clear" w:color="auto" w:fill="auto"/>
            <w:noWrap/>
            <w:vAlign w:val="center"/>
            <w:hideMark/>
          </w:tcPr>
          <w:p w14:paraId="282C9F1F" w14:textId="4D438F77"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$763,976 </w:t>
            </w:r>
          </w:p>
        </w:tc>
        <w:tc>
          <w:tcPr>
            <w:tcW w:w="1605" w:type="dxa"/>
            <w:tcBorders>
              <w:top w:val="nil"/>
              <w:left w:val="nil"/>
              <w:bottom w:val="nil"/>
              <w:right w:val="nil"/>
            </w:tcBorders>
            <w:shd w:val="clear" w:color="auto" w:fill="auto"/>
            <w:noWrap/>
            <w:vAlign w:val="center"/>
            <w:hideMark/>
          </w:tcPr>
          <w:p w14:paraId="52E1300B" w14:textId="3F969529"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$0.2098 </w:t>
            </w:r>
          </w:p>
        </w:tc>
        <w:tc>
          <w:tcPr>
            <w:tcW w:w="1232" w:type="dxa"/>
            <w:tcBorders>
              <w:top w:val="nil"/>
              <w:left w:val="nil"/>
              <w:bottom w:val="nil"/>
              <w:right w:val="nil"/>
            </w:tcBorders>
            <w:shd w:val="clear" w:color="auto" w:fill="auto"/>
            <w:noWrap/>
            <w:vAlign w:val="center"/>
            <w:hideMark/>
          </w:tcPr>
          <w:p w14:paraId="23FCF049" w14:textId="448629B5"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1,849,999 </w:t>
            </w:r>
          </w:p>
        </w:tc>
        <w:tc>
          <w:tcPr>
            <w:tcW w:w="1217" w:type="dxa"/>
            <w:tcBorders>
              <w:top w:val="nil"/>
              <w:left w:val="nil"/>
              <w:bottom w:val="nil"/>
              <w:right w:val="nil"/>
            </w:tcBorders>
            <w:shd w:val="clear" w:color="auto" w:fill="auto"/>
            <w:noWrap/>
            <w:vAlign w:val="center"/>
            <w:hideMark/>
          </w:tcPr>
          <w:p w14:paraId="399AF5A4" w14:textId="04880E9D"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$396,151 </w:t>
            </w:r>
          </w:p>
        </w:tc>
        <w:tc>
          <w:tcPr>
            <w:tcW w:w="1601" w:type="dxa"/>
            <w:tcBorders>
              <w:top w:val="nil"/>
              <w:left w:val="nil"/>
              <w:bottom w:val="nil"/>
              <w:right w:val="nil"/>
            </w:tcBorders>
            <w:shd w:val="clear" w:color="auto" w:fill="auto"/>
            <w:noWrap/>
            <w:vAlign w:val="center"/>
            <w:hideMark/>
          </w:tcPr>
          <w:p w14:paraId="08CE553F" w14:textId="4C47E0A9"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$0.2141 </w:t>
            </w:r>
          </w:p>
        </w:tc>
      </w:tr>
      <w:tr w:rsidR="00265568" w:rsidRPr="00265568" w14:paraId="58EB2756" w14:textId="77777777" w:rsidTr="00265568">
        <w:trPr>
          <w:trHeight w:val="255"/>
        </w:trPr>
        <w:tc>
          <w:tcPr>
            <w:tcW w:w="990" w:type="dxa"/>
            <w:tcBorders>
              <w:top w:val="nil"/>
              <w:left w:val="nil"/>
              <w:bottom w:val="nil"/>
              <w:right w:val="nil"/>
            </w:tcBorders>
            <w:shd w:val="clear" w:color="auto" w:fill="auto"/>
            <w:noWrap/>
            <w:vAlign w:val="center"/>
            <w:hideMark/>
          </w:tcPr>
          <w:p w14:paraId="63D8429F" w14:textId="517948FC"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cstheme="majorHAnsi"/>
                <w:szCs w:val="18"/>
              </w:rPr>
              <w:t>2032</w:t>
            </w:r>
          </w:p>
        </w:tc>
        <w:tc>
          <w:tcPr>
            <w:tcW w:w="1117" w:type="dxa"/>
            <w:tcBorders>
              <w:top w:val="nil"/>
              <w:left w:val="nil"/>
              <w:bottom w:val="nil"/>
              <w:right w:val="nil"/>
            </w:tcBorders>
            <w:shd w:val="clear" w:color="auto" w:fill="auto"/>
            <w:noWrap/>
            <w:vAlign w:val="center"/>
            <w:hideMark/>
          </w:tcPr>
          <w:p w14:paraId="7A80B7A2" w14:textId="73690411"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3,642,144 </w:t>
            </w:r>
          </w:p>
        </w:tc>
        <w:tc>
          <w:tcPr>
            <w:tcW w:w="1598" w:type="dxa"/>
            <w:tcBorders>
              <w:top w:val="nil"/>
              <w:left w:val="nil"/>
              <w:bottom w:val="nil"/>
              <w:right w:val="nil"/>
            </w:tcBorders>
            <w:shd w:val="clear" w:color="auto" w:fill="auto"/>
            <w:noWrap/>
            <w:vAlign w:val="center"/>
            <w:hideMark/>
          </w:tcPr>
          <w:p w14:paraId="3711B4F1" w14:textId="03F16426"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$763,976 </w:t>
            </w:r>
          </w:p>
        </w:tc>
        <w:tc>
          <w:tcPr>
            <w:tcW w:w="1605" w:type="dxa"/>
            <w:tcBorders>
              <w:top w:val="nil"/>
              <w:left w:val="nil"/>
              <w:bottom w:val="nil"/>
              <w:right w:val="nil"/>
            </w:tcBorders>
            <w:shd w:val="clear" w:color="auto" w:fill="auto"/>
            <w:noWrap/>
            <w:vAlign w:val="center"/>
            <w:hideMark/>
          </w:tcPr>
          <w:p w14:paraId="3D575B64" w14:textId="1850831F"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$0.2098 </w:t>
            </w:r>
          </w:p>
        </w:tc>
        <w:tc>
          <w:tcPr>
            <w:tcW w:w="1232" w:type="dxa"/>
            <w:tcBorders>
              <w:top w:val="nil"/>
              <w:left w:val="nil"/>
              <w:bottom w:val="nil"/>
              <w:right w:val="nil"/>
            </w:tcBorders>
            <w:shd w:val="clear" w:color="auto" w:fill="auto"/>
            <w:noWrap/>
            <w:vAlign w:val="center"/>
            <w:hideMark/>
          </w:tcPr>
          <w:p w14:paraId="5B59DD00" w14:textId="5A50E6D6"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1,839,868 </w:t>
            </w:r>
          </w:p>
        </w:tc>
        <w:tc>
          <w:tcPr>
            <w:tcW w:w="1217" w:type="dxa"/>
            <w:tcBorders>
              <w:top w:val="nil"/>
              <w:left w:val="nil"/>
              <w:bottom w:val="nil"/>
              <w:right w:val="nil"/>
            </w:tcBorders>
            <w:shd w:val="clear" w:color="auto" w:fill="auto"/>
            <w:noWrap/>
            <w:vAlign w:val="center"/>
            <w:hideMark/>
          </w:tcPr>
          <w:p w14:paraId="21802264" w14:textId="3A1D29B1"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$394,051 </w:t>
            </w:r>
          </w:p>
        </w:tc>
        <w:tc>
          <w:tcPr>
            <w:tcW w:w="1601" w:type="dxa"/>
            <w:tcBorders>
              <w:top w:val="nil"/>
              <w:left w:val="nil"/>
              <w:bottom w:val="nil"/>
              <w:right w:val="nil"/>
            </w:tcBorders>
            <w:shd w:val="clear" w:color="auto" w:fill="auto"/>
            <w:noWrap/>
            <w:vAlign w:val="center"/>
            <w:hideMark/>
          </w:tcPr>
          <w:p w14:paraId="4BB4248E" w14:textId="0C776E09"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$0.2142 </w:t>
            </w:r>
          </w:p>
        </w:tc>
      </w:tr>
      <w:tr w:rsidR="00265568" w:rsidRPr="00265568" w14:paraId="30B793FC" w14:textId="77777777" w:rsidTr="00265568">
        <w:trPr>
          <w:trHeight w:val="255"/>
        </w:trPr>
        <w:tc>
          <w:tcPr>
            <w:tcW w:w="990" w:type="dxa"/>
            <w:tcBorders>
              <w:top w:val="nil"/>
              <w:left w:val="nil"/>
              <w:bottom w:val="nil"/>
              <w:right w:val="nil"/>
            </w:tcBorders>
            <w:shd w:val="clear" w:color="auto" w:fill="auto"/>
            <w:noWrap/>
            <w:vAlign w:val="center"/>
            <w:hideMark/>
          </w:tcPr>
          <w:p w14:paraId="50510095" w14:textId="29D559A6"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cstheme="majorHAnsi"/>
                <w:szCs w:val="18"/>
              </w:rPr>
              <w:t>2033</w:t>
            </w:r>
          </w:p>
        </w:tc>
        <w:tc>
          <w:tcPr>
            <w:tcW w:w="1117" w:type="dxa"/>
            <w:tcBorders>
              <w:top w:val="nil"/>
              <w:left w:val="nil"/>
              <w:bottom w:val="nil"/>
              <w:right w:val="nil"/>
            </w:tcBorders>
            <w:shd w:val="clear" w:color="auto" w:fill="auto"/>
            <w:noWrap/>
            <w:vAlign w:val="center"/>
            <w:hideMark/>
          </w:tcPr>
          <w:p w14:paraId="4E903503" w14:textId="5F16E4D0"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3,546,260 </w:t>
            </w:r>
          </w:p>
        </w:tc>
        <w:tc>
          <w:tcPr>
            <w:tcW w:w="1598" w:type="dxa"/>
            <w:tcBorders>
              <w:top w:val="nil"/>
              <w:left w:val="nil"/>
              <w:bottom w:val="nil"/>
              <w:right w:val="nil"/>
            </w:tcBorders>
            <w:shd w:val="clear" w:color="auto" w:fill="auto"/>
            <w:noWrap/>
            <w:vAlign w:val="center"/>
            <w:hideMark/>
          </w:tcPr>
          <w:p w14:paraId="0D4E889D" w14:textId="4BE94F80"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$745,811 </w:t>
            </w:r>
          </w:p>
        </w:tc>
        <w:tc>
          <w:tcPr>
            <w:tcW w:w="1605" w:type="dxa"/>
            <w:tcBorders>
              <w:top w:val="nil"/>
              <w:left w:val="nil"/>
              <w:bottom w:val="nil"/>
              <w:right w:val="nil"/>
            </w:tcBorders>
            <w:shd w:val="clear" w:color="auto" w:fill="auto"/>
            <w:noWrap/>
            <w:vAlign w:val="center"/>
            <w:hideMark/>
          </w:tcPr>
          <w:p w14:paraId="18DB9E51" w14:textId="00DF10BF"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$0.2103 </w:t>
            </w:r>
          </w:p>
        </w:tc>
        <w:tc>
          <w:tcPr>
            <w:tcW w:w="1232" w:type="dxa"/>
            <w:tcBorders>
              <w:top w:val="nil"/>
              <w:left w:val="nil"/>
              <w:bottom w:val="nil"/>
              <w:right w:val="nil"/>
            </w:tcBorders>
            <w:shd w:val="clear" w:color="auto" w:fill="auto"/>
            <w:noWrap/>
            <w:vAlign w:val="center"/>
            <w:hideMark/>
          </w:tcPr>
          <w:p w14:paraId="3C555481" w14:textId="62B49A48"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1,585,433 </w:t>
            </w:r>
          </w:p>
        </w:tc>
        <w:tc>
          <w:tcPr>
            <w:tcW w:w="1217" w:type="dxa"/>
            <w:tcBorders>
              <w:top w:val="nil"/>
              <w:left w:val="nil"/>
              <w:bottom w:val="nil"/>
              <w:right w:val="nil"/>
            </w:tcBorders>
            <w:shd w:val="clear" w:color="auto" w:fill="auto"/>
            <w:noWrap/>
            <w:vAlign w:val="center"/>
            <w:hideMark/>
          </w:tcPr>
          <w:p w14:paraId="3097B2DA" w14:textId="0BCAF94A"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$339,817 </w:t>
            </w:r>
          </w:p>
        </w:tc>
        <w:tc>
          <w:tcPr>
            <w:tcW w:w="1601" w:type="dxa"/>
            <w:tcBorders>
              <w:top w:val="nil"/>
              <w:left w:val="nil"/>
              <w:bottom w:val="nil"/>
              <w:right w:val="nil"/>
            </w:tcBorders>
            <w:shd w:val="clear" w:color="auto" w:fill="auto"/>
            <w:noWrap/>
            <w:vAlign w:val="center"/>
            <w:hideMark/>
          </w:tcPr>
          <w:p w14:paraId="46B534CE" w14:textId="5CCE0B06"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$0.2143 </w:t>
            </w:r>
          </w:p>
        </w:tc>
      </w:tr>
      <w:tr w:rsidR="00265568" w:rsidRPr="00265568" w14:paraId="620F74E1" w14:textId="77777777" w:rsidTr="00265568">
        <w:trPr>
          <w:trHeight w:val="255"/>
        </w:trPr>
        <w:tc>
          <w:tcPr>
            <w:tcW w:w="990" w:type="dxa"/>
            <w:tcBorders>
              <w:top w:val="nil"/>
              <w:left w:val="nil"/>
              <w:bottom w:val="nil"/>
              <w:right w:val="nil"/>
            </w:tcBorders>
            <w:shd w:val="clear" w:color="auto" w:fill="auto"/>
            <w:noWrap/>
            <w:vAlign w:val="center"/>
            <w:hideMark/>
          </w:tcPr>
          <w:p w14:paraId="0DB4F986" w14:textId="6B9E09F7"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cstheme="majorHAnsi"/>
                <w:szCs w:val="18"/>
              </w:rPr>
              <w:t>2034</w:t>
            </w:r>
          </w:p>
        </w:tc>
        <w:tc>
          <w:tcPr>
            <w:tcW w:w="1117" w:type="dxa"/>
            <w:tcBorders>
              <w:top w:val="nil"/>
              <w:left w:val="nil"/>
              <w:bottom w:val="nil"/>
              <w:right w:val="nil"/>
            </w:tcBorders>
            <w:shd w:val="clear" w:color="auto" w:fill="auto"/>
            <w:noWrap/>
            <w:vAlign w:val="center"/>
            <w:hideMark/>
          </w:tcPr>
          <w:p w14:paraId="72D54E63" w14:textId="30109FFA"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3,546,260 </w:t>
            </w:r>
          </w:p>
        </w:tc>
        <w:tc>
          <w:tcPr>
            <w:tcW w:w="1598" w:type="dxa"/>
            <w:tcBorders>
              <w:top w:val="nil"/>
              <w:left w:val="nil"/>
              <w:bottom w:val="nil"/>
              <w:right w:val="nil"/>
            </w:tcBorders>
            <w:shd w:val="clear" w:color="auto" w:fill="auto"/>
            <w:noWrap/>
            <w:vAlign w:val="center"/>
            <w:hideMark/>
          </w:tcPr>
          <w:p w14:paraId="7C2D1B74" w14:textId="6B613229"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$745,811 </w:t>
            </w:r>
          </w:p>
        </w:tc>
        <w:tc>
          <w:tcPr>
            <w:tcW w:w="1605" w:type="dxa"/>
            <w:tcBorders>
              <w:top w:val="nil"/>
              <w:left w:val="nil"/>
              <w:bottom w:val="nil"/>
              <w:right w:val="nil"/>
            </w:tcBorders>
            <w:shd w:val="clear" w:color="auto" w:fill="auto"/>
            <w:noWrap/>
            <w:vAlign w:val="center"/>
            <w:hideMark/>
          </w:tcPr>
          <w:p w14:paraId="69833C21" w14:textId="24FE737D"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$0.2103 </w:t>
            </w:r>
          </w:p>
        </w:tc>
        <w:tc>
          <w:tcPr>
            <w:tcW w:w="1232" w:type="dxa"/>
            <w:tcBorders>
              <w:top w:val="nil"/>
              <w:left w:val="nil"/>
              <w:bottom w:val="nil"/>
              <w:right w:val="nil"/>
            </w:tcBorders>
            <w:shd w:val="clear" w:color="auto" w:fill="auto"/>
            <w:noWrap/>
            <w:vAlign w:val="center"/>
            <w:hideMark/>
          </w:tcPr>
          <w:p w14:paraId="6AA6BC17" w14:textId="33B60410"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1,232,799 </w:t>
            </w:r>
          </w:p>
        </w:tc>
        <w:tc>
          <w:tcPr>
            <w:tcW w:w="1217" w:type="dxa"/>
            <w:tcBorders>
              <w:top w:val="nil"/>
              <w:left w:val="nil"/>
              <w:bottom w:val="nil"/>
              <w:right w:val="nil"/>
            </w:tcBorders>
            <w:shd w:val="clear" w:color="auto" w:fill="auto"/>
            <w:noWrap/>
            <w:vAlign w:val="center"/>
            <w:hideMark/>
          </w:tcPr>
          <w:p w14:paraId="198AB319" w14:textId="2EA5041F"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$264,571 </w:t>
            </w:r>
          </w:p>
        </w:tc>
        <w:tc>
          <w:tcPr>
            <w:tcW w:w="1601" w:type="dxa"/>
            <w:tcBorders>
              <w:top w:val="nil"/>
              <w:left w:val="nil"/>
              <w:bottom w:val="nil"/>
              <w:right w:val="nil"/>
            </w:tcBorders>
            <w:shd w:val="clear" w:color="auto" w:fill="auto"/>
            <w:noWrap/>
            <w:vAlign w:val="center"/>
            <w:hideMark/>
          </w:tcPr>
          <w:p w14:paraId="79057968" w14:textId="77B60A88"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$0.2146 </w:t>
            </w:r>
          </w:p>
        </w:tc>
      </w:tr>
      <w:tr w:rsidR="00265568" w:rsidRPr="00265568" w14:paraId="79A4FE8C" w14:textId="77777777" w:rsidTr="00265568">
        <w:trPr>
          <w:trHeight w:val="255"/>
        </w:trPr>
        <w:tc>
          <w:tcPr>
            <w:tcW w:w="990" w:type="dxa"/>
            <w:tcBorders>
              <w:top w:val="nil"/>
              <w:left w:val="nil"/>
              <w:bottom w:val="nil"/>
              <w:right w:val="nil"/>
            </w:tcBorders>
            <w:shd w:val="clear" w:color="auto" w:fill="auto"/>
            <w:noWrap/>
            <w:vAlign w:val="center"/>
            <w:hideMark/>
          </w:tcPr>
          <w:p w14:paraId="0603BD60" w14:textId="25DFF61A"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cstheme="majorHAnsi"/>
                <w:szCs w:val="18"/>
              </w:rPr>
              <w:t>2035</w:t>
            </w:r>
          </w:p>
        </w:tc>
        <w:tc>
          <w:tcPr>
            <w:tcW w:w="1117" w:type="dxa"/>
            <w:tcBorders>
              <w:top w:val="nil"/>
              <w:left w:val="nil"/>
              <w:bottom w:val="nil"/>
              <w:right w:val="nil"/>
            </w:tcBorders>
            <w:shd w:val="clear" w:color="auto" w:fill="auto"/>
            <w:noWrap/>
            <w:vAlign w:val="center"/>
            <w:hideMark/>
          </w:tcPr>
          <w:p w14:paraId="5884B2FD" w14:textId="158C854A"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3,140,904 </w:t>
            </w:r>
          </w:p>
        </w:tc>
        <w:tc>
          <w:tcPr>
            <w:tcW w:w="1598" w:type="dxa"/>
            <w:tcBorders>
              <w:top w:val="nil"/>
              <w:left w:val="nil"/>
              <w:bottom w:val="nil"/>
              <w:right w:val="nil"/>
            </w:tcBorders>
            <w:shd w:val="clear" w:color="auto" w:fill="auto"/>
            <w:noWrap/>
            <w:vAlign w:val="center"/>
            <w:hideMark/>
          </w:tcPr>
          <w:p w14:paraId="75D366B4" w14:textId="56A25459"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$658,454 </w:t>
            </w:r>
          </w:p>
        </w:tc>
        <w:tc>
          <w:tcPr>
            <w:tcW w:w="1605" w:type="dxa"/>
            <w:tcBorders>
              <w:top w:val="nil"/>
              <w:left w:val="nil"/>
              <w:bottom w:val="nil"/>
              <w:right w:val="nil"/>
            </w:tcBorders>
            <w:shd w:val="clear" w:color="auto" w:fill="auto"/>
            <w:noWrap/>
            <w:vAlign w:val="center"/>
            <w:hideMark/>
          </w:tcPr>
          <w:p w14:paraId="4A17FC94" w14:textId="60B5E794"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$0.2096 </w:t>
            </w:r>
          </w:p>
        </w:tc>
        <w:tc>
          <w:tcPr>
            <w:tcW w:w="1232" w:type="dxa"/>
            <w:tcBorders>
              <w:top w:val="nil"/>
              <w:left w:val="nil"/>
              <w:bottom w:val="nil"/>
              <w:right w:val="nil"/>
            </w:tcBorders>
            <w:shd w:val="clear" w:color="auto" w:fill="auto"/>
            <w:noWrap/>
            <w:vAlign w:val="center"/>
            <w:hideMark/>
          </w:tcPr>
          <w:p w14:paraId="154196E8" w14:textId="2A319BFB"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1,213,183 </w:t>
            </w:r>
          </w:p>
        </w:tc>
        <w:tc>
          <w:tcPr>
            <w:tcW w:w="1217" w:type="dxa"/>
            <w:tcBorders>
              <w:top w:val="nil"/>
              <w:left w:val="nil"/>
              <w:bottom w:val="nil"/>
              <w:right w:val="nil"/>
            </w:tcBorders>
            <w:shd w:val="clear" w:color="auto" w:fill="auto"/>
            <w:noWrap/>
            <w:vAlign w:val="center"/>
            <w:hideMark/>
          </w:tcPr>
          <w:p w14:paraId="1046ED4B" w14:textId="3FF537B8"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$259,774 </w:t>
            </w:r>
          </w:p>
        </w:tc>
        <w:tc>
          <w:tcPr>
            <w:tcW w:w="1601" w:type="dxa"/>
            <w:tcBorders>
              <w:top w:val="nil"/>
              <w:left w:val="nil"/>
              <w:bottom w:val="nil"/>
              <w:right w:val="nil"/>
            </w:tcBorders>
            <w:shd w:val="clear" w:color="auto" w:fill="auto"/>
            <w:noWrap/>
            <w:vAlign w:val="center"/>
            <w:hideMark/>
          </w:tcPr>
          <w:p w14:paraId="0C0A13C4" w14:textId="40DC6EF3"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$0.2141 </w:t>
            </w:r>
          </w:p>
        </w:tc>
      </w:tr>
      <w:tr w:rsidR="00265568" w:rsidRPr="00265568" w14:paraId="2B9FB3DE" w14:textId="77777777" w:rsidTr="00265568">
        <w:trPr>
          <w:trHeight w:val="255"/>
        </w:trPr>
        <w:tc>
          <w:tcPr>
            <w:tcW w:w="990" w:type="dxa"/>
            <w:tcBorders>
              <w:top w:val="nil"/>
              <w:left w:val="nil"/>
              <w:bottom w:val="nil"/>
              <w:right w:val="nil"/>
            </w:tcBorders>
            <w:shd w:val="clear" w:color="auto" w:fill="auto"/>
            <w:noWrap/>
            <w:vAlign w:val="center"/>
            <w:hideMark/>
          </w:tcPr>
          <w:p w14:paraId="49C6317A" w14:textId="63454F6D"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cstheme="majorHAnsi"/>
                <w:szCs w:val="18"/>
              </w:rPr>
              <w:t>2036</w:t>
            </w:r>
          </w:p>
        </w:tc>
        <w:tc>
          <w:tcPr>
            <w:tcW w:w="1117" w:type="dxa"/>
            <w:tcBorders>
              <w:top w:val="nil"/>
              <w:left w:val="nil"/>
              <w:bottom w:val="nil"/>
              <w:right w:val="nil"/>
            </w:tcBorders>
            <w:shd w:val="clear" w:color="auto" w:fill="auto"/>
            <w:noWrap/>
            <w:vAlign w:val="center"/>
            <w:hideMark/>
          </w:tcPr>
          <w:p w14:paraId="5364EF75" w14:textId="5EE18E5C"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2,286,791 </w:t>
            </w:r>
          </w:p>
        </w:tc>
        <w:tc>
          <w:tcPr>
            <w:tcW w:w="1598" w:type="dxa"/>
            <w:tcBorders>
              <w:top w:val="nil"/>
              <w:left w:val="nil"/>
              <w:bottom w:val="nil"/>
              <w:right w:val="nil"/>
            </w:tcBorders>
            <w:shd w:val="clear" w:color="auto" w:fill="auto"/>
            <w:noWrap/>
            <w:vAlign w:val="center"/>
            <w:hideMark/>
          </w:tcPr>
          <w:p w14:paraId="6243490C" w14:textId="3CEBD9FD"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$479,033 </w:t>
            </w:r>
          </w:p>
        </w:tc>
        <w:tc>
          <w:tcPr>
            <w:tcW w:w="1605" w:type="dxa"/>
            <w:tcBorders>
              <w:top w:val="nil"/>
              <w:left w:val="nil"/>
              <w:bottom w:val="nil"/>
              <w:right w:val="nil"/>
            </w:tcBorders>
            <w:shd w:val="clear" w:color="auto" w:fill="auto"/>
            <w:noWrap/>
            <w:vAlign w:val="center"/>
            <w:hideMark/>
          </w:tcPr>
          <w:p w14:paraId="4A5640A1" w14:textId="62C35A57"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$0.2095 </w:t>
            </w:r>
          </w:p>
        </w:tc>
        <w:tc>
          <w:tcPr>
            <w:tcW w:w="1232" w:type="dxa"/>
            <w:tcBorders>
              <w:top w:val="nil"/>
              <w:left w:val="nil"/>
              <w:bottom w:val="nil"/>
              <w:right w:val="nil"/>
            </w:tcBorders>
            <w:shd w:val="clear" w:color="auto" w:fill="auto"/>
            <w:noWrap/>
            <w:vAlign w:val="center"/>
            <w:hideMark/>
          </w:tcPr>
          <w:p w14:paraId="69FA3036" w14:textId="5ACE5B22"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1,211,881 </w:t>
            </w:r>
          </w:p>
        </w:tc>
        <w:tc>
          <w:tcPr>
            <w:tcW w:w="1217" w:type="dxa"/>
            <w:tcBorders>
              <w:top w:val="nil"/>
              <w:left w:val="nil"/>
              <w:bottom w:val="nil"/>
              <w:right w:val="nil"/>
            </w:tcBorders>
            <w:shd w:val="clear" w:color="auto" w:fill="auto"/>
            <w:noWrap/>
            <w:vAlign w:val="center"/>
            <w:hideMark/>
          </w:tcPr>
          <w:p w14:paraId="3E186BA6" w14:textId="0580234B"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$259,535 </w:t>
            </w:r>
          </w:p>
        </w:tc>
        <w:tc>
          <w:tcPr>
            <w:tcW w:w="1601" w:type="dxa"/>
            <w:tcBorders>
              <w:top w:val="nil"/>
              <w:left w:val="nil"/>
              <w:bottom w:val="nil"/>
              <w:right w:val="nil"/>
            </w:tcBorders>
            <w:shd w:val="clear" w:color="auto" w:fill="auto"/>
            <w:noWrap/>
            <w:vAlign w:val="center"/>
            <w:hideMark/>
          </w:tcPr>
          <w:p w14:paraId="49E68596" w14:textId="09E18AE4"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$0.2142 </w:t>
            </w:r>
          </w:p>
        </w:tc>
      </w:tr>
      <w:tr w:rsidR="00265568" w:rsidRPr="00265568" w14:paraId="4CE49BA9" w14:textId="77777777" w:rsidTr="00265568">
        <w:trPr>
          <w:trHeight w:val="255"/>
        </w:trPr>
        <w:tc>
          <w:tcPr>
            <w:tcW w:w="990" w:type="dxa"/>
            <w:tcBorders>
              <w:top w:val="nil"/>
              <w:left w:val="nil"/>
              <w:bottom w:val="nil"/>
              <w:right w:val="nil"/>
            </w:tcBorders>
            <w:shd w:val="clear" w:color="auto" w:fill="auto"/>
            <w:noWrap/>
            <w:vAlign w:val="center"/>
            <w:hideMark/>
          </w:tcPr>
          <w:p w14:paraId="28C42677" w14:textId="7FF77523"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cstheme="majorHAnsi"/>
                <w:szCs w:val="18"/>
              </w:rPr>
              <w:t>2037</w:t>
            </w:r>
          </w:p>
        </w:tc>
        <w:tc>
          <w:tcPr>
            <w:tcW w:w="1117" w:type="dxa"/>
            <w:tcBorders>
              <w:top w:val="nil"/>
              <w:left w:val="nil"/>
              <w:bottom w:val="nil"/>
              <w:right w:val="nil"/>
            </w:tcBorders>
            <w:shd w:val="clear" w:color="auto" w:fill="auto"/>
            <w:noWrap/>
            <w:vAlign w:val="center"/>
            <w:hideMark/>
          </w:tcPr>
          <w:p w14:paraId="08045C68" w14:textId="61F54DB4"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2,286,791 </w:t>
            </w:r>
          </w:p>
        </w:tc>
        <w:tc>
          <w:tcPr>
            <w:tcW w:w="1598" w:type="dxa"/>
            <w:tcBorders>
              <w:top w:val="nil"/>
              <w:left w:val="nil"/>
              <w:bottom w:val="nil"/>
              <w:right w:val="nil"/>
            </w:tcBorders>
            <w:shd w:val="clear" w:color="auto" w:fill="auto"/>
            <w:noWrap/>
            <w:vAlign w:val="center"/>
            <w:hideMark/>
          </w:tcPr>
          <w:p w14:paraId="2A59A599" w14:textId="38CB4867"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$479,033 </w:t>
            </w:r>
          </w:p>
        </w:tc>
        <w:tc>
          <w:tcPr>
            <w:tcW w:w="1605" w:type="dxa"/>
            <w:tcBorders>
              <w:top w:val="nil"/>
              <w:left w:val="nil"/>
              <w:bottom w:val="nil"/>
              <w:right w:val="nil"/>
            </w:tcBorders>
            <w:shd w:val="clear" w:color="auto" w:fill="auto"/>
            <w:noWrap/>
            <w:vAlign w:val="center"/>
            <w:hideMark/>
          </w:tcPr>
          <w:p w14:paraId="4C32B1AD" w14:textId="0913D861"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$0.2095 </w:t>
            </w:r>
          </w:p>
        </w:tc>
        <w:tc>
          <w:tcPr>
            <w:tcW w:w="1232" w:type="dxa"/>
            <w:tcBorders>
              <w:top w:val="nil"/>
              <w:left w:val="nil"/>
              <w:bottom w:val="nil"/>
              <w:right w:val="nil"/>
            </w:tcBorders>
            <w:shd w:val="clear" w:color="auto" w:fill="auto"/>
            <w:noWrap/>
            <w:vAlign w:val="center"/>
            <w:hideMark/>
          </w:tcPr>
          <w:p w14:paraId="4FD7248B" w14:textId="2623B62E"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1,210,725 </w:t>
            </w:r>
          </w:p>
        </w:tc>
        <w:tc>
          <w:tcPr>
            <w:tcW w:w="1217" w:type="dxa"/>
            <w:tcBorders>
              <w:top w:val="nil"/>
              <w:left w:val="nil"/>
              <w:bottom w:val="nil"/>
              <w:right w:val="nil"/>
            </w:tcBorders>
            <w:shd w:val="clear" w:color="auto" w:fill="auto"/>
            <w:noWrap/>
            <w:vAlign w:val="center"/>
            <w:hideMark/>
          </w:tcPr>
          <w:p w14:paraId="0BA1DB84" w14:textId="2A38AB73"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$259,336 </w:t>
            </w:r>
          </w:p>
        </w:tc>
        <w:tc>
          <w:tcPr>
            <w:tcW w:w="1601" w:type="dxa"/>
            <w:tcBorders>
              <w:top w:val="nil"/>
              <w:left w:val="nil"/>
              <w:bottom w:val="nil"/>
              <w:right w:val="nil"/>
            </w:tcBorders>
            <w:shd w:val="clear" w:color="auto" w:fill="auto"/>
            <w:noWrap/>
            <w:vAlign w:val="center"/>
            <w:hideMark/>
          </w:tcPr>
          <w:p w14:paraId="5B6F0376" w14:textId="7CF34E51"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$0.2142 </w:t>
            </w:r>
          </w:p>
        </w:tc>
      </w:tr>
      <w:tr w:rsidR="00265568" w:rsidRPr="00265568" w14:paraId="4CEF8E73" w14:textId="77777777" w:rsidTr="00265568">
        <w:trPr>
          <w:trHeight w:val="255"/>
        </w:trPr>
        <w:tc>
          <w:tcPr>
            <w:tcW w:w="990" w:type="dxa"/>
            <w:tcBorders>
              <w:top w:val="nil"/>
              <w:left w:val="nil"/>
              <w:bottom w:val="nil"/>
              <w:right w:val="nil"/>
            </w:tcBorders>
            <w:shd w:val="clear" w:color="auto" w:fill="auto"/>
            <w:noWrap/>
            <w:vAlign w:val="center"/>
            <w:hideMark/>
          </w:tcPr>
          <w:p w14:paraId="79347B68" w14:textId="30DC677C"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cstheme="majorHAnsi"/>
                <w:szCs w:val="18"/>
              </w:rPr>
              <w:t>2038</w:t>
            </w:r>
          </w:p>
        </w:tc>
        <w:tc>
          <w:tcPr>
            <w:tcW w:w="1117" w:type="dxa"/>
            <w:tcBorders>
              <w:top w:val="nil"/>
              <w:left w:val="nil"/>
              <w:bottom w:val="nil"/>
              <w:right w:val="nil"/>
            </w:tcBorders>
            <w:shd w:val="clear" w:color="auto" w:fill="auto"/>
            <w:noWrap/>
            <w:vAlign w:val="center"/>
            <w:hideMark/>
          </w:tcPr>
          <w:p w14:paraId="6D6F3CE4" w14:textId="5C203943"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2,279,386 </w:t>
            </w:r>
          </w:p>
        </w:tc>
        <w:tc>
          <w:tcPr>
            <w:tcW w:w="1598" w:type="dxa"/>
            <w:tcBorders>
              <w:top w:val="nil"/>
              <w:left w:val="nil"/>
              <w:bottom w:val="nil"/>
              <w:right w:val="nil"/>
            </w:tcBorders>
            <w:shd w:val="clear" w:color="auto" w:fill="auto"/>
            <w:noWrap/>
            <w:vAlign w:val="center"/>
            <w:hideMark/>
          </w:tcPr>
          <w:p w14:paraId="5F7FD742" w14:textId="6E355FD2"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$477,677 </w:t>
            </w:r>
          </w:p>
        </w:tc>
        <w:tc>
          <w:tcPr>
            <w:tcW w:w="1605" w:type="dxa"/>
            <w:tcBorders>
              <w:top w:val="nil"/>
              <w:left w:val="nil"/>
              <w:bottom w:val="nil"/>
              <w:right w:val="nil"/>
            </w:tcBorders>
            <w:shd w:val="clear" w:color="auto" w:fill="auto"/>
            <w:noWrap/>
            <w:vAlign w:val="center"/>
            <w:hideMark/>
          </w:tcPr>
          <w:p w14:paraId="4671F67D" w14:textId="64725EE6"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$0.2096 </w:t>
            </w:r>
          </w:p>
        </w:tc>
        <w:tc>
          <w:tcPr>
            <w:tcW w:w="1232" w:type="dxa"/>
            <w:tcBorders>
              <w:top w:val="nil"/>
              <w:left w:val="nil"/>
              <w:bottom w:val="nil"/>
              <w:right w:val="nil"/>
            </w:tcBorders>
            <w:shd w:val="clear" w:color="auto" w:fill="auto"/>
            <w:noWrap/>
            <w:vAlign w:val="center"/>
            <w:hideMark/>
          </w:tcPr>
          <w:p w14:paraId="1D09E863" w14:textId="75C5031A"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933,957 </w:t>
            </w:r>
          </w:p>
        </w:tc>
        <w:tc>
          <w:tcPr>
            <w:tcW w:w="1217" w:type="dxa"/>
            <w:tcBorders>
              <w:top w:val="nil"/>
              <w:left w:val="nil"/>
              <w:bottom w:val="nil"/>
              <w:right w:val="nil"/>
            </w:tcBorders>
            <w:shd w:val="clear" w:color="auto" w:fill="auto"/>
            <w:noWrap/>
            <w:vAlign w:val="center"/>
            <w:hideMark/>
          </w:tcPr>
          <w:p w14:paraId="2024E2AD" w14:textId="1E027133"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$199,788 </w:t>
            </w:r>
          </w:p>
        </w:tc>
        <w:tc>
          <w:tcPr>
            <w:tcW w:w="1601" w:type="dxa"/>
            <w:tcBorders>
              <w:top w:val="nil"/>
              <w:left w:val="nil"/>
              <w:bottom w:val="nil"/>
              <w:right w:val="nil"/>
            </w:tcBorders>
            <w:shd w:val="clear" w:color="auto" w:fill="auto"/>
            <w:noWrap/>
            <w:vAlign w:val="center"/>
            <w:hideMark/>
          </w:tcPr>
          <w:p w14:paraId="4218CFFA" w14:textId="22BECA33"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$0.2139 </w:t>
            </w:r>
          </w:p>
        </w:tc>
      </w:tr>
      <w:tr w:rsidR="00265568" w:rsidRPr="00265568" w14:paraId="58C56C98" w14:textId="77777777" w:rsidTr="00265568">
        <w:trPr>
          <w:trHeight w:val="255"/>
        </w:trPr>
        <w:tc>
          <w:tcPr>
            <w:tcW w:w="990" w:type="dxa"/>
            <w:tcBorders>
              <w:top w:val="nil"/>
              <w:left w:val="nil"/>
              <w:bottom w:val="nil"/>
              <w:right w:val="nil"/>
            </w:tcBorders>
            <w:shd w:val="clear" w:color="auto" w:fill="auto"/>
            <w:noWrap/>
            <w:vAlign w:val="center"/>
            <w:hideMark/>
          </w:tcPr>
          <w:p w14:paraId="1D38A972" w14:textId="678A71C0"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cstheme="majorHAnsi"/>
                <w:szCs w:val="18"/>
              </w:rPr>
              <w:t>2039</w:t>
            </w:r>
          </w:p>
        </w:tc>
        <w:tc>
          <w:tcPr>
            <w:tcW w:w="1117" w:type="dxa"/>
            <w:tcBorders>
              <w:top w:val="nil"/>
              <w:left w:val="nil"/>
              <w:bottom w:val="nil"/>
              <w:right w:val="nil"/>
            </w:tcBorders>
            <w:shd w:val="clear" w:color="auto" w:fill="auto"/>
            <w:noWrap/>
            <w:vAlign w:val="center"/>
            <w:hideMark/>
          </w:tcPr>
          <w:p w14:paraId="21C941D3" w14:textId="01E8857F"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2,279,364 </w:t>
            </w:r>
          </w:p>
        </w:tc>
        <w:tc>
          <w:tcPr>
            <w:tcW w:w="1598" w:type="dxa"/>
            <w:tcBorders>
              <w:top w:val="nil"/>
              <w:left w:val="nil"/>
              <w:bottom w:val="nil"/>
              <w:right w:val="nil"/>
            </w:tcBorders>
            <w:shd w:val="clear" w:color="auto" w:fill="auto"/>
            <w:noWrap/>
            <w:vAlign w:val="center"/>
            <w:hideMark/>
          </w:tcPr>
          <w:p w14:paraId="40EEF319" w14:textId="7172C4A0"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$477,677 </w:t>
            </w:r>
          </w:p>
        </w:tc>
        <w:tc>
          <w:tcPr>
            <w:tcW w:w="1605" w:type="dxa"/>
            <w:tcBorders>
              <w:top w:val="nil"/>
              <w:left w:val="nil"/>
              <w:bottom w:val="nil"/>
              <w:right w:val="nil"/>
            </w:tcBorders>
            <w:shd w:val="clear" w:color="auto" w:fill="auto"/>
            <w:noWrap/>
            <w:vAlign w:val="center"/>
            <w:hideMark/>
          </w:tcPr>
          <w:p w14:paraId="29F0EFCF" w14:textId="7EDE7966"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$0.2096 </w:t>
            </w:r>
          </w:p>
        </w:tc>
        <w:tc>
          <w:tcPr>
            <w:tcW w:w="1232" w:type="dxa"/>
            <w:tcBorders>
              <w:top w:val="nil"/>
              <w:left w:val="nil"/>
              <w:bottom w:val="nil"/>
              <w:right w:val="nil"/>
            </w:tcBorders>
            <w:shd w:val="clear" w:color="auto" w:fill="auto"/>
            <w:noWrap/>
            <w:vAlign w:val="center"/>
            <w:hideMark/>
          </w:tcPr>
          <w:p w14:paraId="1B2C96FE" w14:textId="1A8EF9A8"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933,534 </w:t>
            </w:r>
          </w:p>
        </w:tc>
        <w:tc>
          <w:tcPr>
            <w:tcW w:w="1217" w:type="dxa"/>
            <w:tcBorders>
              <w:top w:val="nil"/>
              <w:left w:val="nil"/>
              <w:bottom w:val="nil"/>
              <w:right w:val="nil"/>
            </w:tcBorders>
            <w:shd w:val="clear" w:color="auto" w:fill="auto"/>
            <w:noWrap/>
            <w:vAlign w:val="center"/>
            <w:hideMark/>
          </w:tcPr>
          <w:p w14:paraId="18A949FE" w14:textId="54ED2ACB"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$199,709 </w:t>
            </w:r>
          </w:p>
        </w:tc>
        <w:tc>
          <w:tcPr>
            <w:tcW w:w="1601" w:type="dxa"/>
            <w:tcBorders>
              <w:top w:val="nil"/>
              <w:left w:val="nil"/>
              <w:bottom w:val="nil"/>
              <w:right w:val="nil"/>
            </w:tcBorders>
            <w:shd w:val="clear" w:color="auto" w:fill="auto"/>
            <w:noWrap/>
            <w:vAlign w:val="center"/>
            <w:hideMark/>
          </w:tcPr>
          <w:p w14:paraId="31886632" w14:textId="04F4D8C7"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$0.2139 </w:t>
            </w:r>
          </w:p>
        </w:tc>
      </w:tr>
      <w:tr w:rsidR="00265568" w:rsidRPr="00265568" w14:paraId="458BA122" w14:textId="77777777" w:rsidTr="00265568">
        <w:trPr>
          <w:trHeight w:val="255"/>
        </w:trPr>
        <w:tc>
          <w:tcPr>
            <w:tcW w:w="990" w:type="dxa"/>
            <w:tcBorders>
              <w:top w:val="nil"/>
              <w:left w:val="nil"/>
              <w:bottom w:val="nil"/>
              <w:right w:val="nil"/>
            </w:tcBorders>
            <w:shd w:val="clear" w:color="auto" w:fill="auto"/>
            <w:noWrap/>
            <w:vAlign w:val="center"/>
            <w:hideMark/>
          </w:tcPr>
          <w:p w14:paraId="28E3FAA8" w14:textId="3BF7094A"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cstheme="majorHAnsi"/>
                <w:szCs w:val="18"/>
              </w:rPr>
              <w:t>2040</w:t>
            </w:r>
          </w:p>
        </w:tc>
        <w:tc>
          <w:tcPr>
            <w:tcW w:w="1117" w:type="dxa"/>
            <w:tcBorders>
              <w:top w:val="nil"/>
              <w:left w:val="nil"/>
              <w:bottom w:val="nil"/>
              <w:right w:val="nil"/>
            </w:tcBorders>
            <w:shd w:val="clear" w:color="auto" w:fill="auto"/>
            <w:noWrap/>
            <w:vAlign w:val="center"/>
            <w:hideMark/>
          </w:tcPr>
          <w:p w14:paraId="4D13C709" w14:textId="0D62F4EA"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1,920,573 </w:t>
            </w:r>
          </w:p>
        </w:tc>
        <w:tc>
          <w:tcPr>
            <w:tcW w:w="1598" w:type="dxa"/>
            <w:tcBorders>
              <w:top w:val="nil"/>
              <w:left w:val="nil"/>
              <w:bottom w:val="nil"/>
              <w:right w:val="nil"/>
            </w:tcBorders>
            <w:shd w:val="clear" w:color="auto" w:fill="auto"/>
            <w:noWrap/>
            <w:vAlign w:val="center"/>
            <w:hideMark/>
          </w:tcPr>
          <w:p w14:paraId="0AC79377" w14:textId="4A495AE5"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$402,917 </w:t>
            </w:r>
          </w:p>
        </w:tc>
        <w:tc>
          <w:tcPr>
            <w:tcW w:w="1605" w:type="dxa"/>
            <w:tcBorders>
              <w:top w:val="nil"/>
              <w:left w:val="nil"/>
              <w:bottom w:val="nil"/>
              <w:right w:val="nil"/>
            </w:tcBorders>
            <w:shd w:val="clear" w:color="auto" w:fill="auto"/>
            <w:noWrap/>
            <w:vAlign w:val="center"/>
            <w:hideMark/>
          </w:tcPr>
          <w:p w14:paraId="257104FD" w14:textId="1A4F0818"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$0.2098 </w:t>
            </w:r>
          </w:p>
        </w:tc>
        <w:tc>
          <w:tcPr>
            <w:tcW w:w="1232" w:type="dxa"/>
            <w:tcBorders>
              <w:top w:val="nil"/>
              <w:left w:val="nil"/>
              <w:bottom w:val="nil"/>
              <w:right w:val="nil"/>
            </w:tcBorders>
            <w:shd w:val="clear" w:color="auto" w:fill="auto"/>
            <w:noWrap/>
            <w:vAlign w:val="center"/>
            <w:hideMark/>
          </w:tcPr>
          <w:p w14:paraId="7BD91FB2" w14:textId="4932EBA0"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690,358 </w:t>
            </w:r>
          </w:p>
        </w:tc>
        <w:tc>
          <w:tcPr>
            <w:tcW w:w="1217" w:type="dxa"/>
            <w:tcBorders>
              <w:top w:val="nil"/>
              <w:left w:val="nil"/>
              <w:bottom w:val="nil"/>
              <w:right w:val="nil"/>
            </w:tcBorders>
            <w:shd w:val="clear" w:color="auto" w:fill="auto"/>
            <w:noWrap/>
            <w:vAlign w:val="center"/>
            <w:hideMark/>
          </w:tcPr>
          <w:p w14:paraId="53A1DBEF" w14:textId="1797B12F"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$147,666 </w:t>
            </w:r>
          </w:p>
        </w:tc>
        <w:tc>
          <w:tcPr>
            <w:tcW w:w="1601" w:type="dxa"/>
            <w:tcBorders>
              <w:top w:val="nil"/>
              <w:left w:val="nil"/>
              <w:bottom w:val="nil"/>
              <w:right w:val="nil"/>
            </w:tcBorders>
            <w:shd w:val="clear" w:color="auto" w:fill="auto"/>
            <w:noWrap/>
            <w:vAlign w:val="center"/>
            <w:hideMark/>
          </w:tcPr>
          <w:p w14:paraId="037F4BCD" w14:textId="72A20DE2"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$0.2139 </w:t>
            </w:r>
          </w:p>
        </w:tc>
      </w:tr>
      <w:tr w:rsidR="00265568" w:rsidRPr="00265568" w14:paraId="670FB7BB" w14:textId="77777777" w:rsidTr="00265568">
        <w:trPr>
          <w:trHeight w:val="255"/>
        </w:trPr>
        <w:tc>
          <w:tcPr>
            <w:tcW w:w="990" w:type="dxa"/>
            <w:tcBorders>
              <w:top w:val="nil"/>
              <w:left w:val="nil"/>
              <w:bottom w:val="nil"/>
              <w:right w:val="nil"/>
            </w:tcBorders>
            <w:shd w:val="clear" w:color="auto" w:fill="auto"/>
            <w:noWrap/>
            <w:vAlign w:val="center"/>
            <w:hideMark/>
          </w:tcPr>
          <w:p w14:paraId="18B16EE5" w14:textId="09A27C0C"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cstheme="majorHAnsi"/>
                <w:szCs w:val="18"/>
              </w:rPr>
              <w:t>2041</w:t>
            </w:r>
          </w:p>
        </w:tc>
        <w:tc>
          <w:tcPr>
            <w:tcW w:w="1117" w:type="dxa"/>
            <w:tcBorders>
              <w:top w:val="nil"/>
              <w:left w:val="nil"/>
              <w:bottom w:val="nil"/>
              <w:right w:val="nil"/>
            </w:tcBorders>
            <w:shd w:val="clear" w:color="auto" w:fill="auto"/>
            <w:noWrap/>
            <w:vAlign w:val="center"/>
            <w:hideMark/>
          </w:tcPr>
          <w:p w14:paraId="69F7FCFD" w14:textId="3155987A"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1,917,977 </w:t>
            </w:r>
          </w:p>
        </w:tc>
        <w:tc>
          <w:tcPr>
            <w:tcW w:w="1598" w:type="dxa"/>
            <w:tcBorders>
              <w:top w:val="nil"/>
              <w:left w:val="nil"/>
              <w:bottom w:val="nil"/>
              <w:right w:val="nil"/>
            </w:tcBorders>
            <w:shd w:val="clear" w:color="auto" w:fill="auto"/>
            <w:noWrap/>
            <w:vAlign w:val="center"/>
            <w:hideMark/>
          </w:tcPr>
          <w:p w14:paraId="69B15FC8" w14:textId="544E730F"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$402,259 </w:t>
            </w:r>
          </w:p>
        </w:tc>
        <w:tc>
          <w:tcPr>
            <w:tcW w:w="1605" w:type="dxa"/>
            <w:tcBorders>
              <w:top w:val="nil"/>
              <w:left w:val="nil"/>
              <w:bottom w:val="nil"/>
              <w:right w:val="nil"/>
            </w:tcBorders>
            <w:shd w:val="clear" w:color="auto" w:fill="auto"/>
            <w:noWrap/>
            <w:vAlign w:val="center"/>
            <w:hideMark/>
          </w:tcPr>
          <w:p w14:paraId="54B46EBF" w14:textId="18C331CC"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$0.2097 </w:t>
            </w:r>
          </w:p>
        </w:tc>
        <w:tc>
          <w:tcPr>
            <w:tcW w:w="1232" w:type="dxa"/>
            <w:tcBorders>
              <w:top w:val="nil"/>
              <w:left w:val="nil"/>
              <w:bottom w:val="nil"/>
              <w:right w:val="nil"/>
            </w:tcBorders>
            <w:shd w:val="clear" w:color="auto" w:fill="auto"/>
            <w:noWrap/>
            <w:vAlign w:val="center"/>
            <w:hideMark/>
          </w:tcPr>
          <w:p w14:paraId="29096F3A" w14:textId="57605CBE"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676,956 </w:t>
            </w:r>
          </w:p>
        </w:tc>
        <w:tc>
          <w:tcPr>
            <w:tcW w:w="1217" w:type="dxa"/>
            <w:tcBorders>
              <w:top w:val="nil"/>
              <w:left w:val="nil"/>
              <w:bottom w:val="nil"/>
              <w:right w:val="nil"/>
            </w:tcBorders>
            <w:shd w:val="clear" w:color="auto" w:fill="auto"/>
            <w:noWrap/>
            <w:vAlign w:val="center"/>
            <w:hideMark/>
          </w:tcPr>
          <w:p w14:paraId="69FCD5BD" w14:textId="45F153A4"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$145,077 </w:t>
            </w:r>
          </w:p>
        </w:tc>
        <w:tc>
          <w:tcPr>
            <w:tcW w:w="1601" w:type="dxa"/>
            <w:tcBorders>
              <w:top w:val="nil"/>
              <w:left w:val="nil"/>
              <w:bottom w:val="nil"/>
              <w:right w:val="nil"/>
            </w:tcBorders>
            <w:shd w:val="clear" w:color="auto" w:fill="auto"/>
            <w:noWrap/>
            <w:vAlign w:val="center"/>
            <w:hideMark/>
          </w:tcPr>
          <w:p w14:paraId="23A0B36A" w14:textId="066B4CA5"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$0.2143 </w:t>
            </w:r>
          </w:p>
        </w:tc>
      </w:tr>
      <w:tr w:rsidR="00265568" w:rsidRPr="00265568" w14:paraId="7C7994CE" w14:textId="77777777" w:rsidTr="00265568">
        <w:trPr>
          <w:trHeight w:val="255"/>
        </w:trPr>
        <w:tc>
          <w:tcPr>
            <w:tcW w:w="990" w:type="dxa"/>
            <w:tcBorders>
              <w:top w:val="nil"/>
              <w:left w:val="nil"/>
              <w:bottom w:val="nil"/>
              <w:right w:val="nil"/>
            </w:tcBorders>
            <w:shd w:val="clear" w:color="auto" w:fill="auto"/>
            <w:noWrap/>
            <w:vAlign w:val="center"/>
            <w:hideMark/>
          </w:tcPr>
          <w:p w14:paraId="6108730C" w14:textId="1A2355D2"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cstheme="majorHAnsi"/>
                <w:szCs w:val="18"/>
              </w:rPr>
              <w:t>2042</w:t>
            </w:r>
          </w:p>
        </w:tc>
        <w:tc>
          <w:tcPr>
            <w:tcW w:w="1117" w:type="dxa"/>
            <w:tcBorders>
              <w:top w:val="nil"/>
              <w:left w:val="nil"/>
              <w:bottom w:val="nil"/>
              <w:right w:val="nil"/>
            </w:tcBorders>
            <w:shd w:val="clear" w:color="auto" w:fill="auto"/>
            <w:noWrap/>
            <w:vAlign w:val="center"/>
            <w:hideMark/>
          </w:tcPr>
          <w:p w14:paraId="1C3285B4" w14:textId="670C08E5"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1,855,227 </w:t>
            </w:r>
          </w:p>
        </w:tc>
        <w:tc>
          <w:tcPr>
            <w:tcW w:w="1598" w:type="dxa"/>
            <w:tcBorders>
              <w:top w:val="nil"/>
              <w:left w:val="nil"/>
              <w:bottom w:val="nil"/>
              <w:right w:val="nil"/>
            </w:tcBorders>
            <w:shd w:val="clear" w:color="auto" w:fill="auto"/>
            <w:noWrap/>
            <w:vAlign w:val="center"/>
            <w:hideMark/>
          </w:tcPr>
          <w:p w14:paraId="594004E9" w14:textId="020090BD"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$388,585 </w:t>
            </w:r>
          </w:p>
        </w:tc>
        <w:tc>
          <w:tcPr>
            <w:tcW w:w="1605" w:type="dxa"/>
            <w:tcBorders>
              <w:top w:val="nil"/>
              <w:left w:val="nil"/>
              <w:bottom w:val="nil"/>
              <w:right w:val="nil"/>
            </w:tcBorders>
            <w:shd w:val="clear" w:color="auto" w:fill="auto"/>
            <w:noWrap/>
            <w:vAlign w:val="center"/>
            <w:hideMark/>
          </w:tcPr>
          <w:p w14:paraId="0809332B" w14:textId="799BF10C"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$0.2095 </w:t>
            </w:r>
          </w:p>
        </w:tc>
        <w:tc>
          <w:tcPr>
            <w:tcW w:w="1232" w:type="dxa"/>
            <w:tcBorders>
              <w:top w:val="nil"/>
              <w:left w:val="nil"/>
              <w:bottom w:val="nil"/>
              <w:right w:val="nil"/>
            </w:tcBorders>
            <w:shd w:val="clear" w:color="auto" w:fill="auto"/>
            <w:noWrap/>
            <w:vAlign w:val="center"/>
            <w:hideMark/>
          </w:tcPr>
          <w:p w14:paraId="63FCA7E6" w14:textId="7F1628C3"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674,663 </w:t>
            </w:r>
          </w:p>
        </w:tc>
        <w:tc>
          <w:tcPr>
            <w:tcW w:w="1217" w:type="dxa"/>
            <w:tcBorders>
              <w:top w:val="nil"/>
              <w:left w:val="nil"/>
              <w:bottom w:val="nil"/>
              <w:right w:val="nil"/>
            </w:tcBorders>
            <w:shd w:val="clear" w:color="auto" w:fill="auto"/>
            <w:noWrap/>
            <w:vAlign w:val="center"/>
            <w:hideMark/>
          </w:tcPr>
          <w:p w14:paraId="6EC213FE" w14:textId="79809396"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$144,639 </w:t>
            </w:r>
          </w:p>
        </w:tc>
        <w:tc>
          <w:tcPr>
            <w:tcW w:w="1601" w:type="dxa"/>
            <w:tcBorders>
              <w:top w:val="nil"/>
              <w:left w:val="nil"/>
              <w:bottom w:val="nil"/>
              <w:right w:val="nil"/>
            </w:tcBorders>
            <w:shd w:val="clear" w:color="auto" w:fill="auto"/>
            <w:noWrap/>
            <w:vAlign w:val="center"/>
            <w:hideMark/>
          </w:tcPr>
          <w:p w14:paraId="2685F7A1" w14:textId="388D7369"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$0.2144 </w:t>
            </w:r>
          </w:p>
        </w:tc>
      </w:tr>
      <w:tr w:rsidR="00265568" w:rsidRPr="00265568" w14:paraId="504B19FE" w14:textId="77777777" w:rsidTr="00265568">
        <w:trPr>
          <w:trHeight w:val="255"/>
        </w:trPr>
        <w:tc>
          <w:tcPr>
            <w:tcW w:w="990" w:type="dxa"/>
            <w:tcBorders>
              <w:top w:val="nil"/>
              <w:left w:val="nil"/>
              <w:bottom w:val="nil"/>
              <w:right w:val="nil"/>
            </w:tcBorders>
            <w:shd w:val="clear" w:color="auto" w:fill="auto"/>
            <w:noWrap/>
            <w:vAlign w:val="center"/>
            <w:hideMark/>
          </w:tcPr>
          <w:p w14:paraId="5F4EA150" w14:textId="3AD9E94A"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cstheme="majorHAnsi"/>
                <w:szCs w:val="18"/>
              </w:rPr>
              <w:t>2043</w:t>
            </w:r>
          </w:p>
        </w:tc>
        <w:tc>
          <w:tcPr>
            <w:tcW w:w="1117" w:type="dxa"/>
            <w:tcBorders>
              <w:top w:val="nil"/>
              <w:left w:val="nil"/>
              <w:bottom w:val="nil"/>
              <w:right w:val="nil"/>
            </w:tcBorders>
            <w:shd w:val="clear" w:color="auto" w:fill="auto"/>
            <w:noWrap/>
            <w:vAlign w:val="center"/>
            <w:hideMark/>
          </w:tcPr>
          <w:p w14:paraId="668F6B47" w14:textId="42C6B3B6"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1,855,227 </w:t>
            </w:r>
          </w:p>
        </w:tc>
        <w:tc>
          <w:tcPr>
            <w:tcW w:w="1598" w:type="dxa"/>
            <w:tcBorders>
              <w:top w:val="nil"/>
              <w:left w:val="nil"/>
              <w:bottom w:val="nil"/>
              <w:right w:val="nil"/>
            </w:tcBorders>
            <w:shd w:val="clear" w:color="auto" w:fill="auto"/>
            <w:noWrap/>
            <w:vAlign w:val="center"/>
            <w:hideMark/>
          </w:tcPr>
          <w:p w14:paraId="27136E3E" w14:textId="0992C43E"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$388,585 </w:t>
            </w:r>
          </w:p>
        </w:tc>
        <w:tc>
          <w:tcPr>
            <w:tcW w:w="1605" w:type="dxa"/>
            <w:tcBorders>
              <w:top w:val="nil"/>
              <w:left w:val="nil"/>
              <w:bottom w:val="nil"/>
              <w:right w:val="nil"/>
            </w:tcBorders>
            <w:shd w:val="clear" w:color="auto" w:fill="auto"/>
            <w:noWrap/>
            <w:vAlign w:val="center"/>
            <w:hideMark/>
          </w:tcPr>
          <w:p w14:paraId="2F790622" w14:textId="52296A9A"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$0.2095 </w:t>
            </w:r>
          </w:p>
        </w:tc>
        <w:tc>
          <w:tcPr>
            <w:tcW w:w="1232" w:type="dxa"/>
            <w:tcBorders>
              <w:top w:val="nil"/>
              <w:left w:val="nil"/>
              <w:bottom w:val="nil"/>
              <w:right w:val="nil"/>
            </w:tcBorders>
            <w:shd w:val="clear" w:color="auto" w:fill="auto"/>
            <w:noWrap/>
            <w:vAlign w:val="center"/>
            <w:hideMark/>
          </w:tcPr>
          <w:p w14:paraId="50ED1660" w14:textId="39F692AD"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674,663 </w:t>
            </w:r>
          </w:p>
        </w:tc>
        <w:tc>
          <w:tcPr>
            <w:tcW w:w="1217" w:type="dxa"/>
            <w:tcBorders>
              <w:top w:val="nil"/>
              <w:left w:val="nil"/>
              <w:bottom w:val="nil"/>
              <w:right w:val="nil"/>
            </w:tcBorders>
            <w:shd w:val="clear" w:color="auto" w:fill="auto"/>
            <w:noWrap/>
            <w:vAlign w:val="center"/>
            <w:hideMark/>
          </w:tcPr>
          <w:p w14:paraId="32803A6A" w14:textId="55F39258"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$144,639 </w:t>
            </w:r>
          </w:p>
        </w:tc>
        <w:tc>
          <w:tcPr>
            <w:tcW w:w="1601" w:type="dxa"/>
            <w:tcBorders>
              <w:top w:val="nil"/>
              <w:left w:val="nil"/>
              <w:bottom w:val="nil"/>
              <w:right w:val="nil"/>
            </w:tcBorders>
            <w:shd w:val="clear" w:color="auto" w:fill="auto"/>
            <w:noWrap/>
            <w:vAlign w:val="center"/>
            <w:hideMark/>
          </w:tcPr>
          <w:p w14:paraId="7C4DD0AB" w14:textId="11A4F3D8"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$0.2144 </w:t>
            </w:r>
          </w:p>
        </w:tc>
      </w:tr>
      <w:tr w:rsidR="00265568" w:rsidRPr="00265568" w14:paraId="2D79FE33" w14:textId="77777777" w:rsidTr="00265568">
        <w:trPr>
          <w:trHeight w:val="255"/>
        </w:trPr>
        <w:tc>
          <w:tcPr>
            <w:tcW w:w="990" w:type="dxa"/>
            <w:tcBorders>
              <w:top w:val="nil"/>
              <w:left w:val="nil"/>
              <w:bottom w:val="nil"/>
              <w:right w:val="nil"/>
            </w:tcBorders>
            <w:shd w:val="clear" w:color="auto" w:fill="auto"/>
            <w:noWrap/>
            <w:vAlign w:val="center"/>
            <w:hideMark/>
          </w:tcPr>
          <w:p w14:paraId="6C311870" w14:textId="31BDFFEA"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cstheme="majorHAnsi"/>
                <w:szCs w:val="18"/>
              </w:rPr>
              <w:t>2044</w:t>
            </w:r>
          </w:p>
        </w:tc>
        <w:tc>
          <w:tcPr>
            <w:tcW w:w="1117" w:type="dxa"/>
            <w:tcBorders>
              <w:top w:val="nil"/>
              <w:left w:val="nil"/>
              <w:bottom w:val="nil"/>
              <w:right w:val="nil"/>
            </w:tcBorders>
            <w:shd w:val="clear" w:color="auto" w:fill="auto"/>
            <w:noWrap/>
            <w:vAlign w:val="center"/>
            <w:hideMark/>
          </w:tcPr>
          <w:p w14:paraId="3283617F" w14:textId="1821325B"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1,852,049 </w:t>
            </w:r>
          </w:p>
        </w:tc>
        <w:tc>
          <w:tcPr>
            <w:tcW w:w="1598" w:type="dxa"/>
            <w:tcBorders>
              <w:top w:val="nil"/>
              <w:left w:val="nil"/>
              <w:bottom w:val="nil"/>
              <w:right w:val="nil"/>
            </w:tcBorders>
            <w:shd w:val="clear" w:color="auto" w:fill="auto"/>
            <w:noWrap/>
            <w:vAlign w:val="center"/>
            <w:hideMark/>
          </w:tcPr>
          <w:p w14:paraId="754012AF" w14:textId="7712905D"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$388,009 </w:t>
            </w:r>
          </w:p>
        </w:tc>
        <w:tc>
          <w:tcPr>
            <w:tcW w:w="1605" w:type="dxa"/>
            <w:tcBorders>
              <w:top w:val="nil"/>
              <w:left w:val="nil"/>
              <w:bottom w:val="nil"/>
              <w:right w:val="nil"/>
            </w:tcBorders>
            <w:shd w:val="clear" w:color="auto" w:fill="auto"/>
            <w:noWrap/>
            <w:vAlign w:val="center"/>
            <w:hideMark/>
          </w:tcPr>
          <w:p w14:paraId="3619C3B4" w14:textId="128FBEBC"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$0.2095 </w:t>
            </w:r>
          </w:p>
        </w:tc>
        <w:tc>
          <w:tcPr>
            <w:tcW w:w="1232" w:type="dxa"/>
            <w:tcBorders>
              <w:top w:val="nil"/>
              <w:left w:val="nil"/>
              <w:bottom w:val="nil"/>
              <w:right w:val="nil"/>
            </w:tcBorders>
            <w:shd w:val="clear" w:color="auto" w:fill="auto"/>
            <w:noWrap/>
            <w:vAlign w:val="center"/>
            <w:hideMark/>
          </w:tcPr>
          <w:p w14:paraId="15759B3F" w14:textId="30DC05F3"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674,663 </w:t>
            </w:r>
          </w:p>
        </w:tc>
        <w:tc>
          <w:tcPr>
            <w:tcW w:w="1217" w:type="dxa"/>
            <w:tcBorders>
              <w:top w:val="nil"/>
              <w:left w:val="nil"/>
              <w:bottom w:val="nil"/>
              <w:right w:val="nil"/>
            </w:tcBorders>
            <w:shd w:val="clear" w:color="auto" w:fill="auto"/>
            <w:noWrap/>
            <w:vAlign w:val="center"/>
            <w:hideMark/>
          </w:tcPr>
          <w:p w14:paraId="5BD184F8" w14:textId="1A73086A"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$144,639 </w:t>
            </w:r>
          </w:p>
        </w:tc>
        <w:tc>
          <w:tcPr>
            <w:tcW w:w="1601" w:type="dxa"/>
            <w:tcBorders>
              <w:top w:val="nil"/>
              <w:left w:val="nil"/>
              <w:bottom w:val="nil"/>
              <w:right w:val="nil"/>
            </w:tcBorders>
            <w:shd w:val="clear" w:color="auto" w:fill="auto"/>
            <w:noWrap/>
            <w:vAlign w:val="center"/>
            <w:hideMark/>
          </w:tcPr>
          <w:p w14:paraId="0FE70A12" w14:textId="5FE59ECE"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$0.2144 </w:t>
            </w:r>
          </w:p>
        </w:tc>
      </w:tr>
      <w:tr w:rsidR="00265568" w:rsidRPr="00265568" w14:paraId="4C6D572A" w14:textId="77777777" w:rsidTr="00265568">
        <w:trPr>
          <w:trHeight w:val="255"/>
        </w:trPr>
        <w:tc>
          <w:tcPr>
            <w:tcW w:w="990" w:type="dxa"/>
            <w:tcBorders>
              <w:top w:val="nil"/>
              <w:left w:val="nil"/>
              <w:bottom w:val="nil"/>
              <w:right w:val="nil"/>
            </w:tcBorders>
            <w:shd w:val="clear" w:color="auto" w:fill="auto"/>
            <w:noWrap/>
            <w:vAlign w:val="center"/>
            <w:hideMark/>
          </w:tcPr>
          <w:p w14:paraId="3C19C411" w14:textId="0FC557B1"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cstheme="majorHAnsi"/>
                <w:szCs w:val="18"/>
              </w:rPr>
              <w:t>2045</w:t>
            </w:r>
          </w:p>
        </w:tc>
        <w:tc>
          <w:tcPr>
            <w:tcW w:w="1117" w:type="dxa"/>
            <w:tcBorders>
              <w:top w:val="nil"/>
              <w:left w:val="nil"/>
              <w:bottom w:val="nil"/>
              <w:right w:val="nil"/>
            </w:tcBorders>
            <w:shd w:val="clear" w:color="auto" w:fill="auto"/>
            <w:noWrap/>
            <w:vAlign w:val="center"/>
            <w:hideMark/>
          </w:tcPr>
          <w:p w14:paraId="43839C56" w14:textId="1E4E5AFF"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34,140 </w:t>
            </w:r>
          </w:p>
        </w:tc>
        <w:tc>
          <w:tcPr>
            <w:tcW w:w="1598" w:type="dxa"/>
            <w:tcBorders>
              <w:top w:val="nil"/>
              <w:left w:val="nil"/>
              <w:bottom w:val="nil"/>
              <w:right w:val="nil"/>
            </w:tcBorders>
            <w:shd w:val="clear" w:color="auto" w:fill="auto"/>
            <w:noWrap/>
            <w:vAlign w:val="center"/>
            <w:hideMark/>
          </w:tcPr>
          <w:p w14:paraId="2B11791E" w14:textId="7D28DB25"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$7,433 </w:t>
            </w:r>
          </w:p>
        </w:tc>
        <w:tc>
          <w:tcPr>
            <w:tcW w:w="1605" w:type="dxa"/>
            <w:tcBorders>
              <w:top w:val="nil"/>
              <w:left w:val="nil"/>
              <w:bottom w:val="nil"/>
              <w:right w:val="nil"/>
            </w:tcBorders>
            <w:shd w:val="clear" w:color="auto" w:fill="auto"/>
            <w:noWrap/>
            <w:vAlign w:val="center"/>
            <w:hideMark/>
          </w:tcPr>
          <w:p w14:paraId="586040A0" w14:textId="01E004CE"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$0.2177 </w:t>
            </w:r>
          </w:p>
        </w:tc>
        <w:tc>
          <w:tcPr>
            <w:tcW w:w="1232" w:type="dxa"/>
            <w:tcBorders>
              <w:top w:val="nil"/>
              <w:left w:val="nil"/>
              <w:bottom w:val="nil"/>
              <w:right w:val="nil"/>
            </w:tcBorders>
            <w:shd w:val="clear" w:color="auto" w:fill="auto"/>
            <w:noWrap/>
            <w:vAlign w:val="center"/>
            <w:hideMark/>
          </w:tcPr>
          <w:p w14:paraId="7F9C13F6" w14:textId="547FC60F"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632,869 </w:t>
            </w:r>
          </w:p>
        </w:tc>
        <w:tc>
          <w:tcPr>
            <w:tcW w:w="1217" w:type="dxa"/>
            <w:tcBorders>
              <w:top w:val="nil"/>
              <w:left w:val="nil"/>
              <w:bottom w:val="nil"/>
              <w:right w:val="nil"/>
            </w:tcBorders>
            <w:shd w:val="clear" w:color="auto" w:fill="auto"/>
            <w:noWrap/>
            <w:vAlign w:val="center"/>
            <w:hideMark/>
          </w:tcPr>
          <w:p w14:paraId="21B6BC68" w14:textId="2A8401CE"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$135,432 </w:t>
            </w:r>
          </w:p>
        </w:tc>
        <w:tc>
          <w:tcPr>
            <w:tcW w:w="1601" w:type="dxa"/>
            <w:tcBorders>
              <w:top w:val="nil"/>
              <w:left w:val="nil"/>
              <w:bottom w:val="nil"/>
              <w:right w:val="nil"/>
            </w:tcBorders>
            <w:shd w:val="clear" w:color="auto" w:fill="auto"/>
            <w:noWrap/>
            <w:vAlign w:val="center"/>
            <w:hideMark/>
          </w:tcPr>
          <w:p w14:paraId="7A6694F4" w14:textId="0B30913E"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$0.2140 </w:t>
            </w:r>
          </w:p>
        </w:tc>
      </w:tr>
      <w:tr w:rsidR="00265568" w:rsidRPr="00265568" w14:paraId="757B6537" w14:textId="77777777" w:rsidTr="00265568">
        <w:trPr>
          <w:trHeight w:val="255"/>
        </w:trPr>
        <w:tc>
          <w:tcPr>
            <w:tcW w:w="990" w:type="dxa"/>
            <w:tcBorders>
              <w:top w:val="nil"/>
              <w:left w:val="nil"/>
              <w:bottom w:val="nil"/>
              <w:right w:val="nil"/>
            </w:tcBorders>
            <w:shd w:val="clear" w:color="auto" w:fill="auto"/>
            <w:noWrap/>
            <w:vAlign w:val="center"/>
            <w:hideMark/>
          </w:tcPr>
          <w:p w14:paraId="19B5D049" w14:textId="60A133AC"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cstheme="majorHAnsi"/>
                <w:szCs w:val="18"/>
              </w:rPr>
              <w:t>2046</w:t>
            </w:r>
          </w:p>
        </w:tc>
        <w:tc>
          <w:tcPr>
            <w:tcW w:w="1117" w:type="dxa"/>
            <w:tcBorders>
              <w:top w:val="nil"/>
              <w:left w:val="nil"/>
              <w:bottom w:val="nil"/>
              <w:right w:val="nil"/>
            </w:tcBorders>
            <w:shd w:val="clear" w:color="auto" w:fill="auto"/>
            <w:noWrap/>
            <w:vAlign w:val="center"/>
            <w:hideMark/>
          </w:tcPr>
          <w:p w14:paraId="6F0434D1" w14:textId="56DB03D7"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34,140 </w:t>
            </w:r>
          </w:p>
        </w:tc>
        <w:tc>
          <w:tcPr>
            <w:tcW w:w="1598" w:type="dxa"/>
            <w:tcBorders>
              <w:top w:val="nil"/>
              <w:left w:val="nil"/>
              <w:bottom w:val="nil"/>
              <w:right w:val="nil"/>
            </w:tcBorders>
            <w:shd w:val="clear" w:color="auto" w:fill="auto"/>
            <w:noWrap/>
            <w:vAlign w:val="center"/>
            <w:hideMark/>
          </w:tcPr>
          <w:p w14:paraId="0F6B2DE4" w14:textId="46C6BB63"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$7,433 </w:t>
            </w:r>
          </w:p>
        </w:tc>
        <w:tc>
          <w:tcPr>
            <w:tcW w:w="1605" w:type="dxa"/>
            <w:tcBorders>
              <w:top w:val="nil"/>
              <w:left w:val="nil"/>
              <w:bottom w:val="nil"/>
              <w:right w:val="nil"/>
            </w:tcBorders>
            <w:shd w:val="clear" w:color="auto" w:fill="auto"/>
            <w:noWrap/>
            <w:vAlign w:val="center"/>
            <w:hideMark/>
          </w:tcPr>
          <w:p w14:paraId="1DCC2FF7" w14:textId="5F90B764"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$0.2177 </w:t>
            </w:r>
          </w:p>
        </w:tc>
        <w:tc>
          <w:tcPr>
            <w:tcW w:w="1232" w:type="dxa"/>
            <w:tcBorders>
              <w:top w:val="nil"/>
              <w:left w:val="nil"/>
              <w:bottom w:val="nil"/>
              <w:right w:val="nil"/>
            </w:tcBorders>
            <w:shd w:val="clear" w:color="auto" w:fill="auto"/>
            <w:noWrap/>
            <w:vAlign w:val="center"/>
          </w:tcPr>
          <w:p w14:paraId="3D58C9AF" w14:textId="1941179D" w:rsidR="00265568" w:rsidRPr="00265568" w:rsidRDefault="00265568" w:rsidP="00265568">
            <w:pPr>
              <w:spacing w:line="240" w:lineRule="auto"/>
              <w:jc w:val="right"/>
              <w:rPr>
                <w:rFonts w:ascii="Arial Narrow" w:hAnsi="Arial Narrow" w:cstheme="majorHAnsi"/>
                <w:szCs w:val="18"/>
              </w:rPr>
            </w:pPr>
          </w:p>
        </w:tc>
        <w:tc>
          <w:tcPr>
            <w:tcW w:w="1217" w:type="dxa"/>
            <w:tcBorders>
              <w:top w:val="nil"/>
              <w:left w:val="nil"/>
              <w:bottom w:val="nil"/>
              <w:right w:val="nil"/>
            </w:tcBorders>
            <w:shd w:val="clear" w:color="auto" w:fill="auto"/>
            <w:noWrap/>
            <w:vAlign w:val="center"/>
          </w:tcPr>
          <w:p w14:paraId="123E05D6" w14:textId="319AC33F" w:rsidR="00265568" w:rsidRPr="00265568" w:rsidRDefault="00265568" w:rsidP="00265568">
            <w:pPr>
              <w:spacing w:line="240" w:lineRule="auto"/>
              <w:jc w:val="right"/>
              <w:rPr>
                <w:rFonts w:ascii="Arial Narrow" w:hAnsi="Arial Narrow" w:cstheme="majorHAnsi"/>
                <w:szCs w:val="18"/>
              </w:rPr>
            </w:pPr>
          </w:p>
        </w:tc>
        <w:tc>
          <w:tcPr>
            <w:tcW w:w="1601" w:type="dxa"/>
            <w:tcBorders>
              <w:top w:val="nil"/>
              <w:left w:val="nil"/>
              <w:bottom w:val="nil"/>
              <w:right w:val="nil"/>
            </w:tcBorders>
            <w:shd w:val="clear" w:color="auto" w:fill="auto"/>
            <w:noWrap/>
            <w:vAlign w:val="center"/>
          </w:tcPr>
          <w:p w14:paraId="70728C40" w14:textId="6274B042" w:rsidR="00265568" w:rsidRPr="00265568" w:rsidRDefault="00265568" w:rsidP="00265568">
            <w:pPr>
              <w:spacing w:line="240" w:lineRule="auto"/>
              <w:jc w:val="right"/>
              <w:rPr>
                <w:rFonts w:ascii="Arial Narrow" w:hAnsi="Arial Narrow" w:cstheme="majorHAnsi"/>
                <w:szCs w:val="18"/>
              </w:rPr>
            </w:pPr>
          </w:p>
        </w:tc>
      </w:tr>
      <w:tr w:rsidR="00265568" w:rsidRPr="00265568" w14:paraId="5A9E1FDE" w14:textId="77777777" w:rsidTr="00265568">
        <w:trPr>
          <w:trHeight w:val="255"/>
        </w:trPr>
        <w:tc>
          <w:tcPr>
            <w:tcW w:w="990" w:type="dxa"/>
            <w:tcBorders>
              <w:top w:val="nil"/>
              <w:left w:val="nil"/>
              <w:bottom w:val="nil"/>
              <w:right w:val="nil"/>
            </w:tcBorders>
            <w:shd w:val="clear" w:color="auto" w:fill="auto"/>
            <w:noWrap/>
            <w:vAlign w:val="center"/>
            <w:hideMark/>
          </w:tcPr>
          <w:p w14:paraId="19E6D376" w14:textId="650C07FC"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cstheme="majorHAnsi"/>
                <w:szCs w:val="18"/>
              </w:rPr>
              <w:t>2047</w:t>
            </w:r>
          </w:p>
        </w:tc>
        <w:tc>
          <w:tcPr>
            <w:tcW w:w="1117" w:type="dxa"/>
            <w:tcBorders>
              <w:top w:val="nil"/>
              <w:left w:val="nil"/>
              <w:bottom w:val="nil"/>
              <w:right w:val="nil"/>
            </w:tcBorders>
            <w:shd w:val="clear" w:color="auto" w:fill="auto"/>
            <w:noWrap/>
            <w:vAlign w:val="center"/>
            <w:hideMark/>
          </w:tcPr>
          <w:p w14:paraId="474B1FAC" w14:textId="4F7B6CF5"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27,083 </w:t>
            </w:r>
          </w:p>
        </w:tc>
        <w:tc>
          <w:tcPr>
            <w:tcW w:w="1598" w:type="dxa"/>
            <w:tcBorders>
              <w:top w:val="nil"/>
              <w:left w:val="nil"/>
              <w:bottom w:val="nil"/>
              <w:right w:val="nil"/>
            </w:tcBorders>
            <w:shd w:val="clear" w:color="auto" w:fill="auto"/>
            <w:noWrap/>
            <w:vAlign w:val="center"/>
            <w:hideMark/>
          </w:tcPr>
          <w:p w14:paraId="280AE01A" w14:textId="00B9D8C3"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$6,119 </w:t>
            </w:r>
          </w:p>
        </w:tc>
        <w:tc>
          <w:tcPr>
            <w:tcW w:w="1605" w:type="dxa"/>
            <w:tcBorders>
              <w:top w:val="nil"/>
              <w:left w:val="nil"/>
              <w:bottom w:val="nil"/>
              <w:right w:val="nil"/>
            </w:tcBorders>
            <w:shd w:val="clear" w:color="auto" w:fill="auto"/>
            <w:noWrap/>
            <w:vAlign w:val="center"/>
            <w:hideMark/>
          </w:tcPr>
          <w:p w14:paraId="44441E63" w14:textId="1D826E59"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$0.2259 </w:t>
            </w:r>
          </w:p>
        </w:tc>
        <w:tc>
          <w:tcPr>
            <w:tcW w:w="1232" w:type="dxa"/>
            <w:tcBorders>
              <w:top w:val="nil"/>
              <w:left w:val="nil"/>
              <w:bottom w:val="nil"/>
              <w:right w:val="nil"/>
            </w:tcBorders>
            <w:shd w:val="clear" w:color="auto" w:fill="auto"/>
            <w:noWrap/>
            <w:vAlign w:val="center"/>
          </w:tcPr>
          <w:p w14:paraId="044E86BF" w14:textId="7DDBE902" w:rsidR="00265568" w:rsidRPr="00265568" w:rsidRDefault="00265568" w:rsidP="00265568">
            <w:pPr>
              <w:spacing w:line="240" w:lineRule="auto"/>
              <w:jc w:val="right"/>
              <w:rPr>
                <w:rFonts w:ascii="Arial Narrow" w:hAnsi="Arial Narrow" w:cstheme="majorHAnsi"/>
                <w:szCs w:val="18"/>
              </w:rPr>
            </w:pPr>
          </w:p>
        </w:tc>
        <w:tc>
          <w:tcPr>
            <w:tcW w:w="1217" w:type="dxa"/>
            <w:tcBorders>
              <w:top w:val="nil"/>
              <w:left w:val="nil"/>
              <w:bottom w:val="nil"/>
              <w:right w:val="nil"/>
            </w:tcBorders>
            <w:shd w:val="clear" w:color="auto" w:fill="auto"/>
            <w:noWrap/>
            <w:vAlign w:val="center"/>
          </w:tcPr>
          <w:p w14:paraId="53940B80" w14:textId="648282AC" w:rsidR="00265568" w:rsidRPr="00265568" w:rsidRDefault="00265568" w:rsidP="00265568">
            <w:pPr>
              <w:spacing w:line="240" w:lineRule="auto"/>
              <w:jc w:val="right"/>
              <w:rPr>
                <w:rFonts w:ascii="Arial Narrow" w:hAnsi="Arial Narrow" w:cstheme="majorHAnsi"/>
                <w:szCs w:val="18"/>
              </w:rPr>
            </w:pPr>
          </w:p>
        </w:tc>
        <w:tc>
          <w:tcPr>
            <w:tcW w:w="1601" w:type="dxa"/>
            <w:tcBorders>
              <w:top w:val="nil"/>
              <w:left w:val="nil"/>
              <w:bottom w:val="nil"/>
              <w:right w:val="nil"/>
            </w:tcBorders>
            <w:shd w:val="clear" w:color="auto" w:fill="auto"/>
            <w:noWrap/>
            <w:vAlign w:val="center"/>
          </w:tcPr>
          <w:p w14:paraId="718A1D97" w14:textId="71339FB3" w:rsidR="00265568" w:rsidRPr="00265568" w:rsidRDefault="00265568" w:rsidP="00265568">
            <w:pPr>
              <w:spacing w:line="240" w:lineRule="auto"/>
              <w:jc w:val="right"/>
              <w:rPr>
                <w:rFonts w:ascii="Arial Narrow" w:hAnsi="Arial Narrow" w:cstheme="majorHAnsi"/>
                <w:szCs w:val="18"/>
              </w:rPr>
            </w:pPr>
          </w:p>
        </w:tc>
      </w:tr>
      <w:tr w:rsidR="00265568" w:rsidRPr="00265568" w14:paraId="27FF67FB" w14:textId="77777777" w:rsidTr="00265568">
        <w:trPr>
          <w:trHeight w:val="255"/>
        </w:trPr>
        <w:tc>
          <w:tcPr>
            <w:tcW w:w="990" w:type="dxa"/>
            <w:tcBorders>
              <w:top w:val="nil"/>
              <w:left w:val="nil"/>
              <w:bottom w:val="nil"/>
              <w:right w:val="nil"/>
            </w:tcBorders>
            <w:shd w:val="clear" w:color="auto" w:fill="auto"/>
            <w:noWrap/>
            <w:vAlign w:val="center"/>
            <w:hideMark/>
          </w:tcPr>
          <w:p w14:paraId="7F3964C8" w14:textId="04C5461B"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cstheme="majorHAnsi"/>
                <w:szCs w:val="18"/>
              </w:rPr>
              <w:t>2048</w:t>
            </w:r>
          </w:p>
        </w:tc>
        <w:tc>
          <w:tcPr>
            <w:tcW w:w="1117" w:type="dxa"/>
            <w:tcBorders>
              <w:top w:val="nil"/>
              <w:left w:val="nil"/>
              <w:bottom w:val="nil"/>
              <w:right w:val="nil"/>
            </w:tcBorders>
            <w:shd w:val="clear" w:color="auto" w:fill="auto"/>
            <w:noWrap/>
            <w:vAlign w:val="center"/>
            <w:hideMark/>
          </w:tcPr>
          <w:p w14:paraId="57DC4464" w14:textId="75A1E490"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27,083 </w:t>
            </w:r>
          </w:p>
        </w:tc>
        <w:tc>
          <w:tcPr>
            <w:tcW w:w="1598" w:type="dxa"/>
            <w:tcBorders>
              <w:top w:val="nil"/>
              <w:left w:val="nil"/>
              <w:bottom w:val="nil"/>
              <w:right w:val="nil"/>
            </w:tcBorders>
            <w:shd w:val="clear" w:color="auto" w:fill="auto"/>
            <w:noWrap/>
            <w:vAlign w:val="center"/>
            <w:hideMark/>
          </w:tcPr>
          <w:p w14:paraId="3838945C" w14:textId="5AE2EADE"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$6,119 </w:t>
            </w:r>
          </w:p>
        </w:tc>
        <w:tc>
          <w:tcPr>
            <w:tcW w:w="1605" w:type="dxa"/>
            <w:tcBorders>
              <w:top w:val="nil"/>
              <w:left w:val="nil"/>
              <w:bottom w:val="nil"/>
              <w:right w:val="nil"/>
            </w:tcBorders>
            <w:shd w:val="clear" w:color="auto" w:fill="auto"/>
            <w:noWrap/>
            <w:vAlign w:val="center"/>
            <w:hideMark/>
          </w:tcPr>
          <w:p w14:paraId="6DA053B4" w14:textId="4F484A2A"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$0.2259 </w:t>
            </w:r>
          </w:p>
        </w:tc>
        <w:tc>
          <w:tcPr>
            <w:tcW w:w="1232" w:type="dxa"/>
            <w:tcBorders>
              <w:top w:val="nil"/>
              <w:left w:val="nil"/>
              <w:bottom w:val="nil"/>
              <w:right w:val="nil"/>
            </w:tcBorders>
            <w:shd w:val="clear" w:color="auto" w:fill="auto"/>
            <w:noWrap/>
            <w:vAlign w:val="center"/>
          </w:tcPr>
          <w:p w14:paraId="3AB808C4" w14:textId="6AE57EC7" w:rsidR="00265568" w:rsidRPr="00265568" w:rsidRDefault="00265568" w:rsidP="00265568">
            <w:pPr>
              <w:spacing w:line="240" w:lineRule="auto"/>
              <w:jc w:val="right"/>
              <w:rPr>
                <w:rFonts w:ascii="Arial Narrow" w:hAnsi="Arial Narrow" w:cstheme="majorHAnsi"/>
                <w:szCs w:val="18"/>
              </w:rPr>
            </w:pPr>
          </w:p>
        </w:tc>
        <w:tc>
          <w:tcPr>
            <w:tcW w:w="1217" w:type="dxa"/>
            <w:tcBorders>
              <w:top w:val="nil"/>
              <w:left w:val="nil"/>
              <w:bottom w:val="nil"/>
              <w:right w:val="nil"/>
            </w:tcBorders>
            <w:shd w:val="clear" w:color="auto" w:fill="auto"/>
            <w:noWrap/>
            <w:vAlign w:val="center"/>
          </w:tcPr>
          <w:p w14:paraId="41352217" w14:textId="687851C2" w:rsidR="00265568" w:rsidRPr="00265568" w:rsidRDefault="00265568" w:rsidP="00265568">
            <w:pPr>
              <w:spacing w:line="240" w:lineRule="auto"/>
              <w:jc w:val="right"/>
              <w:rPr>
                <w:rFonts w:ascii="Arial Narrow" w:hAnsi="Arial Narrow" w:cstheme="majorHAnsi"/>
                <w:szCs w:val="18"/>
              </w:rPr>
            </w:pPr>
          </w:p>
        </w:tc>
        <w:tc>
          <w:tcPr>
            <w:tcW w:w="1601" w:type="dxa"/>
            <w:tcBorders>
              <w:top w:val="nil"/>
              <w:left w:val="nil"/>
              <w:bottom w:val="nil"/>
              <w:right w:val="nil"/>
            </w:tcBorders>
            <w:shd w:val="clear" w:color="auto" w:fill="auto"/>
            <w:noWrap/>
            <w:vAlign w:val="center"/>
          </w:tcPr>
          <w:p w14:paraId="2E69B2DC" w14:textId="7886DA79" w:rsidR="00265568" w:rsidRPr="00265568" w:rsidRDefault="00265568" w:rsidP="00265568">
            <w:pPr>
              <w:spacing w:line="240" w:lineRule="auto"/>
              <w:jc w:val="right"/>
              <w:rPr>
                <w:rFonts w:ascii="Arial Narrow" w:hAnsi="Arial Narrow" w:cstheme="majorHAnsi"/>
                <w:szCs w:val="18"/>
              </w:rPr>
            </w:pPr>
          </w:p>
        </w:tc>
      </w:tr>
      <w:tr w:rsidR="00265568" w:rsidRPr="00265568" w14:paraId="2D743774" w14:textId="77777777" w:rsidTr="00265568">
        <w:trPr>
          <w:trHeight w:val="255"/>
        </w:trPr>
        <w:tc>
          <w:tcPr>
            <w:tcW w:w="990" w:type="dxa"/>
            <w:tcBorders>
              <w:top w:val="nil"/>
              <w:left w:val="nil"/>
              <w:bottom w:val="nil"/>
              <w:right w:val="nil"/>
            </w:tcBorders>
            <w:shd w:val="clear" w:color="auto" w:fill="auto"/>
            <w:noWrap/>
            <w:vAlign w:val="center"/>
            <w:hideMark/>
          </w:tcPr>
          <w:p w14:paraId="0C44DBA8" w14:textId="19D2580C"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cstheme="majorHAnsi"/>
                <w:szCs w:val="18"/>
              </w:rPr>
              <w:t>2049</w:t>
            </w:r>
          </w:p>
        </w:tc>
        <w:tc>
          <w:tcPr>
            <w:tcW w:w="1117" w:type="dxa"/>
            <w:tcBorders>
              <w:top w:val="nil"/>
              <w:left w:val="nil"/>
              <w:bottom w:val="single" w:sz="4" w:space="0" w:color="auto"/>
              <w:right w:val="nil"/>
            </w:tcBorders>
            <w:shd w:val="clear" w:color="auto" w:fill="auto"/>
            <w:noWrap/>
            <w:vAlign w:val="center"/>
            <w:hideMark/>
          </w:tcPr>
          <w:p w14:paraId="48AB7CD8" w14:textId="16C4D9F1"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27,083 </w:t>
            </w:r>
          </w:p>
        </w:tc>
        <w:tc>
          <w:tcPr>
            <w:tcW w:w="1598" w:type="dxa"/>
            <w:tcBorders>
              <w:top w:val="nil"/>
              <w:left w:val="nil"/>
              <w:bottom w:val="nil"/>
              <w:right w:val="nil"/>
            </w:tcBorders>
            <w:shd w:val="clear" w:color="auto" w:fill="auto"/>
            <w:noWrap/>
            <w:vAlign w:val="center"/>
            <w:hideMark/>
          </w:tcPr>
          <w:p w14:paraId="75E148E0" w14:textId="1CD01CCA"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$6,119 </w:t>
            </w:r>
          </w:p>
        </w:tc>
        <w:tc>
          <w:tcPr>
            <w:tcW w:w="1605" w:type="dxa"/>
            <w:tcBorders>
              <w:top w:val="nil"/>
              <w:left w:val="nil"/>
              <w:bottom w:val="nil"/>
              <w:right w:val="nil"/>
            </w:tcBorders>
            <w:shd w:val="clear" w:color="auto" w:fill="auto"/>
            <w:noWrap/>
            <w:vAlign w:val="center"/>
            <w:hideMark/>
          </w:tcPr>
          <w:p w14:paraId="5EB5B47B" w14:textId="078B6578" w:rsidR="00265568" w:rsidRPr="00265568" w:rsidRDefault="00265568" w:rsidP="00265568">
            <w:pPr>
              <w:spacing w:line="240" w:lineRule="auto"/>
              <w:jc w:val="right"/>
              <w:rPr>
                <w:rFonts w:ascii="Arial Narrow" w:hAnsi="Arial Narrow" w:cstheme="majorHAnsi"/>
                <w:szCs w:val="18"/>
              </w:rPr>
            </w:pPr>
            <w:r w:rsidRPr="00265568">
              <w:rPr>
                <w:rFonts w:ascii="Arial Narrow" w:hAnsi="Arial Narrow"/>
                <w:szCs w:val="18"/>
              </w:rPr>
              <w:t xml:space="preserve"> $0.2259 </w:t>
            </w:r>
          </w:p>
        </w:tc>
        <w:tc>
          <w:tcPr>
            <w:tcW w:w="1232" w:type="dxa"/>
            <w:tcBorders>
              <w:top w:val="nil"/>
              <w:left w:val="nil"/>
              <w:bottom w:val="nil"/>
              <w:right w:val="nil"/>
            </w:tcBorders>
            <w:shd w:val="clear" w:color="auto" w:fill="auto"/>
            <w:noWrap/>
            <w:vAlign w:val="center"/>
          </w:tcPr>
          <w:p w14:paraId="7BD9BD4E" w14:textId="7544A74E" w:rsidR="00265568" w:rsidRPr="00265568" w:rsidRDefault="00265568" w:rsidP="00265568">
            <w:pPr>
              <w:spacing w:line="240" w:lineRule="auto"/>
              <w:jc w:val="right"/>
              <w:rPr>
                <w:rFonts w:ascii="Arial Narrow" w:hAnsi="Arial Narrow" w:cstheme="majorHAnsi"/>
                <w:szCs w:val="18"/>
              </w:rPr>
            </w:pPr>
          </w:p>
        </w:tc>
        <w:tc>
          <w:tcPr>
            <w:tcW w:w="1217" w:type="dxa"/>
            <w:tcBorders>
              <w:top w:val="nil"/>
              <w:left w:val="nil"/>
              <w:bottom w:val="nil"/>
              <w:right w:val="nil"/>
            </w:tcBorders>
            <w:shd w:val="clear" w:color="auto" w:fill="auto"/>
            <w:noWrap/>
            <w:vAlign w:val="center"/>
          </w:tcPr>
          <w:p w14:paraId="6B404561" w14:textId="30CE4BF4" w:rsidR="00265568" w:rsidRPr="00265568" w:rsidRDefault="00265568" w:rsidP="00265568">
            <w:pPr>
              <w:spacing w:line="240" w:lineRule="auto"/>
              <w:jc w:val="right"/>
              <w:rPr>
                <w:rFonts w:ascii="Arial Narrow" w:hAnsi="Arial Narrow" w:cstheme="majorHAnsi"/>
                <w:szCs w:val="18"/>
              </w:rPr>
            </w:pPr>
          </w:p>
        </w:tc>
        <w:tc>
          <w:tcPr>
            <w:tcW w:w="1601" w:type="dxa"/>
            <w:tcBorders>
              <w:top w:val="nil"/>
              <w:left w:val="nil"/>
              <w:bottom w:val="nil"/>
              <w:right w:val="nil"/>
            </w:tcBorders>
            <w:shd w:val="clear" w:color="auto" w:fill="auto"/>
            <w:noWrap/>
            <w:vAlign w:val="center"/>
          </w:tcPr>
          <w:p w14:paraId="1BB297BF" w14:textId="013D8970" w:rsidR="00265568" w:rsidRPr="00265568" w:rsidRDefault="00265568" w:rsidP="00265568">
            <w:pPr>
              <w:spacing w:line="240" w:lineRule="auto"/>
              <w:jc w:val="right"/>
              <w:rPr>
                <w:rFonts w:ascii="Arial Narrow" w:hAnsi="Arial Narrow" w:cstheme="majorHAnsi"/>
                <w:szCs w:val="18"/>
              </w:rPr>
            </w:pPr>
          </w:p>
        </w:tc>
      </w:tr>
      <w:tr w:rsidR="00265568" w:rsidRPr="00265568" w14:paraId="6E15FA88" w14:textId="77777777" w:rsidTr="00F577DE">
        <w:trPr>
          <w:trHeight w:val="255"/>
        </w:trPr>
        <w:tc>
          <w:tcPr>
            <w:tcW w:w="990" w:type="dxa"/>
            <w:tcBorders>
              <w:top w:val="single" w:sz="4" w:space="0" w:color="auto"/>
              <w:left w:val="nil"/>
              <w:bottom w:val="single" w:sz="4" w:space="0" w:color="auto"/>
              <w:right w:val="nil"/>
            </w:tcBorders>
            <w:shd w:val="clear" w:color="auto" w:fill="auto"/>
            <w:noWrap/>
            <w:vAlign w:val="center"/>
            <w:hideMark/>
          </w:tcPr>
          <w:p w14:paraId="5E803867" w14:textId="3EBBF339" w:rsidR="00265568" w:rsidRPr="00265568" w:rsidRDefault="00265568">
            <w:pPr>
              <w:spacing w:line="240" w:lineRule="auto"/>
              <w:jc w:val="right"/>
              <w:rPr>
                <w:rFonts w:ascii="Arial Narrow" w:hAnsi="Arial Narrow" w:cstheme="majorHAnsi"/>
                <w:b/>
                <w:bCs/>
                <w:szCs w:val="18"/>
              </w:rPr>
            </w:pPr>
            <w:r w:rsidRPr="00265568">
              <w:rPr>
                <w:rFonts w:ascii="Arial Narrow" w:hAnsi="Arial Narrow" w:cstheme="majorHAnsi"/>
                <w:b/>
                <w:bCs/>
                <w:szCs w:val="18"/>
              </w:rPr>
              <w:t>Lifetime</w:t>
            </w:r>
          </w:p>
        </w:tc>
        <w:tc>
          <w:tcPr>
            <w:tcW w:w="1117" w:type="dxa"/>
            <w:tcBorders>
              <w:top w:val="nil"/>
              <w:left w:val="nil"/>
              <w:bottom w:val="single" w:sz="4" w:space="0" w:color="auto"/>
              <w:right w:val="nil"/>
            </w:tcBorders>
            <w:shd w:val="clear" w:color="auto" w:fill="auto"/>
            <w:noWrap/>
            <w:vAlign w:val="center"/>
            <w:hideMark/>
          </w:tcPr>
          <w:p w14:paraId="7800AA65" w14:textId="2F38CEB0" w:rsidR="00265568" w:rsidRPr="00265568" w:rsidRDefault="00265568">
            <w:pPr>
              <w:spacing w:line="240" w:lineRule="auto"/>
              <w:jc w:val="right"/>
              <w:rPr>
                <w:rFonts w:ascii="Arial Narrow" w:hAnsi="Arial Narrow" w:cstheme="majorHAnsi"/>
                <w:b/>
                <w:bCs/>
                <w:szCs w:val="18"/>
              </w:rPr>
            </w:pPr>
            <w:r w:rsidRPr="00265568">
              <w:rPr>
                <w:rFonts w:ascii="Arial Narrow" w:hAnsi="Arial Narrow"/>
                <w:b/>
                <w:bCs/>
                <w:szCs w:val="18"/>
              </w:rPr>
              <w:t>58,079,599</w:t>
            </w:r>
          </w:p>
        </w:tc>
        <w:tc>
          <w:tcPr>
            <w:tcW w:w="1598" w:type="dxa"/>
            <w:tcBorders>
              <w:top w:val="single" w:sz="4" w:space="0" w:color="auto"/>
              <w:left w:val="nil"/>
              <w:bottom w:val="single" w:sz="4" w:space="0" w:color="auto"/>
              <w:right w:val="nil"/>
            </w:tcBorders>
            <w:shd w:val="clear" w:color="auto" w:fill="auto"/>
            <w:noWrap/>
            <w:vAlign w:val="center"/>
            <w:hideMark/>
          </w:tcPr>
          <w:p w14:paraId="4C95E2DF" w14:textId="364ECBE6" w:rsidR="00265568" w:rsidRPr="00265568" w:rsidRDefault="00265568">
            <w:pPr>
              <w:spacing w:line="240" w:lineRule="auto"/>
              <w:jc w:val="right"/>
              <w:rPr>
                <w:rFonts w:ascii="Arial Narrow" w:hAnsi="Arial Narrow" w:cstheme="majorHAnsi"/>
                <w:b/>
                <w:bCs/>
                <w:szCs w:val="18"/>
              </w:rPr>
            </w:pPr>
            <w:r w:rsidRPr="00265568">
              <w:rPr>
                <w:rFonts w:ascii="Arial Narrow" w:hAnsi="Arial Narrow"/>
                <w:b/>
                <w:bCs/>
                <w:szCs w:val="18"/>
              </w:rPr>
              <w:t xml:space="preserve"> $12,058,649 </w:t>
            </w:r>
          </w:p>
        </w:tc>
        <w:tc>
          <w:tcPr>
            <w:tcW w:w="1605" w:type="dxa"/>
            <w:tcBorders>
              <w:top w:val="single" w:sz="4" w:space="0" w:color="auto"/>
              <w:left w:val="nil"/>
              <w:bottom w:val="single" w:sz="4" w:space="0" w:color="auto"/>
              <w:right w:val="nil"/>
            </w:tcBorders>
            <w:shd w:val="clear" w:color="auto" w:fill="auto"/>
            <w:noWrap/>
            <w:vAlign w:val="center"/>
            <w:hideMark/>
          </w:tcPr>
          <w:p w14:paraId="2D2D5A5B" w14:textId="44DE1212" w:rsidR="00265568" w:rsidRPr="00265568" w:rsidRDefault="00265568">
            <w:pPr>
              <w:spacing w:line="240" w:lineRule="auto"/>
              <w:jc w:val="right"/>
              <w:rPr>
                <w:rFonts w:ascii="Arial Narrow" w:hAnsi="Arial Narrow" w:cstheme="majorHAnsi"/>
                <w:b/>
                <w:bCs/>
                <w:szCs w:val="18"/>
              </w:rPr>
            </w:pPr>
            <w:r w:rsidRPr="00265568">
              <w:rPr>
                <w:rFonts w:ascii="Arial Narrow" w:hAnsi="Arial Narrow"/>
                <w:b/>
                <w:bCs/>
                <w:szCs w:val="18"/>
              </w:rPr>
              <w:t xml:space="preserve"> $0.2076 </w:t>
            </w:r>
          </w:p>
        </w:tc>
        <w:tc>
          <w:tcPr>
            <w:tcW w:w="1232" w:type="dxa"/>
            <w:tcBorders>
              <w:top w:val="single" w:sz="4" w:space="0" w:color="auto"/>
              <w:left w:val="nil"/>
              <w:bottom w:val="single" w:sz="4" w:space="0" w:color="auto"/>
              <w:right w:val="nil"/>
            </w:tcBorders>
            <w:shd w:val="clear" w:color="auto" w:fill="auto"/>
            <w:noWrap/>
            <w:vAlign w:val="center"/>
            <w:hideMark/>
          </w:tcPr>
          <w:p w14:paraId="3FF02AA1" w14:textId="29111EB1" w:rsidR="00265568" w:rsidRPr="00265568" w:rsidRDefault="00265568">
            <w:pPr>
              <w:spacing w:line="240" w:lineRule="auto"/>
              <w:jc w:val="right"/>
              <w:rPr>
                <w:rFonts w:ascii="Arial Narrow" w:hAnsi="Arial Narrow" w:cstheme="majorHAnsi"/>
                <w:b/>
                <w:bCs/>
                <w:szCs w:val="18"/>
              </w:rPr>
            </w:pPr>
            <w:r w:rsidRPr="00F577DE">
              <w:rPr>
                <w:rFonts w:ascii="Arial Narrow" w:hAnsi="Arial Narrow"/>
                <w:b/>
                <w:bCs/>
                <w:szCs w:val="18"/>
              </w:rPr>
              <w:t xml:space="preserve"> </w:t>
            </w:r>
            <w:r w:rsidRPr="00265568">
              <w:rPr>
                <w:rFonts w:ascii="Arial Narrow" w:hAnsi="Arial Narrow"/>
                <w:b/>
                <w:bCs/>
                <w:szCs w:val="18"/>
              </w:rPr>
              <w:t xml:space="preserve"> 32,249,418 </w:t>
            </w:r>
          </w:p>
        </w:tc>
        <w:tc>
          <w:tcPr>
            <w:tcW w:w="1217" w:type="dxa"/>
            <w:tcBorders>
              <w:top w:val="single" w:sz="4" w:space="0" w:color="auto"/>
              <w:left w:val="nil"/>
              <w:bottom w:val="single" w:sz="4" w:space="0" w:color="auto"/>
              <w:right w:val="nil"/>
            </w:tcBorders>
            <w:shd w:val="clear" w:color="auto" w:fill="auto"/>
            <w:noWrap/>
            <w:vAlign w:val="center"/>
            <w:hideMark/>
          </w:tcPr>
          <w:p w14:paraId="7BA02698" w14:textId="10D336EF" w:rsidR="00265568" w:rsidRPr="00265568" w:rsidRDefault="00265568">
            <w:pPr>
              <w:spacing w:line="240" w:lineRule="auto"/>
              <w:jc w:val="right"/>
              <w:rPr>
                <w:rFonts w:ascii="Arial Narrow" w:hAnsi="Arial Narrow" w:cstheme="majorHAnsi"/>
                <w:b/>
                <w:bCs/>
                <w:szCs w:val="18"/>
              </w:rPr>
            </w:pPr>
            <w:r w:rsidRPr="00F577DE">
              <w:rPr>
                <w:rFonts w:ascii="Arial Narrow" w:hAnsi="Arial Narrow"/>
                <w:b/>
                <w:bCs/>
                <w:szCs w:val="18"/>
              </w:rPr>
              <w:t xml:space="preserve"> $47,173,238 </w:t>
            </w:r>
          </w:p>
        </w:tc>
        <w:tc>
          <w:tcPr>
            <w:tcW w:w="1601" w:type="dxa"/>
            <w:tcBorders>
              <w:top w:val="single" w:sz="4" w:space="0" w:color="auto"/>
              <w:left w:val="nil"/>
              <w:bottom w:val="single" w:sz="4" w:space="0" w:color="auto"/>
              <w:right w:val="nil"/>
            </w:tcBorders>
            <w:shd w:val="clear" w:color="auto" w:fill="auto"/>
            <w:noWrap/>
            <w:vAlign w:val="center"/>
            <w:hideMark/>
          </w:tcPr>
          <w:p w14:paraId="49F599B1" w14:textId="11EF1F02" w:rsidR="00265568" w:rsidRPr="00265568" w:rsidRDefault="00265568">
            <w:pPr>
              <w:spacing w:line="240" w:lineRule="auto"/>
              <w:jc w:val="right"/>
              <w:rPr>
                <w:rFonts w:ascii="Arial Narrow" w:hAnsi="Arial Narrow" w:cstheme="majorHAnsi"/>
                <w:b/>
                <w:bCs/>
                <w:szCs w:val="18"/>
              </w:rPr>
            </w:pPr>
            <w:r w:rsidRPr="00F577DE">
              <w:rPr>
                <w:rFonts w:ascii="Arial Narrow" w:hAnsi="Arial Narrow"/>
                <w:b/>
                <w:bCs/>
                <w:szCs w:val="18"/>
              </w:rPr>
              <w:t xml:space="preserve"> $0.18416 </w:t>
            </w:r>
          </w:p>
        </w:tc>
      </w:tr>
    </w:tbl>
    <w:p w14:paraId="4D846DF2" w14:textId="1D853B56" w:rsidR="00DC73A9" w:rsidRDefault="006F3AF7" w:rsidP="003D65A0">
      <w:pPr>
        <w:rPr>
          <w:i/>
          <w:iCs/>
          <w:sz w:val="16"/>
          <w:szCs w:val="20"/>
        </w:rPr>
      </w:pPr>
      <w:r w:rsidRPr="003250F9">
        <w:rPr>
          <w:i/>
          <w:iCs/>
          <w:sz w:val="16"/>
          <w:szCs w:val="20"/>
        </w:rPr>
        <w:t>Source: Guidehouse CY201</w:t>
      </w:r>
      <w:r>
        <w:rPr>
          <w:i/>
          <w:iCs/>
          <w:sz w:val="16"/>
          <w:szCs w:val="20"/>
        </w:rPr>
        <w:t>9</w:t>
      </w:r>
      <w:r w:rsidRPr="003250F9">
        <w:rPr>
          <w:i/>
          <w:iCs/>
          <w:sz w:val="16"/>
          <w:szCs w:val="20"/>
        </w:rPr>
        <w:t xml:space="preserve"> </w:t>
      </w:r>
      <w:r w:rsidR="00363BBB">
        <w:rPr>
          <w:i/>
          <w:iCs/>
          <w:sz w:val="16"/>
          <w:szCs w:val="20"/>
        </w:rPr>
        <w:t>Peoples</w:t>
      </w:r>
      <w:r w:rsidRPr="003250F9">
        <w:rPr>
          <w:i/>
          <w:iCs/>
          <w:sz w:val="16"/>
          <w:szCs w:val="20"/>
        </w:rPr>
        <w:t xml:space="preserve"> Gas Program Savings </w:t>
      </w:r>
      <w:r>
        <w:rPr>
          <w:i/>
          <w:iCs/>
          <w:sz w:val="16"/>
          <w:szCs w:val="20"/>
        </w:rPr>
        <w:t xml:space="preserve">Analysis </w:t>
      </w:r>
      <w:r w:rsidRPr="003250F9">
        <w:rPr>
          <w:i/>
          <w:iCs/>
          <w:sz w:val="16"/>
          <w:szCs w:val="20"/>
        </w:rPr>
        <w:t>data and COBRA model</w:t>
      </w:r>
      <w:r>
        <w:rPr>
          <w:i/>
          <w:iCs/>
          <w:sz w:val="16"/>
          <w:szCs w:val="20"/>
        </w:rPr>
        <w:t>.</w:t>
      </w:r>
    </w:p>
    <w:p w14:paraId="0CA13BC4" w14:textId="77777777" w:rsidR="006F3AF7" w:rsidRDefault="006F3AF7" w:rsidP="003D65A0">
      <w:pPr>
        <w:rPr>
          <w:i/>
          <w:iCs/>
          <w:sz w:val="16"/>
          <w:szCs w:val="20"/>
        </w:rPr>
      </w:pPr>
    </w:p>
    <w:p w14:paraId="10660732" w14:textId="6E4B1F7C" w:rsidR="000C7C3C" w:rsidRDefault="000C7C3C" w:rsidP="000C7C3C">
      <w:pPr>
        <w:pStyle w:val="Heading1"/>
        <w:spacing w:before="360" w:after="120" w:line="240" w:lineRule="auto"/>
        <w:contextualSpacing/>
        <w:rPr>
          <w:rFonts w:eastAsiaTheme="minorHAnsi" w:cs="Arial"/>
          <w:bCs/>
          <w:smallCaps/>
          <w:color w:val="93D500" w:themeColor="accent1"/>
          <w:kern w:val="28"/>
          <w:position w:val="6"/>
          <w:sz w:val="28"/>
          <w:szCs w:val="26"/>
        </w:rPr>
      </w:pPr>
      <w:bookmarkStart w:id="24" w:name="_Ref44493104"/>
      <w:r>
        <w:rPr>
          <w:rFonts w:eastAsiaTheme="minorHAnsi" w:cs="Arial"/>
          <w:bCs/>
          <w:smallCaps/>
          <w:color w:val="93D500" w:themeColor="accent1"/>
          <w:kern w:val="28"/>
          <w:position w:val="6"/>
          <w:sz w:val="28"/>
          <w:szCs w:val="26"/>
        </w:rPr>
        <w:t xml:space="preserve">Appendix </w:t>
      </w:r>
      <w:r w:rsidR="00C139B4">
        <w:rPr>
          <w:rFonts w:eastAsiaTheme="minorHAnsi" w:cs="Arial"/>
          <w:bCs/>
          <w:smallCaps/>
          <w:color w:val="93D500" w:themeColor="accent1"/>
          <w:kern w:val="28"/>
          <w:position w:val="6"/>
          <w:sz w:val="28"/>
          <w:szCs w:val="26"/>
        </w:rPr>
        <w:t>B</w:t>
      </w:r>
      <w:r>
        <w:rPr>
          <w:rFonts w:eastAsiaTheme="minorHAnsi" w:cs="Arial"/>
          <w:bCs/>
          <w:smallCaps/>
          <w:color w:val="93D500" w:themeColor="accent1"/>
          <w:kern w:val="28"/>
          <w:position w:val="6"/>
          <w:sz w:val="28"/>
          <w:szCs w:val="26"/>
        </w:rPr>
        <w:t xml:space="preserve">. </w:t>
      </w:r>
      <w:r w:rsidR="00197014">
        <w:rPr>
          <w:rFonts w:eastAsiaTheme="minorHAnsi" w:cs="Arial"/>
          <w:bCs/>
          <w:smallCaps/>
          <w:color w:val="93D500" w:themeColor="accent1"/>
          <w:kern w:val="28"/>
          <w:position w:val="6"/>
          <w:sz w:val="28"/>
          <w:szCs w:val="26"/>
        </w:rPr>
        <w:t>Participant NEIs – Source Values</w:t>
      </w:r>
      <w:bookmarkEnd w:id="24"/>
    </w:p>
    <w:p w14:paraId="1D62260B" w14:textId="0C6C4360" w:rsidR="00457B86" w:rsidRPr="00DD4A5F" w:rsidRDefault="00DD4A5F" w:rsidP="00165445">
      <w:pPr>
        <w:rPr>
          <w:sz w:val="20"/>
          <w:szCs w:val="28"/>
        </w:rPr>
      </w:pPr>
      <w:bookmarkStart w:id="25" w:name="_Hlk44923514"/>
      <w:r w:rsidRPr="00DD4A5F">
        <w:rPr>
          <w:sz w:val="20"/>
          <w:szCs w:val="28"/>
        </w:rPr>
        <w:t>Three</w:t>
      </w:r>
      <w:r w:rsidRPr="00DD4A5F">
        <w:rPr>
          <w:sz w:val="20"/>
          <w:szCs w:val="28"/>
          <w:vertAlign w:val="superscript"/>
        </w:rPr>
        <w:t>3</w:t>
      </w:r>
      <w:r>
        <w:rPr>
          <w:sz w:val="20"/>
          <w:szCs w:val="28"/>
        </w:rPr>
        <w:t xml:space="preserve"> and NMR Group conducted a </w:t>
      </w:r>
      <w:r w:rsidR="0093141D">
        <w:rPr>
          <w:sz w:val="20"/>
          <w:szCs w:val="28"/>
        </w:rPr>
        <w:t xml:space="preserve">primary research study for Massachusetts </w:t>
      </w:r>
      <w:r w:rsidR="0093141D" w:rsidRPr="0093141D">
        <w:rPr>
          <w:sz w:val="20"/>
          <w:szCs w:val="28"/>
        </w:rPr>
        <w:t>to determine the participant NEIs associated with income eligible programs including reduced effects of asthma, cold- and heat-related thermal stress, missed days of work, deaths, and fire damag</w:t>
      </w:r>
      <w:r w:rsidR="0093141D">
        <w:rPr>
          <w:sz w:val="20"/>
          <w:szCs w:val="28"/>
        </w:rPr>
        <w:t>e</w:t>
      </w:r>
      <w:r w:rsidR="0008614F">
        <w:rPr>
          <w:sz w:val="20"/>
          <w:szCs w:val="28"/>
        </w:rPr>
        <w:t>.</w:t>
      </w:r>
      <w:r w:rsidR="002B11B5">
        <w:rPr>
          <w:sz w:val="20"/>
          <w:szCs w:val="28"/>
        </w:rPr>
        <w:fldChar w:fldCharType="begin"/>
      </w:r>
      <w:r w:rsidR="002B11B5">
        <w:rPr>
          <w:sz w:val="20"/>
          <w:szCs w:val="28"/>
        </w:rPr>
        <w:instrText xml:space="preserve"> NOTEREF _Ref44921634 \f \h </w:instrText>
      </w:r>
      <w:r w:rsidR="002B11B5">
        <w:rPr>
          <w:sz w:val="20"/>
          <w:szCs w:val="28"/>
        </w:rPr>
      </w:r>
      <w:r w:rsidR="002B11B5">
        <w:rPr>
          <w:sz w:val="20"/>
          <w:szCs w:val="28"/>
        </w:rPr>
        <w:fldChar w:fldCharType="separate"/>
      </w:r>
      <w:r w:rsidR="00843FDC" w:rsidRPr="00843FDC">
        <w:rPr>
          <w:rStyle w:val="FootnoteReference"/>
        </w:rPr>
        <w:t>16</w:t>
      </w:r>
      <w:r w:rsidR="002B11B5">
        <w:rPr>
          <w:sz w:val="20"/>
          <w:szCs w:val="28"/>
        </w:rPr>
        <w:fldChar w:fldCharType="end"/>
      </w:r>
      <w:r w:rsidR="0093141D">
        <w:rPr>
          <w:sz w:val="20"/>
          <w:szCs w:val="28"/>
        </w:rPr>
        <w:t xml:space="preserve"> </w:t>
      </w:r>
      <w:r w:rsidR="0093141D" w:rsidRPr="0093141D">
        <w:rPr>
          <w:sz w:val="20"/>
          <w:szCs w:val="28"/>
        </w:rPr>
        <w:t>These monetized values are provided in the statewide TRM. Massachusetts utilities include these monetized values in their programs’ TRC tests</w:t>
      </w:r>
      <w:r w:rsidR="0008614F">
        <w:rPr>
          <w:sz w:val="20"/>
          <w:szCs w:val="28"/>
        </w:rPr>
        <w:t>.</w:t>
      </w:r>
      <w:r w:rsidR="0093141D" w:rsidRPr="0093141D">
        <w:rPr>
          <w:rStyle w:val="FootnoteReference"/>
          <w:sz w:val="20"/>
          <w:szCs w:val="28"/>
        </w:rPr>
        <w:footnoteReference w:id="22"/>
      </w:r>
    </w:p>
    <w:p w14:paraId="74106E76" w14:textId="1D688217" w:rsidR="00457B86" w:rsidRDefault="00457B86" w:rsidP="00165445"/>
    <w:p w14:paraId="4D537D81" w14:textId="258FFD27" w:rsidR="0093141D" w:rsidRPr="0093141D" w:rsidRDefault="0093141D" w:rsidP="00165445">
      <w:pPr>
        <w:rPr>
          <w:sz w:val="20"/>
          <w:szCs w:val="28"/>
        </w:rPr>
      </w:pPr>
      <w:r w:rsidRPr="0093141D">
        <w:rPr>
          <w:sz w:val="20"/>
          <w:szCs w:val="28"/>
        </w:rPr>
        <w:t>Th</w:t>
      </w:r>
      <w:r>
        <w:rPr>
          <w:sz w:val="20"/>
          <w:szCs w:val="28"/>
        </w:rPr>
        <w:t>e</w:t>
      </w:r>
      <w:r w:rsidRPr="0093141D">
        <w:rPr>
          <w:sz w:val="20"/>
          <w:szCs w:val="28"/>
        </w:rPr>
        <w:t xml:space="preserve"> 2018</w:t>
      </w:r>
      <w:r>
        <w:rPr>
          <w:sz w:val="20"/>
          <w:szCs w:val="28"/>
        </w:rPr>
        <w:t xml:space="preserve"> Massachusetts study is specific to Low-Income Multi</w:t>
      </w:r>
      <w:r w:rsidR="0008614F">
        <w:rPr>
          <w:sz w:val="20"/>
          <w:szCs w:val="28"/>
        </w:rPr>
        <w:t>-</w:t>
      </w:r>
      <w:r>
        <w:rPr>
          <w:sz w:val="20"/>
          <w:szCs w:val="28"/>
        </w:rPr>
        <w:t>family</w:t>
      </w:r>
      <w:r w:rsidR="00057F8A">
        <w:rPr>
          <w:sz w:val="20"/>
          <w:szCs w:val="28"/>
        </w:rPr>
        <w:t xml:space="preserve"> (LIMF)</w:t>
      </w:r>
      <w:r>
        <w:rPr>
          <w:sz w:val="20"/>
          <w:szCs w:val="28"/>
        </w:rPr>
        <w:t xml:space="preserve"> Health and Safety-Related NEIs</w:t>
      </w:r>
      <w:r>
        <w:rPr>
          <w:sz w:val="20"/>
          <w:szCs w:val="28"/>
        </w:rPr>
        <w:fldChar w:fldCharType="begin"/>
      </w:r>
      <w:r>
        <w:rPr>
          <w:sz w:val="20"/>
          <w:szCs w:val="28"/>
        </w:rPr>
        <w:instrText xml:space="preserve"> NOTEREF _Ref44921634 \f \h </w:instrText>
      </w:r>
      <w:r>
        <w:rPr>
          <w:sz w:val="20"/>
          <w:szCs w:val="28"/>
        </w:rPr>
      </w:r>
      <w:r>
        <w:rPr>
          <w:sz w:val="20"/>
          <w:szCs w:val="28"/>
        </w:rPr>
        <w:fldChar w:fldCharType="separate"/>
      </w:r>
      <w:r w:rsidR="00843FDC" w:rsidRPr="00843FDC">
        <w:rPr>
          <w:rStyle w:val="FootnoteReference"/>
        </w:rPr>
        <w:t>16</w:t>
      </w:r>
      <w:r>
        <w:rPr>
          <w:sz w:val="20"/>
          <w:szCs w:val="28"/>
        </w:rPr>
        <w:fldChar w:fldCharType="end"/>
      </w:r>
      <w:r>
        <w:rPr>
          <w:sz w:val="20"/>
          <w:szCs w:val="28"/>
        </w:rPr>
        <w:t xml:space="preserve">. </w:t>
      </w:r>
      <w:r w:rsidRPr="00DD4A5F">
        <w:rPr>
          <w:sz w:val="20"/>
          <w:szCs w:val="28"/>
        </w:rPr>
        <w:t>Three</w:t>
      </w:r>
      <w:r w:rsidRPr="00DD4A5F">
        <w:rPr>
          <w:sz w:val="20"/>
          <w:szCs w:val="28"/>
          <w:vertAlign w:val="superscript"/>
        </w:rPr>
        <w:t>3</w:t>
      </w:r>
      <w:r>
        <w:rPr>
          <w:sz w:val="20"/>
          <w:szCs w:val="28"/>
        </w:rPr>
        <w:t xml:space="preserve"> and NMR Group conducted a similar study in 2016 for Low-Income Single </w:t>
      </w:r>
      <w:r>
        <w:rPr>
          <w:sz w:val="20"/>
          <w:szCs w:val="28"/>
        </w:rPr>
        <w:lastRenderedPageBreak/>
        <w:t>Family</w:t>
      </w:r>
      <w:r w:rsidR="00057F8A">
        <w:rPr>
          <w:sz w:val="20"/>
          <w:szCs w:val="28"/>
        </w:rPr>
        <w:t xml:space="preserve"> (LISF)</w:t>
      </w:r>
      <w:r>
        <w:rPr>
          <w:sz w:val="20"/>
          <w:szCs w:val="28"/>
        </w:rPr>
        <w:t xml:space="preserve"> NEIs</w:t>
      </w:r>
      <w:r w:rsidR="00547B32">
        <w:rPr>
          <w:sz w:val="20"/>
          <w:szCs w:val="28"/>
        </w:rPr>
        <w:t>.</w:t>
      </w:r>
      <w:r>
        <w:rPr>
          <w:rStyle w:val="FootnoteReference"/>
          <w:sz w:val="20"/>
          <w:szCs w:val="28"/>
        </w:rPr>
        <w:footnoteReference w:id="23"/>
      </w:r>
      <w:r>
        <w:rPr>
          <w:sz w:val="20"/>
          <w:szCs w:val="28"/>
        </w:rPr>
        <w:t xml:space="preserve"> The 201</w:t>
      </w:r>
      <w:r w:rsidR="00E0047C">
        <w:rPr>
          <w:sz w:val="20"/>
          <w:szCs w:val="28"/>
        </w:rPr>
        <w:t>8</w:t>
      </w:r>
      <w:r>
        <w:rPr>
          <w:sz w:val="20"/>
          <w:szCs w:val="28"/>
        </w:rPr>
        <w:t xml:space="preserve"> report</w:t>
      </w:r>
      <w:r w:rsidR="00E0047C">
        <w:rPr>
          <w:sz w:val="20"/>
          <w:szCs w:val="28"/>
        </w:rPr>
        <w:t xml:space="preserve"> complements the past values and recommendations</w:t>
      </w:r>
      <w:r>
        <w:rPr>
          <w:sz w:val="20"/>
          <w:szCs w:val="28"/>
        </w:rPr>
        <w:t xml:space="preserve"> provid</w:t>
      </w:r>
      <w:r w:rsidR="00E0047C">
        <w:rPr>
          <w:sz w:val="20"/>
          <w:szCs w:val="28"/>
        </w:rPr>
        <w:t>ed in the 2016 study</w:t>
      </w:r>
      <w:r w:rsidR="00E0047C" w:rsidRPr="00057F8A">
        <w:rPr>
          <w:color w:val="auto"/>
          <w:sz w:val="20"/>
          <w:szCs w:val="28"/>
        </w:rPr>
        <w:t xml:space="preserve">. </w:t>
      </w:r>
      <w:r w:rsidR="00F85D69">
        <w:rPr>
          <w:color w:val="auto"/>
          <w:sz w:val="20"/>
          <w:szCs w:val="28"/>
        </w:rPr>
        <w:t xml:space="preserve">Variabilities in the values from the two studies </w:t>
      </w:r>
      <w:r w:rsidR="005C7C1B">
        <w:rPr>
          <w:color w:val="auto"/>
          <w:sz w:val="20"/>
          <w:szCs w:val="28"/>
        </w:rPr>
        <w:t xml:space="preserve">are due to differences in installed measures and household types. </w:t>
      </w:r>
    </w:p>
    <w:p w14:paraId="013D53B5" w14:textId="584D616E" w:rsidR="0093141D" w:rsidRDefault="0093141D" w:rsidP="00165445"/>
    <w:p w14:paraId="72272F0E" w14:textId="31241462" w:rsidR="000E3B11" w:rsidRPr="00C139B4" w:rsidRDefault="0093141D" w:rsidP="00165445">
      <w:pPr>
        <w:rPr>
          <w:color w:val="auto"/>
          <w:sz w:val="20"/>
          <w:szCs w:val="28"/>
        </w:rPr>
      </w:pPr>
      <w:r w:rsidRPr="00E12234">
        <w:rPr>
          <w:rFonts w:eastAsia="Arial" w:cs="Arial"/>
          <w:sz w:val="20"/>
          <w:szCs w:val="20"/>
        </w:rPr>
        <w:t xml:space="preserve">Guidehouse </w:t>
      </w:r>
      <w:r w:rsidR="0008614F">
        <w:rPr>
          <w:rFonts w:eastAsia="Arial" w:cs="Arial"/>
          <w:sz w:val="20"/>
          <w:szCs w:val="20"/>
        </w:rPr>
        <w:t xml:space="preserve">adjusted </w:t>
      </w:r>
      <w:r>
        <w:rPr>
          <w:rFonts w:eastAsia="Arial" w:cs="Arial"/>
          <w:sz w:val="20"/>
          <w:szCs w:val="20"/>
        </w:rPr>
        <w:t xml:space="preserve">Massachusetts NEI </w:t>
      </w:r>
      <w:r w:rsidR="00057F8A">
        <w:rPr>
          <w:rFonts w:eastAsia="Arial" w:cs="Arial"/>
          <w:sz w:val="20"/>
          <w:szCs w:val="20"/>
        </w:rPr>
        <w:t xml:space="preserve">recommended </w:t>
      </w:r>
      <w:r>
        <w:rPr>
          <w:rFonts w:eastAsia="Arial" w:cs="Arial"/>
          <w:sz w:val="20"/>
          <w:szCs w:val="20"/>
        </w:rPr>
        <w:t>values</w:t>
      </w:r>
      <w:r w:rsidR="00057F8A">
        <w:rPr>
          <w:rFonts w:eastAsia="Arial" w:cs="Arial"/>
          <w:sz w:val="20"/>
          <w:szCs w:val="20"/>
        </w:rPr>
        <w:t xml:space="preserve"> from 2016 </w:t>
      </w:r>
      <w:r w:rsidR="00E4337B">
        <w:rPr>
          <w:rFonts w:eastAsia="Arial" w:cs="Arial"/>
          <w:sz w:val="20"/>
          <w:szCs w:val="20"/>
        </w:rPr>
        <w:t xml:space="preserve">and </w:t>
      </w:r>
      <w:r w:rsidR="00057F8A">
        <w:rPr>
          <w:rFonts w:eastAsia="Arial" w:cs="Arial"/>
          <w:sz w:val="20"/>
          <w:szCs w:val="20"/>
        </w:rPr>
        <w:t>2018</w:t>
      </w:r>
      <w:r>
        <w:rPr>
          <w:rFonts w:eastAsia="Arial" w:cs="Arial"/>
          <w:sz w:val="20"/>
          <w:szCs w:val="20"/>
        </w:rPr>
        <w:t xml:space="preserve"> </w:t>
      </w:r>
      <w:r w:rsidR="00E4337B">
        <w:rPr>
          <w:rFonts w:eastAsia="Arial" w:cs="Arial"/>
          <w:sz w:val="20"/>
          <w:szCs w:val="20"/>
        </w:rPr>
        <w:t xml:space="preserve">to </w:t>
      </w:r>
      <w:r w:rsidR="00E4337B" w:rsidRPr="00DD4A5F">
        <w:rPr>
          <w:sz w:val="20"/>
          <w:szCs w:val="28"/>
        </w:rPr>
        <w:t>202</w:t>
      </w:r>
      <w:r w:rsidR="00E4337B">
        <w:rPr>
          <w:sz w:val="20"/>
          <w:szCs w:val="28"/>
        </w:rPr>
        <w:t>2 through 2025-</w:t>
      </w:r>
      <w:r w:rsidR="00E4337B" w:rsidRPr="00DD4A5F">
        <w:rPr>
          <w:sz w:val="20"/>
          <w:szCs w:val="28"/>
        </w:rPr>
        <w:t xml:space="preserve">dollars using a </w:t>
      </w:r>
      <w:r w:rsidR="00E4337B" w:rsidRPr="00E12234">
        <w:rPr>
          <w:rFonts w:eastAsia="Arial" w:cs="Arial"/>
          <w:sz w:val="20"/>
          <w:szCs w:val="20"/>
        </w:rPr>
        <w:t>c</w:t>
      </w:r>
      <w:r w:rsidR="00E4337B">
        <w:rPr>
          <w:rFonts w:eastAsia="Arial" w:cs="Arial"/>
          <w:sz w:val="20"/>
          <w:szCs w:val="20"/>
        </w:rPr>
        <w:t xml:space="preserve">onservative </w:t>
      </w:r>
      <w:r w:rsidR="00E4337B" w:rsidRPr="00E12234">
        <w:rPr>
          <w:rFonts w:eastAsia="Arial" w:cs="Arial"/>
          <w:sz w:val="20"/>
          <w:szCs w:val="20"/>
        </w:rPr>
        <w:t>inflation</w:t>
      </w:r>
      <w:r w:rsidR="00E4337B">
        <w:rPr>
          <w:rFonts w:eastAsia="Arial" w:cs="Arial"/>
          <w:sz w:val="20"/>
          <w:szCs w:val="20"/>
        </w:rPr>
        <w:t xml:space="preserve"> forecast of approximately 2 percent annually following 2020</w:t>
      </w:r>
      <w:r w:rsidR="00E4337B" w:rsidRPr="00E12234">
        <w:rPr>
          <w:rFonts w:eastAsia="Arial" w:cs="Arial"/>
          <w:sz w:val="20"/>
          <w:szCs w:val="20"/>
        </w:rPr>
        <w:t>.</w:t>
      </w:r>
      <w:r w:rsidR="00E4337B">
        <w:rPr>
          <w:rFonts w:eastAsia="Arial" w:cs="Arial"/>
          <w:sz w:val="20"/>
          <w:szCs w:val="20"/>
        </w:rPr>
        <w:t xml:space="preserve"> </w:t>
      </w:r>
      <w:r w:rsidR="00C139B4" w:rsidRPr="00304BF4">
        <w:rPr>
          <w:rFonts w:eastAsia="Arial" w:cs="Arial"/>
          <w:color w:val="auto"/>
          <w:sz w:val="20"/>
          <w:szCs w:val="20"/>
        </w:rPr>
        <w:fldChar w:fldCharType="begin"/>
      </w:r>
      <w:r w:rsidR="00C139B4" w:rsidRPr="00304BF4">
        <w:rPr>
          <w:rFonts w:eastAsia="Arial" w:cs="Arial"/>
          <w:color w:val="auto"/>
          <w:sz w:val="20"/>
          <w:szCs w:val="20"/>
        </w:rPr>
        <w:instrText xml:space="preserve"> REF _Ref44921989 \h  \* MERGEFORMAT </w:instrText>
      </w:r>
      <w:r w:rsidR="00C139B4" w:rsidRPr="00304BF4">
        <w:rPr>
          <w:rFonts w:eastAsia="Arial" w:cs="Arial"/>
          <w:color w:val="auto"/>
          <w:sz w:val="20"/>
          <w:szCs w:val="20"/>
        </w:rPr>
      </w:r>
      <w:r w:rsidR="00C139B4" w:rsidRPr="00304BF4">
        <w:rPr>
          <w:rFonts w:eastAsia="Arial" w:cs="Arial"/>
          <w:color w:val="auto"/>
          <w:sz w:val="20"/>
          <w:szCs w:val="20"/>
        </w:rPr>
        <w:fldChar w:fldCharType="separate"/>
      </w:r>
      <w:r w:rsidR="00C139B4" w:rsidRPr="00304BF4">
        <w:rPr>
          <w:rFonts w:eastAsiaTheme="minorHAnsi" w:cstheme="minorBidi"/>
          <w:color w:val="auto"/>
          <w:sz w:val="20"/>
          <w:szCs w:val="20"/>
        </w:rPr>
        <w:t xml:space="preserve">Table </w:t>
      </w:r>
      <w:r w:rsidR="00C139B4" w:rsidRPr="00304BF4">
        <w:rPr>
          <w:rFonts w:eastAsiaTheme="minorHAnsi" w:cstheme="minorBidi"/>
          <w:noProof/>
          <w:color w:val="auto"/>
          <w:sz w:val="20"/>
          <w:szCs w:val="20"/>
        </w:rPr>
        <w:t>15</w:t>
      </w:r>
      <w:r w:rsidR="00C139B4" w:rsidRPr="00304BF4">
        <w:rPr>
          <w:rFonts w:eastAsia="Arial" w:cs="Arial"/>
          <w:color w:val="auto"/>
          <w:sz w:val="20"/>
          <w:szCs w:val="20"/>
        </w:rPr>
        <w:fldChar w:fldCharType="end"/>
      </w:r>
      <w:r w:rsidR="00C139B4">
        <w:rPr>
          <w:rFonts w:eastAsia="Arial" w:cs="Arial"/>
          <w:color w:val="auto"/>
          <w:sz w:val="20"/>
          <w:szCs w:val="20"/>
        </w:rPr>
        <w:t xml:space="preserve"> provides the original recommended values, prior to inflation.</w:t>
      </w:r>
    </w:p>
    <w:p w14:paraId="1C4D52BF" w14:textId="77777777" w:rsidR="00F85D69" w:rsidRPr="00F85D69" w:rsidRDefault="00F85D69" w:rsidP="00165445">
      <w:pPr>
        <w:rPr>
          <w:rFonts w:eastAsia="Arial" w:cs="Arial"/>
          <w:color w:val="auto"/>
          <w:sz w:val="20"/>
          <w:szCs w:val="20"/>
        </w:rPr>
      </w:pPr>
    </w:p>
    <w:p w14:paraId="3A3210CC" w14:textId="502ECAE4" w:rsidR="000C7C3C" w:rsidRPr="00B35051" w:rsidRDefault="000C7C3C" w:rsidP="00F573B5">
      <w:pPr>
        <w:pStyle w:val="Caption"/>
        <w:keepNext/>
        <w:spacing w:after="120"/>
        <w:jc w:val="center"/>
        <w:rPr>
          <w:rFonts w:eastAsiaTheme="minorHAnsi" w:cstheme="minorBidi"/>
          <w:b/>
          <w:bCs/>
          <w:i w:val="0"/>
          <w:iCs w:val="0"/>
          <w:color w:val="93D500" w:themeColor="accent1"/>
          <w:sz w:val="20"/>
          <w:szCs w:val="20"/>
        </w:rPr>
      </w:pPr>
      <w:bookmarkStart w:id="26" w:name="_Ref44921989"/>
      <w:r w:rsidRPr="00B35051">
        <w:rPr>
          <w:rFonts w:eastAsiaTheme="minorHAnsi" w:cstheme="minorBidi"/>
          <w:b/>
          <w:bCs/>
          <w:i w:val="0"/>
          <w:iCs w:val="0"/>
          <w:color w:val="93D500" w:themeColor="accent1"/>
          <w:sz w:val="20"/>
          <w:szCs w:val="20"/>
        </w:rPr>
        <w:t xml:space="preserve">Table </w:t>
      </w:r>
      <w:r w:rsidR="000E3B11">
        <w:rPr>
          <w:rFonts w:eastAsiaTheme="minorHAnsi" w:cstheme="minorBidi"/>
          <w:b/>
          <w:bCs/>
          <w:i w:val="0"/>
          <w:iCs w:val="0"/>
          <w:color w:val="93D500" w:themeColor="accent1"/>
          <w:sz w:val="20"/>
          <w:szCs w:val="20"/>
        </w:rPr>
        <w:fldChar w:fldCharType="begin"/>
      </w:r>
      <w:r w:rsidR="000E3B11">
        <w:rPr>
          <w:rFonts w:eastAsiaTheme="minorHAnsi" w:cstheme="minorBidi"/>
          <w:b/>
          <w:bCs/>
          <w:i w:val="0"/>
          <w:iCs w:val="0"/>
          <w:color w:val="93D500" w:themeColor="accent1"/>
          <w:sz w:val="20"/>
          <w:szCs w:val="20"/>
        </w:rPr>
        <w:instrText xml:space="preserve"> SEQ Table \* ARABIC </w:instrText>
      </w:r>
      <w:r w:rsidR="000E3B11">
        <w:rPr>
          <w:rFonts w:eastAsiaTheme="minorHAnsi" w:cstheme="minorBidi"/>
          <w:b/>
          <w:bCs/>
          <w:i w:val="0"/>
          <w:iCs w:val="0"/>
          <w:color w:val="93D500" w:themeColor="accent1"/>
          <w:sz w:val="20"/>
          <w:szCs w:val="20"/>
        </w:rPr>
        <w:fldChar w:fldCharType="separate"/>
      </w:r>
      <w:r w:rsidR="00DD5440">
        <w:rPr>
          <w:rFonts w:eastAsiaTheme="minorHAnsi" w:cstheme="minorBidi"/>
          <w:b/>
          <w:bCs/>
          <w:i w:val="0"/>
          <w:iCs w:val="0"/>
          <w:noProof/>
          <w:color w:val="93D500" w:themeColor="accent1"/>
          <w:sz w:val="20"/>
          <w:szCs w:val="20"/>
        </w:rPr>
        <w:t>15</w:t>
      </w:r>
      <w:r w:rsidR="000E3B11">
        <w:rPr>
          <w:rFonts w:eastAsiaTheme="minorHAnsi" w:cstheme="minorBidi"/>
          <w:b/>
          <w:bCs/>
          <w:i w:val="0"/>
          <w:iCs w:val="0"/>
          <w:color w:val="93D500" w:themeColor="accent1"/>
          <w:sz w:val="20"/>
          <w:szCs w:val="20"/>
        </w:rPr>
        <w:fldChar w:fldCharType="end"/>
      </w:r>
      <w:bookmarkEnd w:id="26"/>
      <w:r w:rsidRPr="00B35051">
        <w:rPr>
          <w:rFonts w:eastAsiaTheme="minorHAnsi" w:cstheme="minorBidi"/>
          <w:b/>
          <w:bCs/>
          <w:i w:val="0"/>
          <w:iCs w:val="0"/>
          <w:color w:val="93D500" w:themeColor="accent1"/>
          <w:sz w:val="20"/>
          <w:szCs w:val="20"/>
        </w:rPr>
        <w:t xml:space="preserve">. </w:t>
      </w:r>
      <w:r w:rsidR="00457B86">
        <w:rPr>
          <w:rFonts w:eastAsiaTheme="minorHAnsi" w:cstheme="minorBidi"/>
          <w:b/>
          <w:bCs/>
          <w:i w:val="0"/>
          <w:iCs w:val="0"/>
          <w:color w:val="93D500" w:themeColor="accent1"/>
          <w:sz w:val="20"/>
          <w:szCs w:val="20"/>
        </w:rPr>
        <w:t>Massachuset</w:t>
      </w:r>
      <w:r w:rsidR="00057F8A">
        <w:rPr>
          <w:rFonts w:eastAsiaTheme="minorHAnsi" w:cstheme="minorBidi"/>
          <w:b/>
          <w:bCs/>
          <w:i w:val="0"/>
          <w:iCs w:val="0"/>
          <w:color w:val="93D500" w:themeColor="accent1"/>
          <w:sz w:val="20"/>
          <w:szCs w:val="20"/>
        </w:rPr>
        <w:t xml:space="preserve">ts </w:t>
      </w:r>
      <w:r w:rsidR="00457B86">
        <w:rPr>
          <w:rFonts w:eastAsiaTheme="minorHAnsi" w:cstheme="minorBidi"/>
          <w:b/>
          <w:bCs/>
          <w:i w:val="0"/>
          <w:iCs w:val="0"/>
          <w:color w:val="93D500" w:themeColor="accent1"/>
          <w:sz w:val="20"/>
          <w:szCs w:val="20"/>
        </w:rPr>
        <w:t>Participant NEI Recommendations</w:t>
      </w:r>
      <w:r w:rsidR="00887BE3">
        <w:rPr>
          <w:rFonts w:eastAsiaTheme="minorHAnsi" w:cstheme="minorBidi"/>
          <w:b/>
          <w:bCs/>
          <w:i w:val="0"/>
          <w:iCs w:val="0"/>
          <w:color w:val="93D500" w:themeColor="accent1"/>
          <w:sz w:val="20"/>
          <w:szCs w:val="20"/>
        </w:rPr>
        <w:t xml:space="preserve"> –</w:t>
      </w:r>
      <w:r w:rsidR="00057F8A">
        <w:rPr>
          <w:rFonts w:eastAsiaTheme="minorHAnsi" w:cstheme="minorBidi"/>
          <w:b/>
          <w:bCs/>
          <w:i w:val="0"/>
          <w:iCs w:val="0"/>
          <w:color w:val="93D500" w:themeColor="accent1"/>
          <w:sz w:val="20"/>
          <w:szCs w:val="20"/>
        </w:rPr>
        <w:t xml:space="preserve"> Per Household</w:t>
      </w:r>
      <w:r w:rsidR="00C7727C">
        <w:rPr>
          <w:rFonts w:eastAsiaTheme="minorHAnsi" w:cstheme="minorBidi"/>
          <w:b/>
          <w:bCs/>
          <w:i w:val="0"/>
          <w:iCs w:val="0"/>
          <w:color w:val="93D500" w:themeColor="accent1"/>
          <w:sz w:val="20"/>
          <w:szCs w:val="20"/>
        </w:rPr>
        <w:t xml:space="preserve"> Annually </w:t>
      </w:r>
    </w:p>
    <w:tbl>
      <w:tblPr>
        <w:tblStyle w:val="EnergyTable"/>
        <w:tblW w:w="4117" w:type="pct"/>
        <w:tblLayout w:type="fixed"/>
        <w:tblLook w:val="04A0" w:firstRow="1" w:lastRow="0" w:firstColumn="1" w:lastColumn="0" w:noHBand="0" w:noVBand="1"/>
      </w:tblPr>
      <w:tblGrid>
        <w:gridCol w:w="3179"/>
        <w:gridCol w:w="2351"/>
        <w:gridCol w:w="1881"/>
      </w:tblGrid>
      <w:tr w:rsidR="00E4337B" w:rsidRPr="002C2EE2" w14:paraId="69C52237" w14:textId="6C811CE1" w:rsidTr="00213620">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2145" w:type="pct"/>
            <w:noWrap/>
            <w:hideMark/>
          </w:tcPr>
          <w:p w14:paraId="2DBB2A44" w14:textId="77777777" w:rsidR="00E4337B" w:rsidRPr="002C2EE2" w:rsidRDefault="00E4337B" w:rsidP="00F573B5">
            <w:pPr>
              <w:keepNext/>
              <w:jc w:val="left"/>
              <w:rPr>
                <w:rFonts w:ascii="Arial Narrow" w:hAnsi="Arial Narrow"/>
                <w:color w:val="F2F2F2" w:themeColor="background1" w:themeShade="F2"/>
                <w:szCs w:val="20"/>
              </w:rPr>
            </w:pPr>
            <w:r w:rsidRPr="002C2EE2">
              <w:rPr>
                <w:rFonts w:ascii="Arial Narrow" w:hAnsi="Arial Narrow"/>
                <w:color w:val="F2F2F2" w:themeColor="background1" w:themeShade="F2"/>
                <w:szCs w:val="20"/>
              </w:rPr>
              <w:t>Participant NEI type</w:t>
            </w:r>
          </w:p>
        </w:tc>
        <w:tc>
          <w:tcPr>
            <w:tcW w:w="1586" w:type="pct"/>
          </w:tcPr>
          <w:p w14:paraId="32B442C2" w14:textId="1B7D415A" w:rsidR="00E4337B" w:rsidRPr="002C2EE2" w:rsidRDefault="00E4337B" w:rsidP="00F573B5">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color w:val="F2F2F2" w:themeColor="background1" w:themeShade="F2"/>
                <w:szCs w:val="20"/>
              </w:rPr>
            </w:pPr>
            <w:r>
              <w:rPr>
                <w:rFonts w:ascii="Arial Narrow" w:hAnsi="Arial Narrow"/>
                <w:color w:val="F2F2F2" w:themeColor="background1" w:themeShade="F2"/>
                <w:szCs w:val="20"/>
              </w:rPr>
              <w:t>Massachusetts LISF Program Values ($2016)</w:t>
            </w:r>
          </w:p>
        </w:tc>
        <w:tc>
          <w:tcPr>
            <w:tcW w:w="1269" w:type="pct"/>
          </w:tcPr>
          <w:p w14:paraId="0211C500" w14:textId="203EAE5D" w:rsidR="00E4337B" w:rsidRDefault="00E4337B" w:rsidP="00F573B5">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bCs/>
                <w:color w:val="F2F2F2" w:themeColor="background1" w:themeShade="F2"/>
                <w:szCs w:val="20"/>
              </w:rPr>
            </w:pPr>
            <w:r>
              <w:rPr>
                <w:rFonts w:ascii="Arial Narrow" w:hAnsi="Arial Narrow"/>
                <w:bCs/>
                <w:color w:val="F2F2F2" w:themeColor="background1" w:themeShade="F2"/>
                <w:szCs w:val="20"/>
              </w:rPr>
              <w:t>Massachusetts LIMF Program Value ($2018)</w:t>
            </w:r>
          </w:p>
        </w:tc>
      </w:tr>
      <w:tr w:rsidR="00E4337B" w14:paraId="0E8096A6" w14:textId="2F9F3396" w:rsidTr="00213620">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145" w:type="pct"/>
            <w:noWrap/>
            <w:hideMark/>
          </w:tcPr>
          <w:p w14:paraId="4ABE99AE" w14:textId="33B66CB4" w:rsidR="00E4337B" w:rsidRPr="00160B44" w:rsidRDefault="00E4337B" w:rsidP="00F573B5">
            <w:pPr>
              <w:keepNext/>
              <w:jc w:val="left"/>
              <w:rPr>
                <w:rFonts w:ascii="Arial Narrow" w:hAnsi="Arial Narrow"/>
                <w:szCs w:val="20"/>
              </w:rPr>
            </w:pPr>
            <w:r>
              <w:rPr>
                <w:rFonts w:ascii="Arial Narrow" w:hAnsi="Arial Narrow"/>
                <w:szCs w:val="20"/>
              </w:rPr>
              <w:t xml:space="preserve">Total Thermal </w:t>
            </w:r>
            <w:r w:rsidRPr="00160B44">
              <w:rPr>
                <w:rFonts w:ascii="Arial Narrow" w:hAnsi="Arial Narrow"/>
                <w:szCs w:val="20"/>
              </w:rPr>
              <w:t>Comfort</w:t>
            </w:r>
            <w:r>
              <w:rPr>
                <w:rFonts w:ascii="Arial Narrow" w:hAnsi="Arial Narrow"/>
                <w:szCs w:val="20"/>
              </w:rPr>
              <w:t xml:space="preserve"> </w:t>
            </w:r>
          </w:p>
        </w:tc>
        <w:tc>
          <w:tcPr>
            <w:tcW w:w="1586" w:type="pct"/>
          </w:tcPr>
          <w:p w14:paraId="53BD4D2F" w14:textId="18E53DD0" w:rsidR="00E4337B" w:rsidRPr="00BB3638" w:rsidRDefault="00026BB8" w:rsidP="00F573B5">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0"/>
              </w:rPr>
            </w:pPr>
            <w:r>
              <w:rPr>
                <w:rFonts w:ascii="Arial Narrow" w:hAnsi="Arial Narrow"/>
                <w:szCs w:val="20"/>
              </w:rPr>
              <w:t>12.95</w:t>
            </w:r>
          </w:p>
        </w:tc>
        <w:tc>
          <w:tcPr>
            <w:tcW w:w="1269" w:type="pct"/>
          </w:tcPr>
          <w:p w14:paraId="0BBE21F9" w14:textId="2D81165A" w:rsidR="00E4337B" w:rsidRPr="00713372" w:rsidRDefault="00026BB8" w:rsidP="00F573B5">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5.95</w:t>
            </w:r>
          </w:p>
        </w:tc>
      </w:tr>
      <w:tr w:rsidR="00E4337B" w14:paraId="54CCB97D" w14:textId="16C0C155" w:rsidTr="00213620">
        <w:trPr>
          <w:cnfStyle w:val="000000010000" w:firstRow="0" w:lastRow="0" w:firstColumn="0" w:lastColumn="0" w:oddVBand="0" w:evenVBand="0" w:oddHBand="0" w:evenHBand="1"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2145" w:type="pct"/>
            <w:noWrap/>
            <w:hideMark/>
          </w:tcPr>
          <w:p w14:paraId="762017EC" w14:textId="63C24F11" w:rsidR="00E4337B" w:rsidRPr="00160B44" w:rsidRDefault="00E4337B" w:rsidP="00F573B5">
            <w:pPr>
              <w:keepNext/>
              <w:jc w:val="left"/>
              <w:rPr>
                <w:rFonts w:ascii="Arial Narrow" w:hAnsi="Arial Narrow"/>
                <w:szCs w:val="20"/>
              </w:rPr>
            </w:pPr>
            <w:r w:rsidRPr="00160B44">
              <w:rPr>
                <w:rFonts w:ascii="Arial Narrow" w:hAnsi="Arial Narrow"/>
                <w:szCs w:val="20"/>
              </w:rPr>
              <w:t>Health &amp; Safety</w:t>
            </w:r>
            <w:r>
              <w:rPr>
                <w:rFonts w:ascii="Arial Narrow" w:hAnsi="Arial Narrow"/>
                <w:szCs w:val="20"/>
              </w:rPr>
              <w:t xml:space="preserve"> (Asthma Reduction)</w:t>
            </w:r>
          </w:p>
        </w:tc>
        <w:tc>
          <w:tcPr>
            <w:tcW w:w="1586" w:type="pct"/>
          </w:tcPr>
          <w:p w14:paraId="5BD8935D" w14:textId="53DD0F15" w:rsidR="00E4337B" w:rsidRDefault="00E4337B" w:rsidP="00F573B5">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0"/>
              </w:rPr>
            </w:pPr>
            <w:r>
              <w:rPr>
                <w:rFonts w:ascii="Arial Narrow" w:hAnsi="Arial Narrow"/>
                <w:szCs w:val="20"/>
              </w:rPr>
              <w:t>9.99</w:t>
            </w:r>
          </w:p>
        </w:tc>
        <w:tc>
          <w:tcPr>
            <w:tcW w:w="1269" w:type="pct"/>
          </w:tcPr>
          <w:p w14:paraId="1C227D24" w14:textId="14AD9DB6" w:rsidR="00E4337B" w:rsidRDefault="00E4337B" w:rsidP="00F573B5">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rPr>
              <w:t>35.55</w:t>
            </w:r>
          </w:p>
        </w:tc>
      </w:tr>
      <w:tr w:rsidR="00E4337B" w14:paraId="3E5B4946" w14:textId="180E2954" w:rsidTr="00213620">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2145" w:type="pct"/>
            <w:noWrap/>
          </w:tcPr>
          <w:p w14:paraId="4CF4D171" w14:textId="77777777" w:rsidR="00E4337B" w:rsidRPr="00160B44" w:rsidRDefault="00E4337B" w:rsidP="00F573B5">
            <w:pPr>
              <w:keepNext/>
              <w:jc w:val="left"/>
              <w:rPr>
                <w:rFonts w:ascii="Arial Narrow" w:hAnsi="Arial Narrow"/>
                <w:szCs w:val="20"/>
              </w:rPr>
            </w:pPr>
            <w:r w:rsidRPr="00160B44">
              <w:rPr>
                <w:rFonts w:ascii="Arial Narrow" w:hAnsi="Arial Narrow"/>
                <w:szCs w:val="20"/>
              </w:rPr>
              <w:t>Reduced missed days of work</w:t>
            </w:r>
          </w:p>
        </w:tc>
        <w:tc>
          <w:tcPr>
            <w:tcW w:w="1586" w:type="pct"/>
          </w:tcPr>
          <w:p w14:paraId="20D7474B" w14:textId="2303176E" w:rsidR="00E4337B" w:rsidRDefault="00E4337B" w:rsidP="00F573B5">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0"/>
              </w:rPr>
            </w:pPr>
            <w:r>
              <w:rPr>
                <w:rFonts w:ascii="Arial Narrow" w:hAnsi="Arial Narrow"/>
                <w:szCs w:val="20"/>
              </w:rPr>
              <w:t>149.45</w:t>
            </w:r>
          </w:p>
        </w:tc>
        <w:tc>
          <w:tcPr>
            <w:tcW w:w="1269" w:type="pct"/>
          </w:tcPr>
          <w:p w14:paraId="714E6E7F" w14:textId="2FC18C27" w:rsidR="00E4337B" w:rsidRDefault="00E4337B" w:rsidP="00F573B5">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0"/>
              </w:rPr>
            </w:pPr>
            <w:r>
              <w:rPr>
                <w:rFonts w:ascii="Arial Narrow" w:hAnsi="Arial Narrow"/>
                <w:szCs w:val="20"/>
              </w:rPr>
              <w:t>48.61</w:t>
            </w:r>
          </w:p>
        </w:tc>
      </w:tr>
    </w:tbl>
    <w:p w14:paraId="7341B10C" w14:textId="1447EA42" w:rsidR="000C7C3C" w:rsidRPr="000E3B11" w:rsidRDefault="000E3B11" w:rsidP="00F573B5">
      <w:pPr>
        <w:keepNext/>
        <w:ind w:left="810"/>
        <w:rPr>
          <w:i/>
          <w:iCs/>
          <w:sz w:val="16"/>
          <w:szCs w:val="22"/>
        </w:rPr>
      </w:pPr>
      <w:r w:rsidRPr="000E3B11">
        <w:rPr>
          <w:i/>
          <w:iCs/>
          <w:sz w:val="16"/>
          <w:szCs w:val="22"/>
        </w:rPr>
        <w:t xml:space="preserve">Sources: </w:t>
      </w:r>
      <w:r>
        <w:rPr>
          <w:i/>
          <w:iCs/>
          <w:sz w:val="16"/>
          <w:szCs w:val="22"/>
        </w:rPr>
        <w:t>Three</w:t>
      </w:r>
      <w:r>
        <w:rPr>
          <w:i/>
          <w:iCs/>
          <w:sz w:val="16"/>
          <w:szCs w:val="22"/>
          <w:vertAlign w:val="superscript"/>
        </w:rPr>
        <w:t>3</w:t>
      </w:r>
      <w:r>
        <w:rPr>
          <w:i/>
          <w:iCs/>
          <w:sz w:val="16"/>
          <w:szCs w:val="22"/>
        </w:rPr>
        <w:t xml:space="preserve"> and NMR Group</w:t>
      </w:r>
      <w:r w:rsidRPr="000E3B11">
        <w:rPr>
          <w:i/>
          <w:iCs/>
          <w:sz w:val="16"/>
          <w:szCs w:val="22"/>
        </w:rPr>
        <w:t>, 201</w:t>
      </w:r>
      <w:r>
        <w:rPr>
          <w:i/>
          <w:iCs/>
          <w:sz w:val="16"/>
          <w:szCs w:val="22"/>
        </w:rPr>
        <w:t>6</w:t>
      </w:r>
      <w:r w:rsidRPr="000E3B11">
        <w:rPr>
          <w:i/>
          <w:iCs/>
          <w:sz w:val="16"/>
          <w:szCs w:val="22"/>
        </w:rPr>
        <w:t xml:space="preserve">; </w:t>
      </w:r>
      <w:r>
        <w:rPr>
          <w:i/>
          <w:iCs/>
          <w:sz w:val="16"/>
          <w:szCs w:val="22"/>
        </w:rPr>
        <w:t>Three</w:t>
      </w:r>
      <w:r>
        <w:rPr>
          <w:i/>
          <w:iCs/>
          <w:sz w:val="16"/>
          <w:szCs w:val="22"/>
          <w:vertAlign w:val="superscript"/>
        </w:rPr>
        <w:t>3</w:t>
      </w:r>
      <w:r>
        <w:rPr>
          <w:i/>
          <w:iCs/>
          <w:sz w:val="16"/>
          <w:szCs w:val="22"/>
        </w:rPr>
        <w:t xml:space="preserve"> and NMR Group</w:t>
      </w:r>
      <w:r w:rsidRPr="000E3B11">
        <w:rPr>
          <w:i/>
          <w:iCs/>
          <w:sz w:val="16"/>
          <w:szCs w:val="22"/>
        </w:rPr>
        <w:t>, 201</w:t>
      </w:r>
      <w:r>
        <w:rPr>
          <w:i/>
          <w:iCs/>
          <w:sz w:val="16"/>
          <w:szCs w:val="22"/>
        </w:rPr>
        <w:t>8;</w:t>
      </w:r>
      <w:r w:rsidRPr="000E3B11">
        <w:rPr>
          <w:i/>
          <w:iCs/>
          <w:sz w:val="16"/>
          <w:szCs w:val="22"/>
        </w:rPr>
        <w:t xml:space="preserve"> Guidehouse.</w:t>
      </w:r>
      <w:bookmarkEnd w:id="25"/>
    </w:p>
    <w:sectPr w:rsidR="000C7C3C" w:rsidRPr="000E3B11" w:rsidSect="003B5FD8">
      <w:headerReference w:type="default" r:id="rId14"/>
      <w:headerReference w:type="first" r:id="rId15"/>
      <w:footerReference w:type="first" r:id="rId16"/>
      <w:pgSz w:w="12240" w:h="15840" w:code="1"/>
      <w:pgMar w:top="1440" w:right="1440" w:bottom="1440" w:left="180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Nielsen, Victoria" w:date="2020-10-06T09:01:00Z" w:initials="NV">
    <w:p w14:paraId="53523FB0" w14:textId="77777777" w:rsidR="008A6F51" w:rsidRDefault="008A6F51" w:rsidP="008A6F51">
      <w:pPr>
        <w:pStyle w:val="CommentText"/>
      </w:pPr>
      <w:r>
        <w:rPr>
          <w:rStyle w:val="CommentReference"/>
        </w:rPr>
        <w:annotationRef/>
      </w:r>
      <w:r>
        <w:t>Current cost effectiveness modeling, not necessarily the 2022-2025 modeling.</w:t>
      </w:r>
    </w:p>
  </w:comment>
  <w:comment w:id="1" w:author="Nielsen, Victoria" w:date="2020-10-06T08:59:00Z" w:initials="NV">
    <w:p w14:paraId="39179F31" w14:textId="77777777" w:rsidR="00F577DE" w:rsidRDefault="00F577DE" w:rsidP="00EB4A7B">
      <w:pPr>
        <w:pStyle w:val="CommentText"/>
      </w:pPr>
      <w:r>
        <w:rPr>
          <w:rStyle w:val="CommentReference"/>
        </w:rPr>
        <w:annotationRef/>
      </w:r>
      <w:r>
        <w:t>Is reflective of the recent agreement by the utilities to use the same carbon adder?</w:t>
      </w:r>
    </w:p>
  </w:comment>
  <w:comment w:id="2" w:author="Kevin Grabner" w:date="2020-10-13T08:52:00Z" w:initials="KG">
    <w:p w14:paraId="22D813FA" w14:textId="506DF10D" w:rsidR="00F577DE" w:rsidRDefault="00F577DE">
      <w:pPr>
        <w:pStyle w:val="CommentText"/>
      </w:pPr>
      <w:r>
        <w:rPr>
          <w:rStyle w:val="CommentReference"/>
        </w:rPr>
        <w:annotationRef/>
      </w:r>
      <w:r>
        <w:t xml:space="preserve">We </w:t>
      </w:r>
      <w:r w:rsidR="00923358">
        <w:t xml:space="preserve">are </w:t>
      </w:r>
      <w:r>
        <w:t>not</w:t>
      </w:r>
      <w:r w:rsidR="00923358">
        <w:t>ing</w:t>
      </w:r>
      <w:r>
        <w:t xml:space="preserve"> here that the </w:t>
      </w:r>
      <w:r w:rsidR="00923358">
        <w:t xml:space="preserve">TRC calculation </w:t>
      </w:r>
      <w:r>
        <w:t>include</w:t>
      </w:r>
      <w:r w:rsidR="00923358">
        <w:t>s</w:t>
      </w:r>
      <w:r>
        <w:t xml:space="preserve"> a carbon adder starting in 2020. I deleted the reference to actual dollar value</w:t>
      </w:r>
      <w:r w:rsidR="00923358">
        <w:t>.</w:t>
      </w:r>
    </w:p>
  </w:comment>
  <w:comment w:id="3" w:author="Nielsen, Victoria" w:date="2020-10-06T09:00:00Z" w:initials="NV">
    <w:p w14:paraId="5A42F6E3" w14:textId="77777777" w:rsidR="00F577DE" w:rsidRDefault="00F577DE" w:rsidP="00EB4A7B">
      <w:pPr>
        <w:pStyle w:val="CommentText"/>
      </w:pPr>
      <w:r>
        <w:rPr>
          <w:rStyle w:val="CommentReference"/>
        </w:rPr>
        <w:annotationRef/>
      </w:r>
      <w:r>
        <w:t>The idea is that the societal adder in this memo, and the utility and participant values in the Nicor memo would replace this adder?</w:t>
      </w:r>
    </w:p>
  </w:comment>
  <w:comment w:id="4" w:author="Sophie Gunderson" w:date="2020-10-12T17:17:00Z" w:initials="SG">
    <w:p w14:paraId="4EC541A8" w14:textId="6FF80470" w:rsidR="00F577DE" w:rsidRDefault="00F577DE">
      <w:pPr>
        <w:pStyle w:val="CommentText"/>
      </w:pPr>
      <w:r>
        <w:rPr>
          <w:rStyle w:val="CommentReference"/>
        </w:rPr>
        <w:annotationRef/>
      </w:r>
      <w:r>
        <w:t>Correct</w:t>
      </w:r>
    </w:p>
  </w:comment>
  <w:comment w:id="8" w:author="Kevin Grabner" w:date="2020-10-13T09:48:00Z" w:initials="KG">
    <w:p w14:paraId="6E465D1D" w14:textId="77777777" w:rsidR="008A6F51" w:rsidRDefault="008A6F51">
      <w:pPr>
        <w:pStyle w:val="CommentText"/>
      </w:pPr>
      <w:r>
        <w:rPr>
          <w:rStyle w:val="CommentReference"/>
        </w:rPr>
        <w:annotationRef/>
      </w:r>
    </w:p>
    <w:p w14:paraId="112247EC" w14:textId="26AEE81A" w:rsidR="008A6F51" w:rsidRDefault="008A6F51">
      <w:pPr>
        <w:pStyle w:val="CommentText"/>
      </w:pPr>
      <w:bookmarkStart w:id="9" w:name="_Hlk53475235"/>
      <w:r>
        <w:t>Clarifications were made in this version that we believe address comments from Victoria Nielsen, October 6:</w:t>
      </w:r>
    </w:p>
    <w:p w14:paraId="5CBE6EC0" w14:textId="77777777" w:rsidR="008A6F51" w:rsidRDefault="008A6F51">
      <w:pPr>
        <w:pStyle w:val="CommentText"/>
      </w:pPr>
    </w:p>
    <w:bookmarkEnd w:id="9"/>
    <w:p w14:paraId="53F48A29" w14:textId="7503E1C2" w:rsidR="008A6F51" w:rsidRDefault="008A6F51" w:rsidP="009E4272">
      <w:pPr>
        <w:pStyle w:val="CommentText"/>
        <w:ind w:left="720"/>
      </w:pPr>
      <w:r>
        <w:t>1) These values do seem quite high – I don’t have too much context, but it seems by the end of adding each individual NEI (including the carbon adder) that these will significantly impact the TRCs values. The previous adder was 7.5% both carbon and the societal together will be much higher than that.</w:t>
      </w:r>
    </w:p>
    <w:p w14:paraId="2ED09085" w14:textId="77777777" w:rsidR="008A6F51" w:rsidRDefault="008A6F51" w:rsidP="009E4272">
      <w:pPr>
        <w:pStyle w:val="CommentText"/>
        <w:ind w:left="720"/>
      </w:pPr>
    </w:p>
    <w:p w14:paraId="683FC7EA" w14:textId="6AE551C4" w:rsidR="008A6F51" w:rsidRDefault="008A6F51" w:rsidP="009E4272">
      <w:pPr>
        <w:pStyle w:val="CommentText"/>
        <w:ind w:left="720"/>
      </w:pPr>
      <w:r>
        <w:t xml:space="preserve">2) </w:t>
      </w:r>
      <w:r w:rsidRPr="008A6F51">
        <w:t>This is in real dollars?</w:t>
      </w:r>
    </w:p>
    <w:p w14:paraId="0526AB47" w14:textId="77777777" w:rsidR="008A6F51" w:rsidRDefault="008A6F51" w:rsidP="009E4272">
      <w:pPr>
        <w:pStyle w:val="CommentText"/>
        <w:ind w:left="720"/>
      </w:pPr>
    </w:p>
    <w:p w14:paraId="0F308916" w14:textId="29E6B27A" w:rsidR="008A6F51" w:rsidRDefault="008A6F51" w:rsidP="009E4272">
      <w:pPr>
        <w:pStyle w:val="CommentText"/>
        <w:ind w:left="720"/>
      </w:pPr>
      <w:r>
        <w:t xml:space="preserve">3) </w:t>
      </w:r>
      <w:r w:rsidRPr="008A6F51">
        <w:t>Is the same value to be applied for each year in in the CY2025 impact value stream (i.e. 2026, 2027, 2028 +)</w:t>
      </w:r>
    </w:p>
  </w:comment>
  <w:comment w:id="14" w:author="Kevin Grabner" w:date="2020-10-13T09:53:00Z" w:initials="KG">
    <w:p w14:paraId="30DE221C" w14:textId="77777777" w:rsidR="00A66BCF" w:rsidRDefault="008A6F51" w:rsidP="008A6F51">
      <w:pPr>
        <w:rPr>
          <w:sz w:val="20"/>
          <w:szCs w:val="20"/>
        </w:rPr>
      </w:pPr>
      <w:r>
        <w:rPr>
          <w:rStyle w:val="CommentReference"/>
        </w:rPr>
        <w:annotationRef/>
      </w:r>
    </w:p>
    <w:p w14:paraId="3E90D840" w14:textId="54CF4903" w:rsidR="008A6F51" w:rsidRPr="008A6F51" w:rsidRDefault="008A6F51" w:rsidP="008A6F51">
      <w:pPr>
        <w:rPr>
          <w:sz w:val="20"/>
          <w:szCs w:val="20"/>
        </w:rPr>
      </w:pPr>
      <w:r w:rsidRPr="008A6F51">
        <w:rPr>
          <w:sz w:val="20"/>
          <w:szCs w:val="20"/>
        </w:rPr>
        <w:t>Comment from Victoria Nielsen, October 6:</w:t>
      </w:r>
    </w:p>
    <w:p w14:paraId="7833B00E" w14:textId="77777777" w:rsidR="008A6F51" w:rsidRDefault="008A6F51">
      <w:pPr>
        <w:pStyle w:val="CommentText"/>
      </w:pPr>
    </w:p>
    <w:p w14:paraId="1F0AFE38" w14:textId="11955944" w:rsidR="008A6F51" w:rsidRDefault="008A6F51" w:rsidP="00C4158C">
      <w:pPr>
        <w:pStyle w:val="CommentText"/>
        <w:ind w:left="720"/>
      </w:pPr>
      <w:r w:rsidRPr="008A6F51">
        <w:t>I have concerns about the logistics of getting this into the model w/out double counting. These estimates are per participant, however depending on the program – most participant estimates are at the per measure basis.</w:t>
      </w:r>
    </w:p>
  </w:comment>
  <w:comment w:id="15" w:author="Kevin Grabner" w:date="2020-10-13T09:54:00Z" w:initials="KG">
    <w:p w14:paraId="298E52E2" w14:textId="130D7F45" w:rsidR="008A6F51" w:rsidRDefault="008A6F51">
      <w:pPr>
        <w:pStyle w:val="CommentText"/>
      </w:pPr>
      <w:r>
        <w:rPr>
          <w:rStyle w:val="CommentReference"/>
        </w:rPr>
        <w:annotationRef/>
      </w:r>
      <w:r>
        <w:t>The October 6 NEI Working Group Meeting</w:t>
      </w:r>
      <w:r w:rsidR="00170A94">
        <w:t xml:space="preserve"> concluded ComEd and the gas utilities will need to work out the allocations for each program and possibly by measure, due to the complexity of the cost allocations for joint Income Eligible programs.</w:t>
      </w:r>
      <w:r w:rsidR="00C4158C">
        <w:t xml:space="preserve"> Guidehouse is providing the total, unallocated values.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3523FB0" w15:done="0"/>
  <w15:commentEx w15:paraId="39179F31" w15:done="0"/>
  <w15:commentEx w15:paraId="22D813FA" w15:paraIdParent="39179F31" w15:done="0"/>
  <w15:commentEx w15:paraId="5A42F6E3" w15:done="0"/>
  <w15:commentEx w15:paraId="4EC541A8" w15:paraIdParent="5A42F6E3" w15:done="0"/>
  <w15:commentEx w15:paraId="0F308916" w15:done="0"/>
  <w15:commentEx w15:paraId="1F0AFE38" w15:done="0"/>
  <w15:commentEx w15:paraId="298E52E2" w15:paraIdParent="1F0AFE3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523FB0" w16cid:durableId="232FF5B4"/>
  <w16cid:commentId w16cid:paraId="39179F31" w16cid:durableId="232F0E3B"/>
  <w16cid:commentId w16cid:paraId="22D813FA" w16cid:durableId="232FE960"/>
  <w16cid:commentId w16cid:paraId="5A42F6E3" w16cid:durableId="232F0E3D"/>
  <w16cid:commentId w16cid:paraId="4EC541A8" w16cid:durableId="232F0E3E"/>
  <w16cid:commentId w16cid:paraId="0F308916" w16cid:durableId="232FF66E"/>
  <w16cid:commentId w16cid:paraId="1F0AFE38" w16cid:durableId="232FF782"/>
  <w16cid:commentId w16cid:paraId="298E52E2" w16cid:durableId="232FF7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3CF557" w14:textId="77777777" w:rsidR="00F577DE" w:rsidRDefault="00F577DE" w:rsidP="008D610D">
      <w:pPr>
        <w:spacing w:line="240" w:lineRule="auto"/>
      </w:pPr>
      <w:r>
        <w:separator/>
      </w:r>
    </w:p>
  </w:endnote>
  <w:endnote w:type="continuationSeparator" w:id="0">
    <w:p w14:paraId="2DE4556A" w14:textId="77777777" w:rsidR="00F577DE" w:rsidRDefault="00F577DE" w:rsidP="008D610D">
      <w:pPr>
        <w:spacing w:line="240" w:lineRule="auto"/>
      </w:pPr>
      <w:r>
        <w:continuationSeparator/>
      </w:r>
    </w:p>
  </w:endnote>
  <w:endnote w:type="continuationNotice" w:id="1">
    <w:p w14:paraId="3B3B7661" w14:textId="77777777" w:rsidR="00F577DE" w:rsidRDefault="00F577D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charset w:val="00"/>
    <w:family w:val="swiss"/>
    <w:pitch w:val="variable"/>
    <w:sig w:usb0="00000287" w:usb1="000008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Ottawa">
    <w:altName w:val="Courier New"/>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11806" w14:textId="77777777" w:rsidR="00F577DE" w:rsidRDefault="00F577DE" w:rsidP="00CB04D3">
    <w:pPr>
      <w:pStyle w:val="Footer"/>
      <w:ind w:firstLine="720"/>
    </w:pPr>
    <w:r>
      <w:rPr>
        <w:noProof/>
      </w:rPr>
      <w:drawing>
        <wp:anchor distT="0" distB="0" distL="114300" distR="114300" simplePos="0" relativeHeight="251658246" behindDoc="1" locked="0" layoutInCell="1" allowOverlap="1" wp14:anchorId="37C1EA0F" wp14:editId="253D0184">
          <wp:simplePos x="0" y="0"/>
          <wp:positionH relativeFrom="column">
            <wp:posOffset>4300855</wp:posOffset>
          </wp:positionH>
          <wp:positionV relativeFrom="paragraph">
            <wp:posOffset>-52070</wp:posOffset>
          </wp:positionV>
          <wp:extent cx="2162810" cy="1413510"/>
          <wp:effectExtent l="0" t="0" r="8890" b="0"/>
          <wp:wrapTight wrapText="bothSides">
            <wp:wrapPolygon edited="0">
              <wp:start x="6469" y="0"/>
              <wp:lineTo x="12747" y="9315"/>
              <wp:lineTo x="9893" y="13973"/>
              <wp:lineTo x="0" y="20960"/>
              <wp:lineTo x="0" y="21251"/>
              <wp:lineTo x="21499" y="21251"/>
              <wp:lineTo x="21499" y="5822"/>
              <wp:lineTo x="7800" y="0"/>
              <wp:lineTo x="6469" y="0"/>
            </wp:wrapPolygon>
          </wp:wrapTight>
          <wp:docPr id="53" name="Graphic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2162810" cy="1413510"/>
                  </a:xfrm>
                  <a:prstGeom prst="rect">
                    <a:avLst/>
                  </a:prstGeom>
                </pic:spPr>
              </pic:pic>
            </a:graphicData>
          </a:graphic>
          <wp14:sizeRelH relativeFrom="margin">
            <wp14:pctWidth>0</wp14:pctWidth>
          </wp14:sizeRelH>
          <wp14:sizeRelV relativeFrom="margin">
            <wp14:pctHeight>0</wp14:pctHeight>
          </wp14:sizeRelV>
        </wp:anchor>
      </w:drawing>
    </w:r>
  </w:p>
  <w:p w14:paraId="7F5398FC" w14:textId="77777777" w:rsidR="00F577DE" w:rsidRDefault="00F577DE" w:rsidP="00CB04D3">
    <w:pPr>
      <w:pStyle w:val="Footer"/>
      <w:ind w:firstLine="720"/>
    </w:pPr>
  </w:p>
  <w:p w14:paraId="4520F096" w14:textId="77777777" w:rsidR="00F577DE" w:rsidRDefault="00F577DE" w:rsidP="00CB04D3">
    <w:pPr>
      <w:pStyle w:val="Footer"/>
      <w:ind w:firstLine="720"/>
    </w:pPr>
  </w:p>
  <w:p w14:paraId="1BBA79D8" w14:textId="77777777" w:rsidR="00F577DE" w:rsidRDefault="00F577DE" w:rsidP="00CB04D3">
    <w:pPr>
      <w:pStyle w:val="Footer"/>
      <w:ind w:firstLine="720"/>
    </w:pPr>
  </w:p>
  <w:p w14:paraId="5BE114A8" w14:textId="77777777" w:rsidR="00F577DE" w:rsidRDefault="00F577DE" w:rsidP="00CB04D3">
    <w:pPr>
      <w:pStyle w:val="Footer"/>
      <w:ind w:firstLine="720"/>
    </w:pPr>
  </w:p>
  <w:p w14:paraId="64E24BEB" w14:textId="77777777" w:rsidR="00F577DE" w:rsidRDefault="00F577DE" w:rsidP="00CB04D3">
    <w:pPr>
      <w:pStyle w:val="Footer"/>
      <w:ind w:firstLine="720"/>
    </w:pPr>
  </w:p>
  <w:p w14:paraId="58875CDF" w14:textId="77777777" w:rsidR="00F577DE" w:rsidRDefault="00F577DE" w:rsidP="00CB04D3">
    <w:pPr>
      <w:pStyle w:val="Footer"/>
      <w:ind w:firstLine="720"/>
    </w:pPr>
    <w:r>
      <w:rPr>
        <w:noProof/>
        <w:sz w:val="20"/>
      </w:rPr>
      <mc:AlternateContent>
        <mc:Choice Requires="wps">
          <w:drawing>
            <wp:anchor distT="0" distB="0" distL="114300" distR="114300" simplePos="0" relativeHeight="251658240" behindDoc="0" locked="0" layoutInCell="1" allowOverlap="1" wp14:anchorId="306FE40B" wp14:editId="4F8C5196">
              <wp:simplePos x="0" y="0"/>
              <wp:positionH relativeFrom="column">
                <wp:posOffset>-591185</wp:posOffset>
              </wp:positionH>
              <wp:positionV relativeFrom="paragraph">
                <wp:posOffset>-747395</wp:posOffset>
              </wp:positionV>
              <wp:extent cx="1811655" cy="956310"/>
              <wp:effectExtent l="0" t="0" r="0" b="635"/>
              <wp:wrapNone/>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655" cy="956310"/>
                      </a:xfrm>
                      <a:prstGeom prst="rect">
                        <a:avLst/>
                      </a:prstGeom>
                      <a:noFill/>
                      <a:ln>
                        <a:noFill/>
                      </a:ln>
                      <a:extLst>
                        <a:ext uri="{909E8E84-426E-40dd-AFC4-6F175D3DCCD1}">
                          <a14:hiddenFill xmlns:pic="http://schemas.openxmlformats.org/drawingml/2006/picture" xmlns:asvg="http://schemas.microsoft.com/office/drawing/2016/SVG/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pic="http://schemas.openxmlformats.org/drawingml/2006/picture" xmlns:asvg="http://schemas.microsoft.com/office/drawing/2016/SVG/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45A5DE8" w14:textId="5B244855" w:rsidR="00F577DE" w:rsidRPr="00A94D41" w:rsidRDefault="00F577DE" w:rsidP="003B0439">
                          <w:pPr>
                            <w:pStyle w:val="FooterAddress"/>
                          </w:pPr>
                          <w:r>
                            <w:t>150 N. Riverside Plaza</w:t>
                          </w:r>
                        </w:p>
                        <w:p w14:paraId="59D1616D" w14:textId="38521E8D" w:rsidR="00F577DE" w:rsidRPr="00A94D41" w:rsidRDefault="00F577DE" w:rsidP="003B0439">
                          <w:pPr>
                            <w:pStyle w:val="FooterAddress"/>
                          </w:pPr>
                          <w:r w:rsidRPr="00A94D41">
                            <w:t xml:space="preserve">Suite </w:t>
                          </w:r>
                          <w:r>
                            <w:t>2100</w:t>
                          </w:r>
                          <w:r w:rsidRPr="00A94D41">
                            <w:t xml:space="preserve"> | </w:t>
                          </w:r>
                          <w:r>
                            <w:t>Chicago</w:t>
                          </w:r>
                          <w:r w:rsidRPr="00A94D41">
                            <w:t xml:space="preserve">, </w:t>
                          </w:r>
                          <w:r>
                            <w:t>IL 60606</w:t>
                          </w:r>
                        </w:p>
                        <w:p w14:paraId="27B9A7CC" w14:textId="77777777" w:rsidR="00F577DE" w:rsidRPr="00A94D41" w:rsidRDefault="00F577DE" w:rsidP="003B0439">
                          <w:pPr>
                            <w:pStyle w:val="FooterAddress"/>
                          </w:pPr>
                          <w:r>
                            <w:t>guidehouse</w:t>
                          </w:r>
                          <w:r w:rsidRPr="00A94D41">
                            <w:t>.com</w:t>
                          </w:r>
                        </w:p>
                        <w:p w14:paraId="186707F7" w14:textId="77777777" w:rsidR="00F577DE" w:rsidRPr="00B06FC9" w:rsidRDefault="00F577DE" w:rsidP="003B0439">
                          <w:pPr>
                            <w:pStyle w:val="FooterAddress"/>
                            <w:rPr>
                              <w:rFonts w:ascii="Arial Narrow" w:hAnsi="Arial Narro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6FE40B" id="_x0000_t202" coordsize="21600,21600" o:spt="202" path="m,l,21600r21600,l21600,xe">
              <v:stroke joinstyle="miter"/>
              <v:path gradientshapeok="t" o:connecttype="rect"/>
            </v:shapetype>
            <v:shape id="Text Box 29" o:spid="_x0000_s1026" type="#_x0000_t202" style="position:absolute;left:0;text-align:left;margin-left:-46.55pt;margin-top:-58.85pt;width:142.65pt;height:7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" filled="f" stroked="f">
              <v:textbox>
                <w:txbxContent>
                  <w:p w14:paraId="445A5DE8" w14:textId="5B244855" w:rsidR="00F577DE" w:rsidRPr="00A94D41" w:rsidRDefault="00F577DE" w:rsidP="003B0439">
                    <w:pPr>
                      <w:pStyle w:val="FooterAddress"/>
                    </w:pPr>
                    <w:r>
                      <w:t>150 N. Riverside Plaza</w:t>
                    </w:r>
                  </w:p>
                  <w:p w14:paraId="59D1616D" w14:textId="38521E8D" w:rsidR="00F577DE" w:rsidRPr="00A94D41" w:rsidRDefault="00F577DE" w:rsidP="003B0439">
                    <w:pPr>
                      <w:pStyle w:val="FooterAddress"/>
                    </w:pPr>
                    <w:r w:rsidRPr="00A94D41">
                      <w:t xml:space="preserve">Suite </w:t>
                    </w:r>
                    <w:r>
                      <w:t>2100</w:t>
                    </w:r>
                    <w:r w:rsidRPr="00A94D41">
                      <w:t xml:space="preserve"> | </w:t>
                    </w:r>
                    <w:r>
                      <w:t>Chicago</w:t>
                    </w:r>
                    <w:r w:rsidRPr="00A94D41">
                      <w:t xml:space="preserve">, </w:t>
                    </w:r>
                    <w:r>
                      <w:t>IL 60606</w:t>
                    </w:r>
                  </w:p>
                  <w:p w14:paraId="27B9A7CC" w14:textId="77777777" w:rsidR="00F577DE" w:rsidRPr="00A94D41" w:rsidRDefault="00F577DE" w:rsidP="003B0439">
                    <w:pPr>
                      <w:pStyle w:val="FooterAddress"/>
                    </w:pPr>
                    <w:r>
                      <w:t>guidehouse</w:t>
                    </w:r>
                    <w:r w:rsidRPr="00A94D41">
                      <w:t>.com</w:t>
                    </w:r>
                  </w:p>
                  <w:p w14:paraId="186707F7" w14:textId="77777777" w:rsidR="00F577DE" w:rsidRPr="00B06FC9" w:rsidRDefault="00F577DE" w:rsidP="003B0439">
                    <w:pPr>
                      <w:pStyle w:val="FooterAddress"/>
                      <w:rPr>
                        <w:rFonts w:ascii="Arial Narrow" w:hAnsi="Arial Narrow"/>
                      </w:rPr>
                    </w:pPr>
                  </w:p>
                </w:txbxContent>
              </v:textbox>
            </v:shape>
          </w:pict>
        </mc:Fallback>
      </mc:AlternateContent>
    </w:r>
    <w:r>
      <w:rPr>
        <w:noProof/>
      </w:rPr>
      <mc:AlternateContent>
        <mc:Choice Requires="wps">
          <w:drawing>
            <wp:anchor distT="0" distB="0" distL="114300" distR="114300" simplePos="0" relativeHeight="251658244" behindDoc="0" locked="0" layoutInCell="1" allowOverlap="1" wp14:anchorId="5522CE4B" wp14:editId="3350F52E">
              <wp:simplePos x="0" y="0"/>
              <wp:positionH relativeFrom="column">
                <wp:posOffset>549275</wp:posOffset>
              </wp:positionH>
              <wp:positionV relativeFrom="paragraph">
                <wp:posOffset>8627745</wp:posOffset>
              </wp:positionV>
              <wp:extent cx="1935480" cy="956310"/>
              <wp:effectExtent l="0" t="0" r="0" b="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956310"/>
                      </a:xfrm>
                      <a:prstGeom prst="rect">
                        <a:avLst/>
                      </a:prstGeom>
                      <a:noFill/>
                      <a:ln>
                        <a:noFill/>
                      </a:ln>
                      <a:extLst>
                        <a:ext uri="{909E8E84-426E-40dd-AFC4-6F175D3DCCD1}">
                          <a14:hiddenFill xmlns:pic="http://schemas.openxmlformats.org/drawingml/2006/picture" xmlns:asvg="http://schemas.microsoft.com/office/drawing/2016/SVG/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pic="http://schemas.openxmlformats.org/drawingml/2006/picture" xmlns:asvg="http://schemas.microsoft.com/office/drawing/2016/SVG/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2013E89" w14:textId="77777777" w:rsidR="00F577DE" w:rsidRDefault="00F577DE" w:rsidP="00CB04D3">
                          <w:pPr>
                            <w:rPr>
                              <w:rFonts w:ascii="Arial Narrow" w:hAnsi="Arial Narrow"/>
                              <w:color w:val="6F6754"/>
                              <w:sz w:val="16"/>
                            </w:rPr>
                          </w:pPr>
                          <w:r>
                            <w:rPr>
                              <w:rFonts w:ascii="Arial Narrow" w:hAnsi="Arial Narrow"/>
                              <w:color w:val="6F6754"/>
                              <w:sz w:val="16"/>
                            </w:rPr>
                            <w:t>Address #1 ## Long Street</w:t>
                          </w:r>
                        </w:p>
                        <w:p w14:paraId="14C8DDCC" w14:textId="77777777" w:rsidR="00F577DE" w:rsidRDefault="00F577DE" w:rsidP="00CB04D3">
                          <w:pPr>
                            <w:rPr>
                              <w:rFonts w:ascii="Arial Narrow" w:hAnsi="Arial Narrow"/>
                              <w:color w:val="6F6754"/>
                              <w:sz w:val="16"/>
                            </w:rPr>
                          </w:pPr>
                          <w:r>
                            <w:rPr>
                              <w:rFonts w:ascii="Arial Narrow" w:hAnsi="Arial Narrow"/>
                              <w:color w:val="6F6754"/>
                              <w:sz w:val="16"/>
                            </w:rPr>
                            <w:t>Suite ## | City, ST #####</w:t>
                          </w:r>
                        </w:p>
                        <w:p w14:paraId="78F18E48" w14:textId="77777777" w:rsidR="00F577DE" w:rsidRDefault="00F577DE" w:rsidP="00CB04D3">
                          <w:pPr>
                            <w:rPr>
                              <w:rFonts w:ascii="Arial Narrow" w:hAnsi="Arial Narrow"/>
                              <w:color w:val="6F6754"/>
                              <w:sz w:val="16"/>
                            </w:rPr>
                          </w:pPr>
                          <w:r>
                            <w:rPr>
                              <w:rFonts w:ascii="Arial Narrow" w:hAnsi="Arial Narrow"/>
                              <w:color w:val="6F6754"/>
                              <w:sz w:val="16"/>
                            </w:rPr>
                            <w:t>000.000.0000  main</w:t>
                          </w:r>
                        </w:p>
                        <w:p w14:paraId="65EC62AE" w14:textId="77777777" w:rsidR="00F577DE" w:rsidRDefault="00F577DE" w:rsidP="00CB04D3">
                          <w:pPr>
                            <w:rPr>
                              <w:rFonts w:ascii="Arial Narrow" w:hAnsi="Arial Narrow"/>
                              <w:color w:val="6F6754"/>
                              <w:sz w:val="16"/>
                            </w:rPr>
                          </w:pPr>
                          <w:r>
                            <w:rPr>
                              <w:rFonts w:ascii="Arial Narrow" w:hAnsi="Arial Narrow"/>
                              <w:color w:val="6F6754"/>
                              <w:sz w:val="16"/>
                            </w:rPr>
                            <w:t>000.000.0000  fax</w:t>
                          </w:r>
                        </w:p>
                        <w:p w14:paraId="3892973C" w14:textId="77777777" w:rsidR="00F577DE" w:rsidRDefault="00F577DE" w:rsidP="00CB04D3">
                          <w:pPr>
                            <w:spacing w:line="360" w:lineRule="exact"/>
                            <w:rPr>
                              <w:rFonts w:ascii="Arial Narrow" w:hAnsi="Arial Narrow"/>
                              <w:color w:val="6F6754"/>
                              <w:sz w:val="16"/>
                            </w:rPr>
                          </w:pPr>
                          <w:r>
                            <w:rPr>
                              <w:rFonts w:ascii="Arial Narrow" w:hAnsi="Arial Narrow"/>
                              <w:color w:val="6F6754"/>
                              <w:sz w:val="16"/>
                            </w:rPr>
                            <w:t>navigant.com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2CE4B" id="Text Box 17" o:spid="_x0000_s1027" type="#_x0000_t202" style="position:absolute;left:0;text-align:left;margin-left:43.25pt;margin-top:679.35pt;width:152.4pt;height:75.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" filled="f" stroked="f">
              <v:textbox>
                <w:txbxContent>
                  <w:p w14:paraId="52013E89" w14:textId="77777777" w:rsidR="00F577DE" w:rsidRDefault="00F577DE" w:rsidP="00CB04D3">
                    <w:pPr>
                      <w:rPr>
                        <w:rFonts w:ascii="Arial Narrow" w:hAnsi="Arial Narrow"/>
                        <w:color w:val="6F6754"/>
                        <w:sz w:val="16"/>
                      </w:rPr>
                    </w:pPr>
                    <w:r>
                      <w:rPr>
                        <w:rFonts w:ascii="Arial Narrow" w:hAnsi="Arial Narrow"/>
                        <w:color w:val="6F6754"/>
                        <w:sz w:val="16"/>
                      </w:rPr>
                      <w:t>Address #1 ## Long Street</w:t>
                    </w:r>
                  </w:p>
                  <w:p w14:paraId="14C8DDCC" w14:textId="77777777" w:rsidR="00F577DE" w:rsidRDefault="00F577DE" w:rsidP="00CB04D3">
                    <w:pPr>
                      <w:rPr>
                        <w:rFonts w:ascii="Arial Narrow" w:hAnsi="Arial Narrow"/>
                        <w:color w:val="6F6754"/>
                        <w:sz w:val="16"/>
                      </w:rPr>
                    </w:pPr>
                    <w:r>
                      <w:rPr>
                        <w:rFonts w:ascii="Arial Narrow" w:hAnsi="Arial Narrow"/>
                        <w:color w:val="6F6754"/>
                        <w:sz w:val="16"/>
                      </w:rPr>
                      <w:t>Suite ## | City, ST #####</w:t>
                    </w:r>
                  </w:p>
                  <w:p w14:paraId="78F18E48" w14:textId="77777777" w:rsidR="00F577DE" w:rsidRDefault="00F577DE" w:rsidP="00CB04D3">
                    <w:pPr>
                      <w:rPr>
                        <w:rFonts w:ascii="Arial Narrow" w:hAnsi="Arial Narrow"/>
                        <w:color w:val="6F6754"/>
                        <w:sz w:val="16"/>
                      </w:rPr>
                    </w:pPr>
                    <w:r>
                      <w:rPr>
                        <w:rFonts w:ascii="Arial Narrow" w:hAnsi="Arial Narrow"/>
                        <w:color w:val="6F6754"/>
                        <w:sz w:val="16"/>
                      </w:rPr>
                      <w:t>000.000.0000  main</w:t>
                    </w:r>
                  </w:p>
                  <w:p w14:paraId="65EC62AE" w14:textId="77777777" w:rsidR="00F577DE" w:rsidRDefault="00F577DE" w:rsidP="00CB04D3">
                    <w:pPr>
                      <w:rPr>
                        <w:rFonts w:ascii="Arial Narrow" w:hAnsi="Arial Narrow"/>
                        <w:color w:val="6F6754"/>
                        <w:sz w:val="16"/>
                      </w:rPr>
                    </w:pPr>
                    <w:r>
                      <w:rPr>
                        <w:rFonts w:ascii="Arial Narrow" w:hAnsi="Arial Narrow"/>
                        <w:color w:val="6F6754"/>
                        <w:sz w:val="16"/>
                      </w:rPr>
                      <w:t>000.000.0000  fax</w:t>
                    </w:r>
                  </w:p>
                  <w:p w14:paraId="3892973C" w14:textId="77777777" w:rsidR="00F577DE" w:rsidRDefault="00F577DE" w:rsidP="00CB04D3">
                    <w:pPr>
                      <w:spacing w:line="360" w:lineRule="exact"/>
                      <w:rPr>
                        <w:rFonts w:ascii="Arial Narrow" w:hAnsi="Arial Narrow"/>
                        <w:color w:val="6F6754"/>
                        <w:sz w:val="16"/>
                      </w:rPr>
                    </w:pPr>
                    <w:r>
                      <w:rPr>
                        <w:rFonts w:ascii="Arial Narrow" w:hAnsi="Arial Narrow"/>
                        <w:color w:val="6F6754"/>
                        <w:sz w:val="16"/>
                      </w:rPr>
                      <w:t>navigant.com</w:t>
                    </w: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43DAA8B2" wp14:editId="36869D57">
              <wp:simplePos x="0" y="0"/>
              <wp:positionH relativeFrom="column">
                <wp:posOffset>549275</wp:posOffset>
              </wp:positionH>
              <wp:positionV relativeFrom="paragraph">
                <wp:posOffset>8627745</wp:posOffset>
              </wp:positionV>
              <wp:extent cx="1935480" cy="956310"/>
              <wp:effectExtent l="0" t="0" r="0" b="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956310"/>
                      </a:xfrm>
                      <a:prstGeom prst="rect">
                        <a:avLst/>
                      </a:prstGeom>
                      <a:noFill/>
                      <a:ln>
                        <a:noFill/>
                      </a:ln>
                      <a:extLst>
                        <a:ext uri="{909E8E84-426E-40dd-AFC4-6F175D3DCCD1}">
                          <a14:hiddenFill xmlns:pic="http://schemas.openxmlformats.org/drawingml/2006/picture" xmlns:asvg="http://schemas.microsoft.com/office/drawing/2016/SVG/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pic="http://schemas.openxmlformats.org/drawingml/2006/picture" xmlns:asvg="http://schemas.microsoft.com/office/drawing/2016/SVG/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DB18776" w14:textId="77777777" w:rsidR="00F577DE" w:rsidRDefault="00F577DE" w:rsidP="00CB04D3">
                          <w:pPr>
                            <w:rPr>
                              <w:rFonts w:ascii="Arial Narrow" w:hAnsi="Arial Narrow"/>
                              <w:color w:val="6F6754"/>
                              <w:sz w:val="16"/>
                            </w:rPr>
                          </w:pPr>
                          <w:r>
                            <w:rPr>
                              <w:rFonts w:ascii="Arial Narrow" w:hAnsi="Arial Narrow"/>
                              <w:color w:val="6F6754"/>
                              <w:sz w:val="16"/>
                            </w:rPr>
                            <w:t>Address #1 ## Long Street</w:t>
                          </w:r>
                        </w:p>
                        <w:p w14:paraId="1EA6B2A7" w14:textId="77777777" w:rsidR="00F577DE" w:rsidRDefault="00F577DE" w:rsidP="00CB04D3">
                          <w:pPr>
                            <w:rPr>
                              <w:rFonts w:ascii="Arial Narrow" w:hAnsi="Arial Narrow"/>
                              <w:color w:val="6F6754"/>
                              <w:sz w:val="16"/>
                            </w:rPr>
                          </w:pPr>
                          <w:r>
                            <w:rPr>
                              <w:rFonts w:ascii="Arial Narrow" w:hAnsi="Arial Narrow"/>
                              <w:color w:val="6F6754"/>
                              <w:sz w:val="16"/>
                            </w:rPr>
                            <w:t>Suite ## | City, ST #####</w:t>
                          </w:r>
                        </w:p>
                        <w:p w14:paraId="7C208303" w14:textId="77777777" w:rsidR="00F577DE" w:rsidRDefault="00F577DE" w:rsidP="00CB04D3">
                          <w:pPr>
                            <w:rPr>
                              <w:rFonts w:ascii="Arial Narrow" w:hAnsi="Arial Narrow"/>
                              <w:color w:val="6F6754"/>
                              <w:sz w:val="16"/>
                            </w:rPr>
                          </w:pPr>
                          <w:r>
                            <w:rPr>
                              <w:rFonts w:ascii="Arial Narrow" w:hAnsi="Arial Narrow"/>
                              <w:color w:val="6F6754"/>
                              <w:sz w:val="16"/>
                            </w:rPr>
                            <w:t>000.000.0000  main</w:t>
                          </w:r>
                        </w:p>
                        <w:p w14:paraId="064EFBD6" w14:textId="77777777" w:rsidR="00F577DE" w:rsidRDefault="00F577DE" w:rsidP="00CB04D3">
                          <w:pPr>
                            <w:rPr>
                              <w:rFonts w:ascii="Arial Narrow" w:hAnsi="Arial Narrow"/>
                              <w:color w:val="6F6754"/>
                              <w:sz w:val="16"/>
                            </w:rPr>
                          </w:pPr>
                          <w:r>
                            <w:rPr>
                              <w:rFonts w:ascii="Arial Narrow" w:hAnsi="Arial Narrow"/>
                              <w:color w:val="6F6754"/>
                              <w:sz w:val="16"/>
                            </w:rPr>
                            <w:t>000.000.0000  fax</w:t>
                          </w:r>
                        </w:p>
                        <w:p w14:paraId="1F1FEA08" w14:textId="77777777" w:rsidR="00F577DE" w:rsidRDefault="00F577DE" w:rsidP="00CB04D3">
                          <w:pPr>
                            <w:spacing w:line="360" w:lineRule="exact"/>
                            <w:rPr>
                              <w:rFonts w:ascii="Arial Narrow" w:hAnsi="Arial Narrow"/>
                              <w:color w:val="6F6754"/>
                              <w:sz w:val="16"/>
                            </w:rPr>
                          </w:pPr>
                          <w:r>
                            <w:rPr>
                              <w:rFonts w:ascii="Arial Narrow" w:hAnsi="Arial Narrow"/>
                              <w:color w:val="6F6754"/>
                              <w:sz w:val="16"/>
                            </w:rPr>
                            <w:t>navigant.com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AA8B2" id="_x0000_s1028" type="#_x0000_t202" style="position:absolute;left:0;text-align:left;margin-left:43.25pt;margin-top:679.35pt;width:152.4pt;height:75.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" filled="f" stroked="f">
              <v:textbox>
                <w:txbxContent>
                  <w:p w14:paraId="7DB18776" w14:textId="77777777" w:rsidR="00F577DE" w:rsidRDefault="00F577DE" w:rsidP="00CB04D3">
                    <w:pPr>
                      <w:rPr>
                        <w:rFonts w:ascii="Arial Narrow" w:hAnsi="Arial Narrow"/>
                        <w:color w:val="6F6754"/>
                        <w:sz w:val="16"/>
                      </w:rPr>
                    </w:pPr>
                    <w:r>
                      <w:rPr>
                        <w:rFonts w:ascii="Arial Narrow" w:hAnsi="Arial Narrow"/>
                        <w:color w:val="6F6754"/>
                        <w:sz w:val="16"/>
                      </w:rPr>
                      <w:t>Address #1 ## Long Street</w:t>
                    </w:r>
                  </w:p>
                  <w:p w14:paraId="1EA6B2A7" w14:textId="77777777" w:rsidR="00F577DE" w:rsidRDefault="00F577DE" w:rsidP="00CB04D3">
                    <w:pPr>
                      <w:rPr>
                        <w:rFonts w:ascii="Arial Narrow" w:hAnsi="Arial Narrow"/>
                        <w:color w:val="6F6754"/>
                        <w:sz w:val="16"/>
                      </w:rPr>
                    </w:pPr>
                    <w:r>
                      <w:rPr>
                        <w:rFonts w:ascii="Arial Narrow" w:hAnsi="Arial Narrow"/>
                        <w:color w:val="6F6754"/>
                        <w:sz w:val="16"/>
                      </w:rPr>
                      <w:t>Suite ## | City, ST #####</w:t>
                    </w:r>
                  </w:p>
                  <w:p w14:paraId="7C208303" w14:textId="77777777" w:rsidR="00F577DE" w:rsidRDefault="00F577DE" w:rsidP="00CB04D3">
                    <w:pPr>
                      <w:rPr>
                        <w:rFonts w:ascii="Arial Narrow" w:hAnsi="Arial Narrow"/>
                        <w:color w:val="6F6754"/>
                        <w:sz w:val="16"/>
                      </w:rPr>
                    </w:pPr>
                    <w:r>
                      <w:rPr>
                        <w:rFonts w:ascii="Arial Narrow" w:hAnsi="Arial Narrow"/>
                        <w:color w:val="6F6754"/>
                        <w:sz w:val="16"/>
                      </w:rPr>
                      <w:t>000.000.0000  main</w:t>
                    </w:r>
                  </w:p>
                  <w:p w14:paraId="064EFBD6" w14:textId="77777777" w:rsidR="00F577DE" w:rsidRDefault="00F577DE" w:rsidP="00CB04D3">
                    <w:pPr>
                      <w:rPr>
                        <w:rFonts w:ascii="Arial Narrow" w:hAnsi="Arial Narrow"/>
                        <w:color w:val="6F6754"/>
                        <w:sz w:val="16"/>
                      </w:rPr>
                    </w:pPr>
                    <w:r>
                      <w:rPr>
                        <w:rFonts w:ascii="Arial Narrow" w:hAnsi="Arial Narrow"/>
                        <w:color w:val="6F6754"/>
                        <w:sz w:val="16"/>
                      </w:rPr>
                      <w:t>000.000.0000  fax</w:t>
                    </w:r>
                  </w:p>
                  <w:p w14:paraId="1F1FEA08" w14:textId="77777777" w:rsidR="00F577DE" w:rsidRDefault="00F577DE" w:rsidP="00CB04D3">
                    <w:pPr>
                      <w:spacing w:line="360" w:lineRule="exact"/>
                      <w:rPr>
                        <w:rFonts w:ascii="Arial Narrow" w:hAnsi="Arial Narrow"/>
                        <w:color w:val="6F6754"/>
                        <w:sz w:val="16"/>
                      </w:rPr>
                    </w:pPr>
                    <w:r>
                      <w:rPr>
                        <w:rFonts w:ascii="Arial Narrow" w:hAnsi="Arial Narrow"/>
                        <w:color w:val="6F6754"/>
                        <w:sz w:val="16"/>
                      </w:rPr>
                      <w:t>navigant.com</w:t>
                    </w:r>
                  </w:p>
                </w:txbxContent>
              </v:textbox>
            </v:shape>
          </w:pict>
        </mc:Fallback>
      </mc:AlternateContent>
    </w:r>
    <w:r>
      <w:rPr>
        <w:noProof/>
      </w:rPr>
      <mc:AlternateContent>
        <mc:Choice Requires="wps">
          <w:drawing>
            <wp:anchor distT="0" distB="0" distL="114300" distR="114300" simplePos="0" relativeHeight="251658242" behindDoc="0" locked="0" layoutInCell="1" allowOverlap="1" wp14:anchorId="654EE2ED" wp14:editId="1E649383">
              <wp:simplePos x="0" y="0"/>
              <wp:positionH relativeFrom="column">
                <wp:posOffset>549275</wp:posOffset>
              </wp:positionH>
              <wp:positionV relativeFrom="paragraph">
                <wp:posOffset>8627745</wp:posOffset>
              </wp:positionV>
              <wp:extent cx="1935480" cy="956310"/>
              <wp:effectExtent l="0" t="0" r="0"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956310"/>
                      </a:xfrm>
                      <a:prstGeom prst="rect">
                        <a:avLst/>
                      </a:prstGeom>
                      <a:noFill/>
                      <a:ln>
                        <a:noFill/>
                      </a:ln>
                      <a:extLst>
                        <a:ext uri="{909E8E84-426E-40dd-AFC4-6F175D3DCCD1}">
                          <a14:hiddenFill xmlns:pic="http://schemas.openxmlformats.org/drawingml/2006/picture" xmlns:asvg="http://schemas.microsoft.com/office/drawing/2016/SVG/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pic="http://schemas.openxmlformats.org/drawingml/2006/picture" xmlns:asvg="http://schemas.microsoft.com/office/drawing/2016/SVG/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59863B7" w14:textId="77777777" w:rsidR="00F577DE" w:rsidRDefault="00F577DE" w:rsidP="00CB04D3">
                          <w:pPr>
                            <w:rPr>
                              <w:rFonts w:ascii="Arial Narrow" w:hAnsi="Arial Narrow"/>
                              <w:color w:val="6F6754"/>
                              <w:sz w:val="16"/>
                            </w:rPr>
                          </w:pPr>
                          <w:r>
                            <w:rPr>
                              <w:rFonts w:ascii="Arial Narrow" w:hAnsi="Arial Narrow"/>
                              <w:color w:val="6F6754"/>
                              <w:sz w:val="16"/>
                            </w:rPr>
                            <w:t>Address #1 ## Long Street</w:t>
                          </w:r>
                        </w:p>
                        <w:p w14:paraId="1236251F" w14:textId="77777777" w:rsidR="00F577DE" w:rsidRDefault="00F577DE" w:rsidP="00CB04D3">
                          <w:pPr>
                            <w:rPr>
                              <w:rFonts w:ascii="Arial Narrow" w:hAnsi="Arial Narrow"/>
                              <w:color w:val="6F6754"/>
                              <w:sz w:val="16"/>
                            </w:rPr>
                          </w:pPr>
                          <w:r>
                            <w:rPr>
                              <w:rFonts w:ascii="Arial Narrow" w:hAnsi="Arial Narrow"/>
                              <w:color w:val="6F6754"/>
                              <w:sz w:val="16"/>
                            </w:rPr>
                            <w:t>Suite ## | City, ST #####</w:t>
                          </w:r>
                        </w:p>
                        <w:p w14:paraId="423ACE3C" w14:textId="77777777" w:rsidR="00F577DE" w:rsidRDefault="00F577DE" w:rsidP="00CB04D3">
                          <w:pPr>
                            <w:rPr>
                              <w:rFonts w:ascii="Arial Narrow" w:hAnsi="Arial Narrow"/>
                              <w:color w:val="6F6754"/>
                              <w:sz w:val="16"/>
                            </w:rPr>
                          </w:pPr>
                          <w:r>
                            <w:rPr>
                              <w:rFonts w:ascii="Arial Narrow" w:hAnsi="Arial Narrow"/>
                              <w:color w:val="6F6754"/>
                              <w:sz w:val="16"/>
                            </w:rPr>
                            <w:t>000.000.0000  main</w:t>
                          </w:r>
                        </w:p>
                        <w:p w14:paraId="6506A192" w14:textId="77777777" w:rsidR="00F577DE" w:rsidRDefault="00F577DE" w:rsidP="00CB04D3">
                          <w:pPr>
                            <w:rPr>
                              <w:rFonts w:ascii="Arial Narrow" w:hAnsi="Arial Narrow"/>
                              <w:color w:val="6F6754"/>
                              <w:sz w:val="16"/>
                            </w:rPr>
                          </w:pPr>
                          <w:r>
                            <w:rPr>
                              <w:rFonts w:ascii="Arial Narrow" w:hAnsi="Arial Narrow"/>
                              <w:color w:val="6F6754"/>
                              <w:sz w:val="16"/>
                            </w:rPr>
                            <w:t>000.000.0000  fax</w:t>
                          </w:r>
                        </w:p>
                        <w:p w14:paraId="4A714CB5" w14:textId="77777777" w:rsidR="00F577DE" w:rsidRDefault="00F577DE" w:rsidP="00CB04D3">
                          <w:pPr>
                            <w:spacing w:line="360" w:lineRule="exact"/>
                            <w:rPr>
                              <w:rFonts w:ascii="Arial Narrow" w:hAnsi="Arial Narrow"/>
                              <w:color w:val="6F6754"/>
                              <w:sz w:val="16"/>
                            </w:rPr>
                          </w:pPr>
                          <w:r>
                            <w:rPr>
                              <w:rFonts w:ascii="Arial Narrow" w:hAnsi="Arial Narrow"/>
                              <w:color w:val="6F6754"/>
                              <w:sz w:val="16"/>
                            </w:rPr>
                            <w:t>navigant.com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EE2ED" id="_x0000_s1029" type="#_x0000_t202" style="position:absolute;left:0;text-align:left;margin-left:43.25pt;margin-top:679.35pt;width:152.4pt;height:75.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" filled="f" stroked="f">
              <v:textbox>
                <w:txbxContent>
                  <w:p w14:paraId="159863B7" w14:textId="77777777" w:rsidR="00F577DE" w:rsidRDefault="00F577DE" w:rsidP="00CB04D3">
                    <w:pPr>
                      <w:rPr>
                        <w:rFonts w:ascii="Arial Narrow" w:hAnsi="Arial Narrow"/>
                        <w:color w:val="6F6754"/>
                        <w:sz w:val="16"/>
                      </w:rPr>
                    </w:pPr>
                    <w:r>
                      <w:rPr>
                        <w:rFonts w:ascii="Arial Narrow" w:hAnsi="Arial Narrow"/>
                        <w:color w:val="6F6754"/>
                        <w:sz w:val="16"/>
                      </w:rPr>
                      <w:t>Address #1 ## Long Street</w:t>
                    </w:r>
                  </w:p>
                  <w:p w14:paraId="1236251F" w14:textId="77777777" w:rsidR="00F577DE" w:rsidRDefault="00F577DE" w:rsidP="00CB04D3">
                    <w:pPr>
                      <w:rPr>
                        <w:rFonts w:ascii="Arial Narrow" w:hAnsi="Arial Narrow"/>
                        <w:color w:val="6F6754"/>
                        <w:sz w:val="16"/>
                      </w:rPr>
                    </w:pPr>
                    <w:r>
                      <w:rPr>
                        <w:rFonts w:ascii="Arial Narrow" w:hAnsi="Arial Narrow"/>
                        <w:color w:val="6F6754"/>
                        <w:sz w:val="16"/>
                      </w:rPr>
                      <w:t>Suite ## | City, ST #####</w:t>
                    </w:r>
                  </w:p>
                  <w:p w14:paraId="423ACE3C" w14:textId="77777777" w:rsidR="00F577DE" w:rsidRDefault="00F577DE" w:rsidP="00CB04D3">
                    <w:pPr>
                      <w:rPr>
                        <w:rFonts w:ascii="Arial Narrow" w:hAnsi="Arial Narrow"/>
                        <w:color w:val="6F6754"/>
                        <w:sz w:val="16"/>
                      </w:rPr>
                    </w:pPr>
                    <w:r>
                      <w:rPr>
                        <w:rFonts w:ascii="Arial Narrow" w:hAnsi="Arial Narrow"/>
                        <w:color w:val="6F6754"/>
                        <w:sz w:val="16"/>
                      </w:rPr>
                      <w:t>000.000.0000  main</w:t>
                    </w:r>
                  </w:p>
                  <w:p w14:paraId="6506A192" w14:textId="77777777" w:rsidR="00F577DE" w:rsidRDefault="00F577DE" w:rsidP="00CB04D3">
                    <w:pPr>
                      <w:rPr>
                        <w:rFonts w:ascii="Arial Narrow" w:hAnsi="Arial Narrow"/>
                        <w:color w:val="6F6754"/>
                        <w:sz w:val="16"/>
                      </w:rPr>
                    </w:pPr>
                    <w:r>
                      <w:rPr>
                        <w:rFonts w:ascii="Arial Narrow" w:hAnsi="Arial Narrow"/>
                        <w:color w:val="6F6754"/>
                        <w:sz w:val="16"/>
                      </w:rPr>
                      <w:t>000.000.0000  fax</w:t>
                    </w:r>
                  </w:p>
                  <w:p w14:paraId="4A714CB5" w14:textId="77777777" w:rsidR="00F577DE" w:rsidRDefault="00F577DE" w:rsidP="00CB04D3">
                    <w:pPr>
                      <w:spacing w:line="360" w:lineRule="exact"/>
                      <w:rPr>
                        <w:rFonts w:ascii="Arial Narrow" w:hAnsi="Arial Narrow"/>
                        <w:color w:val="6F6754"/>
                        <w:sz w:val="16"/>
                      </w:rPr>
                    </w:pPr>
                    <w:r>
                      <w:rPr>
                        <w:rFonts w:ascii="Arial Narrow" w:hAnsi="Arial Narrow"/>
                        <w:color w:val="6F6754"/>
                        <w:sz w:val="16"/>
                      </w:rPr>
                      <w:t>navigant.com</w:t>
                    </w: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137BD445" wp14:editId="108B2014">
              <wp:simplePos x="0" y="0"/>
              <wp:positionH relativeFrom="column">
                <wp:posOffset>549275</wp:posOffset>
              </wp:positionH>
              <wp:positionV relativeFrom="paragraph">
                <wp:posOffset>8627745</wp:posOffset>
              </wp:positionV>
              <wp:extent cx="1935480" cy="956310"/>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956310"/>
                      </a:xfrm>
                      <a:prstGeom prst="rect">
                        <a:avLst/>
                      </a:prstGeom>
                      <a:noFill/>
                      <a:ln>
                        <a:noFill/>
                      </a:ln>
                      <a:extLst>
                        <a:ext uri="{909E8E84-426E-40dd-AFC4-6F175D3DCCD1}">
                          <a14:hiddenFill xmlns:pic="http://schemas.openxmlformats.org/drawingml/2006/picture" xmlns:asvg="http://schemas.microsoft.com/office/drawing/2016/SVG/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pic="http://schemas.openxmlformats.org/drawingml/2006/picture" xmlns:asvg="http://schemas.microsoft.com/office/drawing/2016/SVG/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5508724" w14:textId="77777777" w:rsidR="00F577DE" w:rsidRDefault="00F577DE" w:rsidP="00CB04D3">
                          <w:pPr>
                            <w:rPr>
                              <w:rFonts w:ascii="Arial Narrow" w:hAnsi="Arial Narrow"/>
                              <w:color w:val="6F6754"/>
                              <w:sz w:val="16"/>
                            </w:rPr>
                          </w:pPr>
                          <w:r>
                            <w:rPr>
                              <w:rFonts w:ascii="Arial Narrow" w:hAnsi="Arial Narrow"/>
                              <w:color w:val="6F6754"/>
                              <w:sz w:val="16"/>
                            </w:rPr>
                            <w:t>Address #1 ## Long Street</w:t>
                          </w:r>
                        </w:p>
                        <w:p w14:paraId="6D5D3370" w14:textId="77777777" w:rsidR="00F577DE" w:rsidRDefault="00F577DE" w:rsidP="00CB04D3">
                          <w:pPr>
                            <w:rPr>
                              <w:rFonts w:ascii="Arial Narrow" w:hAnsi="Arial Narrow"/>
                              <w:color w:val="6F6754"/>
                              <w:sz w:val="16"/>
                            </w:rPr>
                          </w:pPr>
                          <w:r>
                            <w:rPr>
                              <w:rFonts w:ascii="Arial Narrow" w:hAnsi="Arial Narrow"/>
                              <w:color w:val="6F6754"/>
                              <w:sz w:val="16"/>
                            </w:rPr>
                            <w:t>Suite ## | City, ST #####</w:t>
                          </w:r>
                        </w:p>
                        <w:p w14:paraId="2B8B34D8" w14:textId="77777777" w:rsidR="00F577DE" w:rsidRDefault="00F577DE" w:rsidP="00CB04D3">
                          <w:pPr>
                            <w:rPr>
                              <w:rFonts w:ascii="Arial Narrow" w:hAnsi="Arial Narrow"/>
                              <w:color w:val="6F6754"/>
                              <w:sz w:val="16"/>
                            </w:rPr>
                          </w:pPr>
                          <w:r>
                            <w:rPr>
                              <w:rFonts w:ascii="Arial Narrow" w:hAnsi="Arial Narrow"/>
                              <w:color w:val="6F6754"/>
                              <w:sz w:val="16"/>
                            </w:rPr>
                            <w:t>000.000.0000  main</w:t>
                          </w:r>
                        </w:p>
                        <w:p w14:paraId="1676FE57" w14:textId="77777777" w:rsidR="00F577DE" w:rsidRDefault="00F577DE" w:rsidP="00CB04D3">
                          <w:pPr>
                            <w:rPr>
                              <w:rFonts w:ascii="Arial Narrow" w:hAnsi="Arial Narrow"/>
                              <w:color w:val="6F6754"/>
                              <w:sz w:val="16"/>
                            </w:rPr>
                          </w:pPr>
                          <w:r>
                            <w:rPr>
                              <w:rFonts w:ascii="Arial Narrow" w:hAnsi="Arial Narrow"/>
                              <w:color w:val="6F6754"/>
                              <w:sz w:val="16"/>
                            </w:rPr>
                            <w:t>000.000.0000  fax</w:t>
                          </w:r>
                        </w:p>
                        <w:p w14:paraId="6E080819" w14:textId="77777777" w:rsidR="00F577DE" w:rsidRDefault="00F577DE" w:rsidP="00CB04D3">
                          <w:pPr>
                            <w:spacing w:line="360" w:lineRule="exact"/>
                            <w:rPr>
                              <w:rFonts w:ascii="Arial Narrow" w:hAnsi="Arial Narrow"/>
                              <w:color w:val="6F6754"/>
                              <w:sz w:val="16"/>
                            </w:rPr>
                          </w:pPr>
                          <w:r>
                            <w:rPr>
                              <w:rFonts w:ascii="Arial Narrow" w:hAnsi="Arial Narrow"/>
                              <w:color w:val="6F6754"/>
                              <w:sz w:val="16"/>
                            </w:rPr>
                            <w:t>navigant.com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BD445" id="_x0000_s1030" type="#_x0000_t202" style="position:absolute;left:0;text-align:left;margin-left:43.25pt;margin-top:679.35pt;width:152.4pt;height:75.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" filled="f" stroked="f">
              <v:textbox>
                <w:txbxContent>
                  <w:p w14:paraId="35508724" w14:textId="77777777" w:rsidR="00F577DE" w:rsidRDefault="00F577DE" w:rsidP="00CB04D3">
                    <w:pPr>
                      <w:rPr>
                        <w:rFonts w:ascii="Arial Narrow" w:hAnsi="Arial Narrow"/>
                        <w:color w:val="6F6754"/>
                        <w:sz w:val="16"/>
                      </w:rPr>
                    </w:pPr>
                    <w:r>
                      <w:rPr>
                        <w:rFonts w:ascii="Arial Narrow" w:hAnsi="Arial Narrow"/>
                        <w:color w:val="6F6754"/>
                        <w:sz w:val="16"/>
                      </w:rPr>
                      <w:t>Address #1 ## Long Street</w:t>
                    </w:r>
                  </w:p>
                  <w:p w14:paraId="6D5D3370" w14:textId="77777777" w:rsidR="00F577DE" w:rsidRDefault="00F577DE" w:rsidP="00CB04D3">
                    <w:pPr>
                      <w:rPr>
                        <w:rFonts w:ascii="Arial Narrow" w:hAnsi="Arial Narrow"/>
                        <w:color w:val="6F6754"/>
                        <w:sz w:val="16"/>
                      </w:rPr>
                    </w:pPr>
                    <w:r>
                      <w:rPr>
                        <w:rFonts w:ascii="Arial Narrow" w:hAnsi="Arial Narrow"/>
                        <w:color w:val="6F6754"/>
                        <w:sz w:val="16"/>
                      </w:rPr>
                      <w:t>Suite ## | City, ST #####</w:t>
                    </w:r>
                  </w:p>
                  <w:p w14:paraId="2B8B34D8" w14:textId="77777777" w:rsidR="00F577DE" w:rsidRDefault="00F577DE" w:rsidP="00CB04D3">
                    <w:pPr>
                      <w:rPr>
                        <w:rFonts w:ascii="Arial Narrow" w:hAnsi="Arial Narrow"/>
                        <w:color w:val="6F6754"/>
                        <w:sz w:val="16"/>
                      </w:rPr>
                    </w:pPr>
                    <w:r>
                      <w:rPr>
                        <w:rFonts w:ascii="Arial Narrow" w:hAnsi="Arial Narrow"/>
                        <w:color w:val="6F6754"/>
                        <w:sz w:val="16"/>
                      </w:rPr>
                      <w:t>000.000.0000  main</w:t>
                    </w:r>
                  </w:p>
                  <w:p w14:paraId="1676FE57" w14:textId="77777777" w:rsidR="00F577DE" w:rsidRDefault="00F577DE" w:rsidP="00CB04D3">
                    <w:pPr>
                      <w:rPr>
                        <w:rFonts w:ascii="Arial Narrow" w:hAnsi="Arial Narrow"/>
                        <w:color w:val="6F6754"/>
                        <w:sz w:val="16"/>
                      </w:rPr>
                    </w:pPr>
                    <w:r>
                      <w:rPr>
                        <w:rFonts w:ascii="Arial Narrow" w:hAnsi="Arial Narrow"/>
                        <w:color w:val="6F6754"/>
                        <w:sz w:val="16"/>
                      </w:rPr>
                      <w:t>000.000.0000  fax</w:t>
                    </w:r>
                  </w:p>
                  <w:p w14:paraId="6E080819" w14:textId="77777777" w:rsidR="00F577DE" w:rsidRDefault="00F577DE" w:rsidP="00CB04D3">
                    <w:pPr>
                      <w:spacing w:line="360" w:lineRule="exact"/>
                      <w:rPr>
                        <w:rFonts w:ascii="Arial Narrow" w:hAnsi="Arial Narrow"/>
                        <w:color w:val="6F6754"/>
                        <w:sz w:val="16"/>
                      </w:rPr>
                    </w:pPr>
                    <w:r>
                      <w:rPr>
                        <w:rFonts w:ascii="Arial Narrow" w:hAnsi="Arial Narrow"/>
                        <w:color w:val="6F6754"/>
                        <w:sz w:val="16"/>
                      </w:rPr>
                      <w:t>navigant.com</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3378D1" w14:textId="77777777" w:rsidR="00F577DE" w:rsidRDefault="00F577DE" w:rsidP="008D610D">
      <w:pPr>
        <w:spacing w:line="240" w:lineRule="auto"/>
      </w:pPr>
      <w:r>
        <w:separator/>
      </w:r>
    </w:p>
  </w:footnote>
  <w:footnote w:type="continuationSeparator" w:id="0">
    <w:p w14:paraId="1EA71036" w14:textId="77777777" w:rsidR="00F577DE" w:rsidRDefault="00F577DE" w:rsidP="008D610D">
      <w:pPr>
        <w:spacing w:line="240" w:lineRule="auto"/>
      </w:pPr>
      <w:r>
        <w:continuationSeparator/>
      </w:r>
    </w:p>
  </w:footnote>
  <w:footnote w:type="continuationNotice" w:id="1">
    <w:p w14:paraId="61A18388" w14:textId="77777777" w:rsidR="00F577DE" w:rsidRDefault="00F577DE">
      <w:pPr>
        <w:spacing w:line="240" w:lineRule="auto"/>
      </w:pPr>
    </w:p>
  </w:footnote>
  <w:footnote w:id="2">
    <w:p w14:paraId="101F6165" w14:textId="77777777" w:rsidR="00F577DE" w:rsidRPr="00C404B6" w:rsidRDefault="00F577DE" w:rsidP="00C404B6">
      <w:pPr>
        <w:pStyle w:val="FootnoteText"/>
        <w:rPr>
          <w:sz w:val="16"/>
          <w:szCs w:val="16"/>
        </w:rPr>
      </w:pPr>
      <w:r w:rsidRPr="00C404B6">
        <w:rPr>
          <w:rStyle w:val="FootnoteReference"/>
          <w:sz w:val="16"/>
          <w:szCs w:val="16"/>
        </w:rPr>
        <w:footnoteRef/>
      </w:r>
      <w:r w:rsidRPr="00C404B6">
        <w:rPr>
          <w:sz w:val="16"/>
          <w:szCs w:val="16"/>
        </w:rPr>
        <w:t xml:space="preserve"> FEJA (Illinois Future Energy Jobs Act). Public Act 099-0906. </w:t>
      </w:r>
      <w:hyperlink r:id="rId1" w:history="1">
        <w:r w:rsidRPr="00C404B6">
          <w:rPr>
            <w:rStyle w:val="Hyperlink"/>
            <w:sz w:val="16"/>
            <w:szCs w:val="16"/>
          </w:rPr>
          <w:t>www.ilga.gov/legislation/publicacts/99/PDF/099-0906.pdf</w:t>
        </w:r>
      </w:hyperlink>
      <w:r w:rsidRPr="00C404B6">
        <w:rPr>
          <w:sz w:val="16"/>
          <w:szCs w:val="16"/>
        </w:rPr>
        <w:t>. (passed December 7, 2016).</w:t>
      </w:r>
    </w:p>
  </w:footnote>
  <w:footnote w:id="3">
    <w:p w14:paraId="1EE82201" w14:textId="77777777" w:rsidR="00F577DE" w:rsidRDefault="00F577DE" w:rsidP="00C404B6">
      <w:pPr>
        <w:pStyle w:val="FooterAddress"/>
      </w:pPr>
      <w:r w:rsidRPr="00C404B6">
        <w:rPr>
          <w:rStyle w:val="FootnoteReference"/>
          <w:szCs w:val="16"/>
        </w:rPr>
        <w:footnoteRef/>
      </w:r>
      <w:r w:rsidRPr="00C404B6">
        <w:rPr>
          <w:szCs w:val="16"/>
        </w:rPr>
        <w:t xml:space="preserve"> IL SAG. Illinois Statewide Technical Reference Manual for Energy Efficiency, Version 8.0.  Illinois Commerce Commission. Springfield: IL. </w:t>
      </w:r>
      <w:hyperlink r:id="rId2" w:history="1">
        <w:r w:rsidRPr="00C404B6">
          <w:rPr>
            <w:rStyle w:val="Hyperlink"/>
            <w:szCs w:val="16"/>
          </w:rPr>
          <w:t>s3.amazonaws.com/ilsag/2020_IL-TRM_Version_8.0_dated_October-17-2019_Final_Volumes_1-4_Compiled.pdf</w:t>
        </w:r>
      </w:hyperlink>
      <w:r w:rsidRPr="00C404B6">
        <w:rPr>
          <w:rStyle w:val="Hyperlink"/>
          <w:szCs w:val="16"/>
        </w:rPr>
        <w:t>.</w:t>
      </w:r>
    </w:p>
  </w:footnote>
  <w:footnote w:id="4">
    <w:p w14:paraId="339017C4" w14:textId="77777777" w:rsidR="00F577DE" w:rsidRDefault="00F577DE" w:rsidP="002F0EDD">
      <w:pPr>
        <w:pStyle w:val="FootnoteText"/>
      </w:pPr>
      <w:r>
        <w:rPr>
          <w:rStyle w:val="FootnoteReference"/>
        </w:rPr>
        <w:footnoteRef/>
      </w:r>
      <w:r>
        <w:t xml:space="preserve"> </w:t>
      </w:r>
      <w:r w:rsidRPr="004F72DB">
        <w:rPr>
          <w:rFonts w:cs="Arial"/>
          <w:sz w:val="16"/>
          <w:szCs w:val="16"/>
        </w:rPr>
        <w:t>Guidehouse</w:t>
      </w:r>
      <w:r>
        <w:rPr>
          <w:rFonts w:cs="Arial"/>
          <w:sz w:val="16"/>
          <w:szCs w:val="16"/>
        </w:rPr>
        <w:t xml:space="preserve"> report “</w:t>
      </w:r>
      <w:r w:rsidRPr="004F72DB">
        <w:rPr>
          <w:rFonts w:cs="Arial"/>
          <w:sz w:val="16"/>
          <w:szCs w:val="16"/>
        </w:rPr>
        <w:t>Quantifying Non-Energy Benefits from</w:t>
      </w:r>
      <w:r>
        <w:rPr>
          <w:rFonts w:cs="Arial"/>
          <w:sz w:val="16"/>
          <w:szCs w:val="16"/>
        </w:rPr>
        <w:t xml:space="preserve"> </w:t>
      </w:r>
      <w:r w:rsidRPr="004F72DB">
        <w:rPr>
          <w:rFonts w:cs="Arial"/>
          <w:sz w:val="16"/>
          <w:szCs w:val="16"/>
        </w:rPr>
        <w:t>ComEd’s Income Eligible Programs:</w:t>
      </w:r>
      <w:r>
        <w:rPr>
          <w:rFonts w:cs="Arial"/>
          <w:sz w:val="16"/>
          <w:szCs w:val="16"/>
        </w:rPr>
        <w:t xml:space="preserve"> </w:t>
      </w:r>
      <w:r w:rsidRPr="004F72DB">
        <w:rPr>
          <w:rFonts w:cs="Arial"/>
          <w:sz w:val="16"/>
          <w:szCs w:val="16"/>
        </w:rPr>
        <w:t>Findings and Recommendations</w:t>
      </w:r>
      <w:r>
        <w:rPr>
          <w:rFonts w:cs="Arial"/>
          <w:sz w:val="16"/>
          <w:szCs w:val="16"/>
        </w:rPr>
        <w:t xml:space="preserve"> </w:t>
      </w:r>
      <w:r w:rsidRPr="004F72DB">
        <w:rPr>
          <w:rFonts w:cs="Arial"/>
          <w:sz w:val="16"/>
          <w:szCs w:val="16"/>
        </w:rPr>
        <w:t>from Secondary</w:t>
      </w:r>
      <w:r>
        <w:rPr>
          <w:rFonts w:cs="Arial"/>
          <w:sz w:val="16"/>
          <w:szCs w:val="16"/>
        </w:rPr>
        <w:t xml:space="preserve"> </w:t>
      </w:r>
      <w:r w:rsidRPr="004F72DB">
        <w:rPr>
          <w:rFonts w:cs="Arial"/>
          <w:sz w:val="16"/>
          <w:szCs w:val="16"/>
        </w:rPr>
        <w:t>Research</w:t>
      </w:r>
      <w:r>
        <w:rPr>
          <w:rFonts w:cs="Arial"/>
          <w:sz w:val="16"/>
          <w:szCs w:val="16"/>
        </w:rPr>
        <w:t xml:space="preserve">,” March 6, 2018. </w:t>
      </w:r>
      <w:r w:rsidRPr="004F72DB">
        <w:rPr>
          <w:rFonts w:cs="Arial"/>
          <w:sz w:val="16"/>
          <w:szCs w:val="16"/>
        </w:rPr>
        <w:t>https://s3.amazonaws.com/ilsag/ComEd_Income_Eligible_Programs_NEBs_Secondary_Research_Report_2018-03-06.pdf</w:t>
      </w:r>
    </w:p>
  </w:footnote>
  <w:footnote w:id="5">
    <w:p w14:paraId="39EC7925" w14:textId="77777777" w:rsidR="00F577DE" w:rsidRPr="0014716F" w:rsidRDefault="00F577DE" w:rsidP="002F0EDD">
      <w:pPr>
        <w:pStyle w:val="FootnoteText"/>
        <w:rPr>
          <w:rStyle w:val="Hyperlink"/>
          <w:rFonts w:cs="Arial"/>
          <w:sz w:val="16"/>
          <w:szCs w:val="16"/>
        </w:rPr>
      </w:pPr>
      <w:r>
        <w:rPr>
          <w:rStyle w:val="FootnoteReference"/>
        </w:rPr>
        <w:footnoteRef/>
      </w:r>
      <w:r>
        <w:t xml:space="preserve">  </w:t>
      </w:r>
      <w:r>
        <w:rPr>
          <w:rFonts w:cs="Arial"/>
          <w:sz w:val="16"/>
          <w:szCs w:val="16"/>
        </w:rPr>
        <w:t>Guidehouse m</w:t>
      </w:r>
      <w:r w:rsidRPr="0014716F">
        <w:rPr>
          <w:rFonts w:cs="Arial"/>
          <w:sz w:val="16"/>
          <w:szCs w:val="16"/>
        </w:rPr>
        <w:t xml:space="preserve">emo </w:t>
      </w:r>
      <w:r>
        <w:rPr>
          <w:rFonts w:cs="Arial"/>
          <w:sz w:val="16"/>
          <w:szCs w:val="16"/>
        </w:rPr>
        <w:t>“</w:t>
      </w:r>
      <w:r w:rsidRPr="004F72DB">
        <w:rPr>
          <w:rFonts w:cs="Arial"/>
          <w:sz w:val="16"/>
          <w:szCs w:val="16"/>
        </w:rPr>
        <w:t>Review of States’ Methodologies to include Monetized Non-Energy Impacts in Cost-Effectiveness Tests</w:t>
      </w:r>
      <w:r>
        <w:rPr>
          <w:rFonts w:cs="Arial"/>
          <w:sz w:val="16"/>
          <w:szCs w:val="16"/>
        </w:rPr>
        <w:t>,” April 30, 2020.</w:t>
      </w:r>
      <w:r w:rsidRPr="004F72DB">
        <w:rPr>
          <w:rFonts w:cs="Arial"/>
          <w:sz w:val="16"/>
          <w:szCs w:val="16"/>
        </w:rPr>
        <w:t xml:space="preserve"> </w:t>
      </w:r>
      <w:r w:rsidRPr="0014716F">
        <w:rPr>
          <w:rFonts w:cs="Arial"/>
          <w:sz w:val="16"/>
          <w:szCs w:val="16"/>
        </w:rPr>
        <w:t>:</w:t>
      </w:r>
      <w:r>
        <w:t xml:space="preserve"> </w:t>
      </w:r>
      <w:hyperlink r:id="rId3" w:history="1">
        <w:r w:rsidRPr="0014716F">
          <w:rPr>
            <w:rStyle w:val="Hyperlink"/>
            <w:rFonts w:cs="Arial"/>
            <w:sz w:val="16"/>
            <w:szCs w:val="16"/>
          </w:rPr>
          <w:t>https://s3.amazonaws.com/ilsag/ComEd-Memo-Methods-to-Include-NEIs-in-C-E-Tests_Draft_2020-04-30.docx</w:t>
        </w:r>
      </w:hyperlink>
    </w:p>
  </w:footnote>
  <w:footnote w:id="6">
    <w:p w14:paraId="0CB33650" w14:textId="77777777" w:rsidR="00F577DE" w:rsidRPr="00304BF4" w:rsidRDefault="00F577DE" w:rsidP="00CD527A">
      <w:pPr>
        <w:pStyle w:val="FootnoteText"/>
        <w:rPr>
          <w:sz w:val="16"/>
          <w:szCs w:val="16"/>
        </w:rPr>
      </w:pPr>
      <w:r w:rsidRPr="00304BF4">
        <w:rPr>
          <w:rStyle w:val="FootnoteReference"/>
          <w:sz w:val="16"/>
          <w:szCs w:val="16"/>
        </w:rPr>
        <w:footnoteRef/>
      </w:r>
      <w:r w:rsidRPr="00304BF4">
        <w:rPr>
          <w:sz w:val="16"/>
          <w:szCs w:val="16"/>
        </w:rPr>
        <w:t xml:space="preserve"> On an annual basis, the World Health Organization (WHO) estimates around 4.2 million premature deaths globally are linked to ambient air pollution, with the most harmful culprits being PM2.5, SO2, NO2, and Ozone </w:t>
      </w:r>
      <w:hyperlink r:id="rId4" w:history="1">
        <w:r w:rsidRPr="00304BF4">
          <w:rPr>
            <w:rStyle w:val="Hyperlink"/>
            <w:sz w:val="16"/>
            <w:szCs w:val="16"/>
          </w:rPr>
          <w:t>https://www.who.int/airpollution/ambient/health-impacts/en/</w:t>
        </w:r>
      </w:hyperlink>
      <w:r w:rsidRPr="00304BF4">
        <w:rPr>
          <w:sz w:val="16"/>
          <w:szCs w:val="16"/>
        </w:rPr>
        <w:t xml:space="preserve"> Accessed: August 17, 2020.</w:t>
      </w:r>
    </w:p>
  </w:footnote>
  <w:footnote w:id="7">
    <w:p w14:paraId="5E38A0CA" w14:textId="77777777" w:rsidR="00F577DE" w:rsidRPr="00304BF4" w:rsidRDefault="00F577DE" w:rsidP="00CD527A">
      <w:pPr>
        <w:pStyle w:val="FootnoteText"/>
        <w:rPr>
          <w:sz w:val="16"/>
          <w:szCs w:val="16"/>
        </w:rPr>
      </w:pPr>
      <w:r w:rsidRPr="00304BF4">
        <w:rPr>
          <w:rStyle w:val="FootnoteReference"/>
          <w:sz w:val="16"/>
          <w:szCs w:val="16"/>
        </w:rPr>
        <w:footnoteRef/>
      </w:r>
      <w:r w:rsidRPr="00304BF4">
        <w:rPr>
          <w:sz w:val="16"/>
          <w:szCs w:val="16"/>
        </w:rPr>
        <w:t xml:space="preserve"> </w:t>
      </w:r>
      <w:hyperlink r:id="rId5" w:history="1">
        <w:r w:rsidRPr="00304BF4">
          <w:rPr>
            <w:rStyle w:val="Hyperlink"/>
            <w:sz w:val="16"/>
            <w:szCs w:val="16"/>
          </w:rPr>
          <w:t>https://www.epa.gov/clean-air-act-overview/air-pollution-current-and-future-challenges</w:t>
        </w:r>
      </w:hyperlink>
      <w:r w:rsidRPr="00304BF4">
        <w:rPr>
          <w:sz w:val="16"/>
          <w:szCs w:val="16"/>
        </w:rPr>
        <w:t xml:space="preserve"> Accessed: August 17, 2020.</w:t>
      </w:r>
    </w:p>
  </w:footnote>
  <w:footnote w:id="8">
    <w:p w14:paraId="3D7D5075" w14:textId="77777777" w:rsidR="00F577DE" w:rsidRDefault="00F577DE" w:rsidP="00CD527A">
      <w:pPr>
        <w:pStyle w:val="FootnoteText"/>
      </w:pPr>
      <w:r w:rsidRPr="00304BF4">
        <w:rPr>
          <w:rStyle w:val="FootnoteReference"/>
          <w:sz w:val="16"/>
          <w:szCs w:val="16"/>
        </w:rPr>
        <w:footnoteRef/>
      </w:r>
      <w:r w:rsidRPr="00304BF4">
        <w:rPr>
          <w:sz w:val="16"/>
          <w:szCs w:val="16"/>
        </w:rPr>
        <w:t xml:space="preserve"> </w:t>
      </w:r>
      <w:hyperlink r:id="rId6" w:history="1">
        <w:r w:rsidRPr="00304BF4">
          <w:rPr>
            <w:rStyle w:val="Hyperlink"/>
            <w:sz w:val="16"/>
            <w:szCs w:val="16"/>
          </w:rPr>
          <w:t>https://www.epa.gov/environmental-economics/mortality-risk-valuation</w:t>
        </w:r>
      </w:hyperlink>
      <w:r w:rsidRPr="00304BF4">
        <w:rPr>
          <w:sz w:val="16"/>
          <w:szCs w:val="16"/>
        </w:rPr>
        <w:t xml:space="preserve"> Accessed: August 17, 2020.</w:t>
      </w:r>
    </w:p>
  </w:footnote>
  <w:footnote w:id="9">
    <w:p w14:paraId="42743168" w14:textId="77777777" w:rsidR="00F577DE" w:rsidRPr="00072322" w:rsidRDefault="00F577DE" w:rsidP="00D708F0">
      <w:pPr>
        <w:pStyle w:val="FooterAddress"/>
        <w:rPr>
          <w:szCs w:val="16"/>
        </w:rPr>
      </w:pPr>
      <w:r w:rsidRPr="00072322">
        <w:rPr>
          <w:rStyle w:val="FootnoteReference"/>
          <w:szCs w:val="16"/>
        </w:rPr>
        <w:footnoteRef/>
      </w:r>
      <w:r w:rsidRPr="00072322">
        <w:rPr>
          <w:szCs w:val="16"/>
        </w:rPr>
        <w:t xml:space="preserve"> </w:t>
      </w:r>
      <w:hyperlink r:id="rId7" w:history="1">
        <w:r w:rsidRPr="00072322">
          <w:rPr>
            <w:rStyle w:val="Hyperlink"/>
            <w:szCs w:val="16"/>
          </w:rPr>
          <w:t>https://www.epa.gov/statelocalenergy/how-cobra-works</w:t>
        </w:r>
      </w:hyperlink>
      <w:r w:rsidRPr="00072322">
        <w:rPr>
          <w:szCs w:val="16"/>
        </w:rPr>
        <w:t xml:space="preserve">. Accessed: July 15, 2020.  </w:t>
      </w:r>
    </w:p>
  </w:footnote>
  <w:footnote w:id="10">
    <w:p w14:paraId="21393CA8" w14:textId="77777777" w:rsidR="00F577DE" w:rsidRPr="00072322" w:rsidRDefault="00F577DE" w:rsidP="00D708F0">
      <w:pPr>
        <w:pStyle w:val="FootnoteText"/>
        <w:rPr>
          <w:sz w:val="16"/>
          <w:szCs w:val="16"/>
        </w:rPr>
      </w:pPr>
      <w:r w:rsidRPr="00072322">
        <w:rPr>
          <w:rStyle w:val="FootnoteReference"/>
          <w:sz w:val="16"/>
          <w:szCs w:val="16"/>
        </w:rPr>
        <w:footnoteRef/>
      </w:r>
      <w:r w:rsidRPr="00072322">
        <w:rPr>
          <w:sz w:val="16"/>
          <w:szCs w:val="16"/>
        </w:rPr>
        <w:t xml:space="preserve"> U.S. Environmental Protection Agency.  1996. Compilation of Air Pollutant Emission Factors, 5th Edition, </w:t>
      </w:r>
      <w:r>
        <w:rPr>
          <w:sz w:val="16"/>
          <w:szCs w:val="16"/>
        </w:rPr>
        <w:t>(</w:t>
      </w:r>
      <w:r w:rsidRPr="00072322">
        <w:rPr>
          <w:sz w:val="16"/>
          <w:szCs w:val="16"/>
        </w:rPr>
        <w:t>AP-42</w:t>
      </w:r>
      <w:r>
        <w:rPr>
          <w:sz w:val="16"/>
          <w:szCs w:val="16"/>
        </w:rPr>
        <w:t>)</w:t>
      </w:r>
      <w:r w:rsidRPr="00072322">
        <w:rPr>
          <w:sz w:val="16"/>
          <w:szCs w:val="16"/>
        </w:rPr>
        <w:t xml:space="preserve">, Volume I:  Stationary Point and Area Sources.  Research Triangle Park, NC. </w:t>
      </w:r>
      <w:hyperlink r:id="rId8" w:anchor="5thed" w:history="1">
        <w:r w:rsidRPr="00072322">
          <w:rPr>
            <w:rStyle w:val="Hyperlink"/>
            <w:sz w:val="16"/>
            <w:szCs w:val="16"/>
          </w:rPr>
          <w:t>https://www.epa.gov/air-emissions-factors-and-quantification/ap-42-compilation-air-emission-factors#5thed</w:t>
        </w:r>
      </w:hyperlink>
    </w:p>
  </w:footnote>
  <w:footnote w:id="11">
    <w:p w14:paraId="2BD8ADEF" w14:textId="77777777" w:rsidR="00F577DE" w:rsidRPr="00072322" w:rsidRDefault="00F577DE" w:rsidP="00D708F0">
      <w:pPr>
        <w:pStyle w:val="FootnoteText"/>
        <w:rPr>
          <w:sz w:val="16"/>
          <w:szCs w:val="16"/>
        </w:rPr>
      </w:pPr>
      <w:r w:rsidRPr="00072322">
        <w:rPr>
          <w:rStyle w:val="FootnoteReference"/>
          <w:sz w:val="16"/>
          <w:szCs w:val="16"/>
        </w:rPr>
        <w:footnoteRef/>
      </w:r>
      <w:r w:rsidRPr="00072322">
        <w:rPr>
          <w:sz w:val="16"/>
          <w:szCs w:val="16"/>
        </w:rPr>
        <w:t xml:space="preserve"> U.S. Environmental Protection Agency. 2004. Emission Inventory Improvement Program</w:t>
      </w:r>
      <w:r>
        <w:rPr>
          <w:sz w:val="16"/>
          <w:szCs w:val="16"/>
        </w:rPr>
        <w:t xml:space="preserve"> (EIIP)</w:t>
      </w:r>
      <w:r w:rsidRPr="00072322">
        <w:rPr>
          <w:sz w:val="16"/>
          <w:szCs w:val="16"/>
        </w:rPr>
        <w:t xml:space="preserve">. Estimating Ammonia Emissions from Anthropogenic Sources, Draft Final Report.  Prepared by E.H. Pechan and Associates, Inc.  Research Triangle Park, NC. </w:t>
      </w:r>
      <w:hyperlink r:id="rId9" w:history="1">
        <w:r w:rsidRPr="00072322">
          <w:rPr>
            <w:rStyle w:val="Hyperlink"/>
            <w:sz w:val="16"/>
            <w:szCs w:val="16"/>
          </w:rPr>
          <w:t>https://www.epa.gov/sites/production/files/2015-08/documents/eiip_areasourcesnh3.pdf</w:t>
        </w:r>
      </w:hyperlink>
    </w:p>
  </w:footnote>
  <w:footnote w:id="12">
    <w:p w14:paraId="32956671" w14:textId="77777777" w:rsidR="00F577DE" w:rsidRDefault="00F577DE" w:rsidP="00D708F0">
      <w:pPr>
        <w:pStyle w:val="FootnoteText"/>
      </w:pPr>
      <w:r w:rsidRPr="00072322">
        <w:rPr>
          <w:rStyle w:val="FootnoteReference"/>
          <w:sz w:val="16"/>
          <w:szCs w:val="16"/>
        </w:rPr>
        <w:footnoteRef/>
      </w:r>
      <w:r w:rsidRPr="00072322">
        <w:rPr>
          <w:sz w:val="16"/>
          <w:szCs w:val="16"/>
        </w:rPr>
        <w:t xml:space="preserve"> U.S. Environmental Protection Agency. 2020.  2017 National Emissions Inventory Complete Release: Technical Support Document. Research Triangle Park, NC.</w:t>
      </w:r>
      <w:r>
        <w:rPr>
          <w:sz w:val="16"/>
          <w:szCs w:val="16"/>
        </w:rPr>
        <w:t xml:space="preserve"> (NEI)</w:t>
      </w:r>
      <w:r w:rsidRPr="00072322">
        <w:rPr>
          <w:sz w:val="16"/>
          <w:szCs w:val="16"/>
        </w:rPr>
        <w:t xml:space="preserve"> </w:t>
      </w:r>
      <w:hyperlink r:id="rId10" w:history="1">
        <w:r w:rsidRPr="00072322">
          <w:rPr>
            <w:rStyle w:val="Hyperlink"/>
            <w:sz w:val="16"/>
            <w:szCs w:val="16"/>
          </w:rPr>
          <w:t>https://www.epa.gov/sites/production/files/2020-04/documents/nei2017_tsd_full_30apr2020.pdf</w:t>
        </w:r>
      </w:hyperlink>
    </w:p>
  </w:footnote>
  <w:footnote w:id="13">
    <w:p w14:paraId="7DFE1DFD" w14:textId="5169D078" w:rsidR="00F577DE" w:rsidRDefault="00F577DE" w:rsidP="00D708F0">
      <w:pPr>
        <w:pStyle w:val="FootnoteText"/>
      </w:pPr>
      <w:r w:rsidRPr="00304BF4">
        <w:rPr>
          <w:rStyle w:val="FootnoteReference"/>
          <w:sz w:val="16"/>
          <w:szCs w:val="16"/>
        </w:rPr>
        <w:footnoteRef/>
      </w:r>
      <w:r w:rsidRPr="00304BF4">
        <w:rPr>
          <w:sz w:val="16"/>
          <w:szCs w:val="16"/>
        </w:rPr>
        <w:t xml:space="preserve"> </w:t>
      </w:r>
      <w:r w:rsidRPr="00DD5440">
        <w:rPr>
          <w:sz w:val="16"/>
          <w:szCs w:val="16"/>
        </w:rPr>
        <w:t>Illinois Statewide</w:t>
      </w:r>
      <w:r w:rsidRPr="00B05E40">
        <w:rPr>
          <w:sz w:val="16"/>
          <w:szCs w:val="16"/>
        </w:rPr>
        <w:t xml:space="preserve"> Technical Reference Manual for Energy Efficiency Version </w:t>
      </w:r>
      <w:r>
        <w:rPr>
          <w:sz w:val="16"/>
          <w:szCs w:val="16"/>
        </w:rPr>
        <w:t>9</w:t>
      </w:r>
      <w:r w:rsidRPr="00B05E40">
        <w:rPr>
          <w:sz w:val="16"/>
          <w:szCs w:val="16"/>
        </w:rPr>
        <w:t xml:space="preserve">.0, </w:t>
      </w:r>
      <w:r>
        <w:rPr>
          <w:sz w:val="16"/>
          <w:szCs w:val="16"/>
        </w:rPr>
        <w:t xml:space="preserve">final </w:t>
      </w:r>
      <w:r w:rsidRPr="00B05E40">
        <w:rPr>
          <w:sz w:val="16"/>
          <w:szCs w:val="16"/>
        </w:rPr>
        <w:t xml:space="preserve">available at: </w:t>
      </w:r>
      <w:hyperlink r:id="rId11" w:history="1">
        <w:r w:rsidRPr="00B05E40">
          <w:rPr>
            <w:rStyle w:val="Hyperlink"/>
            <w:sz w:val="16"/>
            <w:szCs w:val="16"/>
          </w:rPr>
          <w:t>http://www.ilsag.info/technical-reference-manual.html</w:t>
        </w:r>
      </w:hyperlink>
    </w:p>
  </w:footnote>
  <w:footnote w:id="14">
    <w:p w14:paraId="18D16ED8" w14:textId="77777777" w:rsidR="00F577DE" w:rsidRDefault="00F577DE" w:rsidP="00D708F0">
      <w:pPr>
        <w:pStyle w:val="FooterAddress"/>
      </w:pPr>
      <w:r>
        <w:rPr>
          <w:rStyle w:val="FootnoteReference"/>
        </w:rPr>
        <w:footnoteRef/>
      </w:r>
      <w:r>
        <w:t xml:space="preserve"> All estimated health benefits for the years 2019 through 2042 were discounted to 2022-2025 dollars according to program year.</w:t>
      </w:r>
    </w:p>
  </w:footnote>
  <w:footnote w:id="15">
    <w:p w14:paraId="7A2709D1" w14:textId="77777777" w:rsidR="00F577DE" w:rsidRDefault="00F577DE" w:rsidP="008F05EC">
      <w:pPr>
        <w:pStyle w:val="FootnoteText"/>
      </w:pPr>
      <w:r w:rsidRPr="00B35051">
        <w:rPr>
          <w:rStyle w:val="FootnoteReference"/>
          <w:sz w:val="16"/>
          <w:szCs w:val="16"/>
        </w:rPr>
        <w:footnoteRef/>
      </w:r>
      <w:r w:rsidRPr="00B35051">
        <w:rPr>
          <w:sz w:val="16"/>
          <w:szCs w:val="16"/>
        </w:rPr>
        <w:t xml:space="preserve"> Oak Ridge National Laboratory 2014., “</w:t>
      </w:r>
      <w:r w:rsidRPr="00B35051">
        <w:rPr>
          <w:i/>
          <w:iCs/>
          <w:sz w:val="16"/>
          <w:szCs w:val="16"/>
        </w:rPr>
        <w:t>Weatherization Works- Summary of Findings from the Retrospective Evaluation of the Department of Energy’s Weatherization Assistance Program, Managed by UT-Battelle for the US Department of Energy.”</w:t>
      </w:r>
      <w:r w:rsidRPr="00B35051">
        <w:rPr>
          <w:sz w:val="16"/>
          <w:szCs w:val="16"/>
        </w:rPr>
        <w:t xml:space="preserve"> (DOE WAP Study 2014) September. </w:t>
      </w:r>
      <w:hyperlink r:id="rId12" w:history="1">
        <w:r w:rsidRPr="00B35051">
          <w:rPr>
            <w:rStyle w:val="Hyperlink"/>
            <w:sz w:val="16"/>
            <w:szCs w:val="16"/>
          </w:rPr>
          <w:t>https://www.energy.gov/eere/wap/downloads/weatherization-assistance-program-national-evaluation</w:t>
        </w:r>
      </w:hyperlink>
      <w:r w:rsidRPr="00B35051">
        <w:rPr>
          <w:sz w:val="16"/>
          <w:szCs w:val="16"/>
        </w:rPr>
        <w:t>. Accessed: April 24, 2020.</w:t>
      </w:r>
    </w:p>
  </w:footnote>
  <w:footnote w:id="16">
    <w:p w14:paraId="04091864" w14:textId="77777777" w:rsidR="00F577DE" w:rsidRPr="00072322" w:rsidRDefault="00F577DE" w:rsidP="00D708F0">
      <w:pPr>
        <w:pStyle w:val="FootnoteText"/>
        <w:rPr>
          <w:sz w:val="16"/>
          <w:szCs w:val="16"/>
        </w:rPr>
      </w:pPr>
      <w:r w:rsidRPr="00072322">
        <w:rPr>
          <w:rStyle w:val="FootnoteReference"/>
          <w:sz w:val="16"/>
          <w:szCs w:val="16"/>
        </w:rPr>
        <w:footnoteRef/>
      </w:r>
      <w:r w:rsidRPr="00072322">
        <w:rPr>
          <w:sz w:val="16"/>
          <w:szCs w:val="16"/>
        </w:rPr>
        <w:t xml:space="preserve"> U.S. Environmental Protection Agency.  1996. Compilation of Air Pollutant Emission Factors, 5th Edition, </w:t>
      </w:r>
      <w:r>
        <w:rPr>
          <w:sz w:val="16"/>
          <w:szCs w:val="16"/>
        </w:rPr>
        <w:t>(</w:t>
      </w:r>
      <w:r w:rsidRPr="00072322">
        <w:rPr>
          <w:sz w:val="16"/>
          <w:szCs w:val="16"/>
        </w:rPr>
        <w:t>AP-42</w:t>
      </w:r>
      <w:r>
        <w:rPr>
          <w:sz w:val="16"/>
          <w:szCs w:val="16"/>
        </w:rPr>
        <w:t>)</w:t>
      </w:r>
      <w:r w:rsidRPr="00072322">
        <w:rPr>
          <w:sz w:val="16"/>
          <w:szCs w:val="16"/>
        </w:rPr>
        <w:t xml:space="preserve">, Volume I:  Stationary Point and Area Sources.  Research Triangle Park, NC. </w:t>
      </w:r>
      <w:hyperlink r:id="rId13" w:anchor="5thed" w:history="1">
        <w:r w:rsidRPr="00072322">
          <w:rPr>
            <w:rStyle w:val="Hyperlink"/>
            <w:sz w:val="16"/>
            <w:szCs w:val="16"/>
          </w:rPr>
          <w:t>https://www.epa.gov/air-emissions-factors-and-quantification/ap-42-compilation-air-emission-factors#5thed</w:t>
        </w:r>
      </w:hyperlink>
    </w:p>
  </w:footnote>
  <w:footnote w:id="17">
    <w:p w14:paraId="6BF9572B" w14:textId="77777777" w:rsidR="00F577DE" w:rsidRPr="00072322" w:rsidRDefault="00F577DE" w:rsidP="00D708F0">
      <w:pPr>
        <w:pStyle w:val="FootnoteText"/>
        <w:rPr>
          <w:sz w:val="16"/>
          <w:szCs w:val="16"/>
        </w:rPr>
      </w:pPr>
      <w:r w:rsidRPr="00072322">
        <w:rPr>
          <w:rStyle w:val="FootnoteReference"/>
          <w:sz w:val="16"/>
          <w:szCs w:val="16"/>
        </w:rPr>
        <w:footnoteRef/>
      </w:r>
      <w:r w:rsidRPr="00072322">
        <w:rPr>
          <w:sz w:val="16"/>
          <w:szCs w:val="16"/>
        </w:rPr>
        <w:t xml:space="preserve"> U.S. Environmental Protection Agency. 2004. Emission Inventory Improvement Program</w:t>
      </w:r>
      <w:r>
        <w:rPr>
          <w:sz w:val="16"/>
          <w:szCs w:val="16"/>
        </w:rPr>
        <w:t xml:space="preserve"> (EIIP)</w:t>
      </w:r>
      <w:r w:rsidRPr="00072322">
        <w:rPr>
          <w:sz w:val="16"/>
          <w:szCs w:val="16"/>
        </w:rPr>
        <w:t xml:space="preserve">. Estimating Ammonia Emissions from Anthropogenic Sources, Draft Final Report.  Prepared by E.H. Pechan and Associates, Inc.  Research Triangle Park, NC. </w:t>
      </w:r>
      <w:hyperlink r:id="rId14" w:history="1">
        <w:r w:rsidRPr="00072322">
          <w:rPr>
            <w:rStyle w:val="Hyperlink"/>
            <w:sz w:val="16"/>
            <w:szCs w:val="16"/>
          </w:rPr>
          <w:t>https://www.epa.gov/sites/production/files/2015-08/documents/eiip_areasourcesnh3.pdf</w:t>
        </w:r>
      </w:hyperlink>
    </w:p>
  </w:footnote>
  <w:footnote w:id="18">
    <w:p w14:paraId="5791F838" w14:textId="77777777" w:rsidR="00F577DE" w:rsidRDefault="00F577DE" w:rsidP="00D708F0">
      <w:pPr>
        <w:pStyle w:val="FootnoteText"/>
      </w:pPr>
      <w:r w:rsidRPr="00072322">
        <w:rPr>
          <w:rStyle w:val="FootnoteReference"/>
          <w:sz w:val="16"/>
          <w:szCs w:val="16"/>
        </w:rPr>
        <w:footnoteRef/>
      </w:r>
      <w:r w:rsidRPr="00072322">
        <w:rPr>
          <w:sz w:val="16"/>
          <w:szCs w:val="16"/>
        </w:rPr>
        <w:t xml:space="preserve"> U.S. Environmental Protection Agency. 2020.  2017 National Emissions Inventory Complete Release: Technical Support Document. Research Triangle Park, NC.</w:t>
      </w:r>
      <w:r>
        <w:rPr>
          <w:sz w:val="16"/>
          <w:szCs w:val="16"/>
        </w:rPr>
        <w:t xml:space="preserve"> (NEI)</w:t>
      </w:r>
      <w:r w:rsidRPr="00072322">
        <w:rPr>
          <w:sz w:val="16"/>
          <w:szCs w:val="16"/>
        </w:rPr>
        <w:t xml:space="preserve"> </w:t>
      </w:r>
      <w:hyperlink r:id="rId15" w:history="1">
        <w:r w:rsidRPr="00072322">
          <w:rPr>
            <w:rStyle w:val="Hyperlink"/>
            <w:sz w:val="16"/>
            <w:szCs w:val="16"/>
          </w:rPr>
          <w:t>https://www.epa.gov/sites/production/files/2020-04/documents/nei2017_tsd_full_30apr2020.pdf</w:t>
        </w:r>
      </w:hyperlink>
    </w:p>
  </w:footnote>
  <w:footnote w:id="19">
    <w:p w14:paraId="203C79BD" w14:textId="77777777" w:rsidR="00F577DE" w:rsidRDefault="00F577DE" w:rsidP="0052032C">
      <w:pPr>
        <w:pStyle w:val="FootnoteText"/>
      </w:pPr>
      <w:r>
        <w:rPr>
          <w:rStyle w:val="FootnoteReference"/>
        </w:rPr>
        <w:footnoteRef/>
      </w:r>
      <w:r>
        <w:t xml:space="preserve"> </w:t>
      </w:r>
      <w:r>
        <w:rPr>
          <w:szCs w:val="16"/>
        </w:rPr>
        <w:t xml:space="preserve">Illinois Statewide Technical Reference Manual for Energy Efficiency Version 9.0, draft available at: </w:t>
      </w:r>
      <w:hyperlink r:id="rId16" w:history="1">
        <w:r>
          <w:rPr>
            <w:rStyle w:val="Hyperlink"/>
            <w:szCs w:val="16"/>
          </w:rPr>
          <w:t>http://www.ilsag.info/technical-reference-manual.html</w:t>
        </w:r>
      </w:hyperlink>
    </w:p>
  </w:footnote>
  <w:footnote w:id="20">
    <w:p w14:paraId="4B171549" w14:textId="403C0D09" w:rsidR="00F577DE" w:rsidRDefault="00F577DE" w:rsidP="0052032C">
      <w:pPr>
        <w:pStyle w:val="FootnoteText"/>
      </w:pPr>
      <w:r>
        <w:rPr>
          <w:rStyle w:val="FootnoteReference"/>
        </w:rPr>
        <w:footnoteRef/>
      </w:r>
      <w:r>
        <w:t xml:space="preserve"> COBRA assumes that the incidences of premature mortality attributed to pollution exposure occurs over a 20 year period following exposure. COBRA currently assumes that 30 percent of premature deaths occur in the first year, 50 percent of deaths occur in years two through five, and the remaining 20 percent of deaths occur in years six through twenty. For more information, see page F-8 of the COBRA user manual: </w:t>
      </w:r>
      <w:hyperlink r:id="rId17" w:history="1">
        <w:r>
          <w:rPr>
            <w:rStyle w:val="Hyperlink"/>
          </w:rPr>
          <w:t>https://www.epa.gov/sites/production/files/2020-06/documents/cobra_user_manual_june_2020.pdf</w:t>
        </w:r>
      </w:hyperlink>
    </w:p>
  </w:footnote>
  <w:footnote w:id="21">
    <w:p w14:paraId="4F987240" w14:textId="77777777" w:rsidR="00F577DE" w:rsidRDefault="00F577DE" w:rsidP="0052032C">
      <w:pPr>
        <w:pStyle w:val="FootnoteText"/>
      </w:pPr>
      <w:r>
        <w:rPr>
          <w:rStyle w:val="FootnoteReference"/>
        </w:rPr>
        <w:footnoteRef/>
      </w:r>
      <w:r>
        <w:t xml:space="preserve"> </w:t>
      </w:r>
      <w:r>
        <w:rPr>
          <w:rFonts w:eastAsia="Arial"/>
        </w:rPr>
        <w:t>In the case of analysis of emissions reductions in the year 2032, COBRA models the associated reductions in morbidity and mortality that can be expected to occur over a 20 year period between 2032 and 2051. This 20 year stream of health benefits is then discounted back to the analysis year, which in this case is 2032.</w:t>
      </w:r>
    </w:p>
  </w:footnote>
  <w:footnote w:id="22">
    <w:p w14:paraId="7FE01BE2" w14:textId="58093259" w:rsidR="00F577DE" w:rsidRDefault="00F577DE">
      <w:pPr>
        <w:pStyle w:val="FootnoteText"/>
      </w:pPr>
      <w:r>
        <w:rPr>
          <w:rStyle w:val="FootnoteReference"/>
        </w:rPr>
        <w:footnoteRef/>
      </w:r>
      <w:r>
        <w:t xml:space="preserve"> </w:t>
      </w:r>
      <w:r w:rsidRPr="009A0475">
        <w:rPr>
          <w:sz w:val="16"/>
          <w:szCs w:val="16"/>
        </w:rPr>
        <w:t xml:space="preserve">Database of State Efficiency Screening Practices (DSESP), 2020. “National Energy Efficiency Screening Project, </w:t>
      </w:r>
      <w:hyperlink r:id="rId18" w:history="1">
        <w:r w:rsidRPr="009A0475">
          <w:rPr>
            <w:rStyle w:val="Hyperlink"/>
            <w:sz w:val="16"/>
            <w:szCs w:val="16"/>
          </w:rPr>
          <w:t>https://nationalefficiencyscreening.org/</w:t>
        </w:r>
      </w:hyperlink>
      <w:r w:rsidRPr="009A0475">
        <w:rPr>
          <w:sz w:val="16"/>
          <w:szCs w:val="16"/>
        </w:rPr>
        <w:t xml:space="preserve"> Accessed: July 5, 2020.</w:t>
      </w:r>
    </w:p>
  </w:footnote>
  <w:footnote w:id="23">
    <w:p w14:paraId="1B379A30" w14:textId="68DF326C" w:rsidR="00F577DE" w:rsidRDefault="00F577DE">
      <w:pPr>
        <w:pStyle w:val="FootnoteText"/>
      </w:pPr>
      <w:r>
        <w:rPr>
          <w:rStyle w:val="FootnoteReference"/>
        </w:rPr>
        <w:footnoteRef/>
      </w:r>
      <w:r>
        <w:t xml:space="preserve"> </w:t>
      </w:r>
      <w:r w:rsidRPr="004813CF">
        <w:rPr>
          <w:sz w:val="16"/>
          <w:szCs w:val="16"/>
        </w:rPr>
        <w:t>Three</w:t>
      </w:r>
      <w:r w:rsidRPr="004813CF">
        <w:rPr>
          <w:sz w:val="16"/>
          <w:szCs w:val="16"/>
          <w:vertAlign w:val="superscript"/>
        </w:rPr>
        <w:t>3</w:t>
      </w:r>
      <w:r w:rsidRPr="004813CF">
        <w:rPr>
          <w:sz w:val="16"/>
          <w:szCs w:val="16"/>
        </w:rPr>
        <w:t xml:space="preserve"> and NMR Group, 201</w:t>
      </w:r>
      <w:r>
        <w:rPr>
          <w:sz w:val="16"/>
          <w:szCs w:val="16"/>
        </w:rPr>
        <w:t>6</w:t>
      </w:r>
      <w:r w:rsidRPr="004813CF">
        <w:rPr>
          <w:sz w:val="16"/>
          <w:szCs w:val="16"/>
        </w:rPr>
        <w:t xml:space="preserve">. “Low-Income </w:t>
      </w:r>
      <w:r>
        <w:rPr>
          <w:sz w:val="16"/>
          <w:szCs w:val="16"/>
        </w:rPr>
        <w:t>Single-Family</w:t>
      </w:r>
      <w:r w:rsidRPr="004813CF">
        <w:rPr>
          <w:sz w:val="16"/>
          <w:szCs w:val="16"/>
        </w:rPr>
        <w:t xml:space="preserve"> Health- and Safety-Related NEIs St</w:t>
      </w:r>
      <w:r>
        <w:rPr>
          <w:sz w:val="16"/>
          <w:szCs w:val="16"/>
        </w:rPr>
        <w:t>udy</w:t>
      </w:r>
      <w:r w:rsidRPr="004813CF">
        <w:rPr>
          <w:sz w:val="16"/>
          <w:szCs w:val="16"/>
        </w:rPr>
        <w:t xml:space="preserve">.” Massachusetts Program Administrators </w:t>
      </w:r>
      <w:r>
        <w:rPr>
          <w:sz w:val="16"/>
          <w:szCs w:val="16"/>
        </w:rPr>
        <w:t>August 5</w:t>
      </w:r>
      <w:r w:rsidRPr="004813CF">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93623" w14:textId="66BAAEFD" w:rsidR="00F577DE" w:rsidRDefault="00F577DE">
    <w:pPr>
      <w:pStyle w:val="Header"/>
      <w:rPr>
        <w:rFonts w:asciiTheme="minorHAnsi" w:hAnsiTheme="minorHAnsi" w:cstheme="minorHAnsi"/>
        <w:bCs/>
      </w:rPr>
    </w:pPr>
    <w:r w:rsidRPr="00E4188C">
      <w:rPr>
        <w:rFonts w:asciiTheme="minorHAnsi" w:hAnsiTheme="minorHAnsi" w:cstheme="minorHAnsi"/>
      </w:rPr>
      <w:t>Recommended Non-Energy Impacts</w:t>
    </w:r>
    <w:r w:rsidRPr="00E4188C">
      <w:rPr>
        <w:rFonts w:asciiTheme="minorHAnsi" w:hAnsiTheme="minorHAnsi" w:cstheme="minorHAnsi"/>
        <w:b/>
        <w:bCs/>
      </w:rPr>
      <w:t xml:space="preserve"> </w:t>
    </w:r>
    <w:r w:rsidRPr="00E4188C">
      <w:rPr>
        <w:rFonts w:asciiTheme="minorHAnsi" w:hAnsiTheme="minorHAnsi" w:cstheme="minorHAnsi"/>
        <w:bCs/>
      </w:rPr>
      <w:t xml:space="preserve">for </w:t>
    </w:r>
    <w:r>
      <w:rPr>
        <w:rFonts w:asciiTheme="minorHAnsi" w:hAnsiTheme="minorHAnsi" w:cstheme="minorHAnsi"/>
        <w:bCs/>
      </w:rPr>
      <w:t>Peoples</w:t>
    </w:r>
    <w:r w:rsidRPr="00E4188C">
      <w:rPr>
        <w:rFonts w:asciiTheme="minorHAnsi" w:hAnsiTheme="minorHAnsi" w:cstheme="minorHAnsi"/>
        <w:bCs/>
      </w:rPr>
      <w:t xml:space="preserve"> Gas’</w:t>
    </w:r>
    <w:r>
      <w:rPr>
        <w:rFonts w:asciiTheme="minorHAnsi" w:hAnsiTheme="minorHAnsi" w:cstheme="minorHAnsi"/>
        <w:bCs/>
      </w:rPr>
      <w:t xml:space="preserve"> Cost-Effectiveness Tests</w:t>
    </w:r>
  </w:p>
  <w:p w14:paraId="60F00A59" w14:textId="062A85D3" w:rsidR="00F577DE" w:rsidRPr="00547B32" w:rsidRDefault="00F577DE">
    <w:pPr>
      <w:pStyle w:val="Header"/>
      <w:rPr>
        <w:rFonts w:asciiTheme="minorHAnsi" w:hAnsiTheme="minorHAnsi" w:cstheme="minorHAnsi"/>
        <w:bCs/>
      </w:rPr>
    </w:pPr>
    <w:r>
      <w:rPr>
        <w:szCs w:val="18"/>
      </w:rPr>
      <w:t xml:space="preserve">October </w:t>
    </w:r>
    <w:r w:rsidR="006D5F4C">
      <w:rPr>
        <w:szCs w:val="18"/>
      </w:rPr>
      <w:t>13</w:t>
    </w:r>
    <w:r w:rsidRPr="00213620">
      <w:rPr>
        <w:szCs w:val="18"/>
      </w:rPr>
      <w:t>, 2020</w:t>
    </w:r>
  </w:p>
  <w:p w14:paraId="73C9EA98" w14:textId="77777777" w:rsidR="00F577DE" w:rsidRDefault="00F577DE">
    <w:pPr>
      <w:pStyle w:val="Header"/>
      <w:rPr>
        <w:szCs w:val="18"/>
      </w:rPr>
    </w:pPr>
    <w:r w:rsidRPr="006A7C83">
      <w:rPr>
        <w:szCs w:val="18"/>
      </w:rPr>
      <w:t xml:space="preserve">Page </w:t>
    </w:r>
    <w:r w:rsidRPr="006A7C83">
      <w:rPr>
        <w:szCs w:val="18"/>
      </w:rPr>
      <w:fldChar w:fldCharType="begin"/>
    </w:r>
    <w:r w:rsidRPr="006A7C83">
      <w:rPr>
        <w:szCs w:val="18"/>
      </w:rPr>
      <w:instrText xml:space="preserve"> PAGE </w:instrText>
    </w:r>
    <w:r w:rsidRPr="006A7C83">
      <w:rPr>
        <w:szCs w:val="18"/>
      </w:rPr>
      <w:fldChar w:fldCharType="separate"/>
    </w:r>
    <w:r w:rsidRPr="006A7C83">
      <w:rPr>
        <w:noProof/>
        <w:szCs w:val="18"/>
      </w:rPr>
      <w:t>2</w:t>
    </w:r>
    <w:r w:rsidRPr="006A7C83">
      <w:rPr>
        <w:szCs w:val="18"/>
      </w:rPr>
      <w:fldChar w:fldCharType="end"/>
    </w:r>
    <w:r w:rsidRPr="006A7C83">
      <w:rPr>
        <w:szCs w:val="18"/>
      </w:rPr>
      <w:t xml:space="preserve"> of </w:t>
    </w:r>
    <w:r w:rsidRPr="006A7C83">
      <w:rPr>
        <w:szCs w:val="18"/>
      </w:rPr>
      <w:fldChar w:fldCharType="begin"/>
    </w:r>
    <w:r w:rsidRPr="006A7C83">
      <w:rPr>
        <w:szCs w:val="18"/>
      </w:rPr>
      <w:instrText xml:space="preserve"> NUMPAGES </w:instrText>
    </w:r>
    <w:r w:rsidRPr="006A7C83">
      <w:rPr>
        <w:szCs w:val="18"/>
      </w:rPr>
      <w:fldChar w:fldCharType="separate"/>
    </w:r>
    <w:r w:rsidRPr="006A7C83">
      <w:rPr>
        <w:noProof/>
        <w:szCs w:val="18"/>
      </w:rPr>
      <w:t>1</w:t>
    </w:r>
    <w:r w:rsidRPr="006A7C83">
      <w:rPr>
        <w:szCs w:val="18"/>
      </w:rPr>
      <w:fldChar w:fldCharType="end"/>
    </w:r>
  </w:p>
  <w:p w14:paraId="2439C97F" w14:textId="77777777" w:rsidR="00F577DE" w:rsidRDefault="00F577DE">
    <w:pPr>
      <w:pStyle w:val="Header"/>
      <w:rPr>
        <w:szCs w:val="18"/>
      </w:rPr>
    </w:pPr>
  </w:p>
  <w:p w14:paraId="57F3E5C7" w14:textId="77777777" w:rsidR="00F577DE" w:rsidRDefault="00F577DE">
    <w:pPr>
      <w:pStyle w:val="Header"/>
      <w:rPr>
        <w:szCs w:val="18"/>
      </w:rPr>
    </w:pPr>
  </w:p>
  <w:p w14:paraId="42C2D890" w14:textId="77777777" w:rsidR="00F577DE" w:rsidRDefault="00F577DE">
    <w:pPr>
      <w:pStyle w:val="Header"/>
      <w:rPr>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7C0E8" w14:textId="77777777" w:rsidR="00F577DE" w:rsidRDefault="00F577DE">
    <w:pPr>
      <w:pStyle w:val="Header"/>
      <w:spacing w:line="200" w:lineRule="exact"/>
    </w:pPr>
    <w:r>
      <w:rPr>
        <w:noProof/>
      </w:rPr>
      <w:drawing>
        <wp:anchor distT="0" distB="0" distL="114300" distR="114300" simplePos="0" relativeHeight="251658245" behindDoc="0" locked="0" layoutInCell="1" allowOverlap="1" wp14:anchorId="195EEEED" wp14:editId="6A00B237">
          <wp:simplePos x="0" y="0"/>
          <wp:positionH relativeFrom="column">
            <wp:posOffset>-509270</wp:posOffset>
          </wp:positionH>
          <wp:positionV relativeFrom="page">
            <wp:posOffset>638810</wp:posOffset>
          </wp:positionV>
          <wp:extent cx="1562100" cy="396240"/>
          <wp:effectExtent l="0" t="0" r="0" b="3810"/>
          <wp:wrapSquare wrapText="bothSides"/>
          <wp:docPr id="52" name="Graphic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62100" cy="396240"/>
                  </a:xfrm>
                  <a:prstGeom prst="rect">
                    <a:avLst/>
                  </a:prstGeom>
                </pic:spPr>
              </pic:pic>
            </a:graphicData>
          </a:graphic>
        </wp:anchor>
      </w:drawing>
    </w:r>
  </w:p>
  <w:p w14:paraId="08005522" w14:textId="77777777" w:rsidR="00F577DE" w:rsidRDefault="00F577DE">
    <w:pPr>
      <w:pStyle w:val="Header"/>
      <w:spacing w:line="200" w:lineRule="exact"/>
    </w:pPr>
  </w:p>
  <w:p w14:paraId="0FCEAC75" w14:textId="77777777" w:rsidR="00F577DE" w:rsidRDefault="00F577DE">
    <w:pPr>
      <w:pStyle w:val="Header"/>
      <w:spacing w:line="200" w:lineRule="exact"/>
    </w:pPr>
  </w:p>
  <w:p w14:paraId="06BAB357" w14:textId="77777777" w:rsidR="00F577DE" w:rsidRDefault="00F577DE">
    <w:pPr>
      <w:pStyle w:val="Header"/>
      <w:spacing w:line="200" w:lineRule="exact"/>
    </w:pPr>
  </w:p>
  <w:p w14:paraId="437EB1E0" w14:textId="77777777" w:rsidR="00F577DE" w:rsidRDefault="00F577DE">
    <w:pPr>
      <w:pStyle w:val="Header"/>
      <w:spacing w:line="200" w:lineRule="exact"/>
    </w:pPr>
  </w:p>
  <w:p w14:paraId="6E7AAAB9" w14:textId="77777777" w:rsidR="00F577DE" w:rsidRDefault="00F577DE">
    <w:pPr>
      <w:pStyle w:val="Header"/>
      <w:spacing w:line="200" w:lineRule="exact"/>
    </w:pPr>
  </w:p>
  <w:p w14:paraId="72F47EEE" w14:textId="77777777" w:rsidR="00F577DE" w:rsidRDefault="00F577DE">
    <w:pPr>
      <w:pStyle w:val="Header"/>
      <w:spacing w:line="200" w:lineRule="exact"/>
    </w:pPr>
  </w:p>
  <w:p w14:paraId="28B656E4" w14:textId="77777777" w:rsidR="00F577DE" w:rsidRDefault="00F577DE">
    <w:pPr>
      <w:pStyle w:val="Header"/>
      <w:spacing w:line="200" w:lineRule="exact"/>
    </w:pPr>
  </w:p>
  <w:p w14:paraId="763027FD" w14:textId="77777777" w:rsidR="00F577DE" w:rsidRDefault="00F577DE">
    <w:pPr>
      <w:pStyle w:val="Header"/>
      <w:spacing w:line="200" w:lineRule="exact"/>
    </w:pPr>
  </w:p>
  <w:p w14:paraId="307B19D6" w14:textId="77777777" w:rsidR="00F577DE" w:rsidRDefault="00F577DE">
    <w:pPr>
      <w:pStyle w:val="Header"/>
      <w:spacing w:line="200" w:lineRule="exact"/>
    </w:pPr>
  </w:p>
  <w:p w14:paraId="7D9AE335" w14:textId="77777777" w:rsidR="00F577DE" w:rsidRPr="00632022" w:rsidRDefault="00F577DE" w:rsidP="0010536E">
    <w:pPr>
      <w:pStyle w:val="MemorandumHeader"/>
    </w:pPr>
    <w:r w:rsidRPr="00632022">
      <w:t>Memorandum</w:t>
    </w:r>
  </w:p>
  <w:p w14:paraId="3A0B587F" w14:textId="77777777" w:rsidR="00F577DE" w:rsidRDefault="00F577DE">
    <w:pPr>
      <w:pStyle w:val="Header"/>
      <w:spacing w:line="200" w:lineRule="exact"/>
    </w:pPr>
  </w:p>
  <w:p w14:paraId="604EDDDF" w14:textId="77777777" w:rsidR="00F577DE" w:rsidRDefault="00F577DE">
    <w:pPr>
      <w:pStyle w:val="Header"/>
      <w:spacing w:line="200" w:lineRule="exact"/>
    </w:pPr>
  </w:p>
  <w:p w14:paraId="4CA296C4" w14:textId="77777777" w:rsidR="00F577DE" w:rsidRDefault="00F577DE">
    <w:pPr>
      <w:pStyle w:val="Heade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772E162"/>
    <w:lvl w:ilvl="0">
      <w:numFmt w:val="decimal"/>
      <w:pStyle w:val="Bullet-ItalicIndent"/>
      <w:lvlText w:val="*"/>
      <w:lvlJc w:val="left"/>
    </w:lvl>
  </w:abstractNum>
  <w:abstractNum w:abstractNumId="1" w15:restartNumberingAfterBreak="0">
    <w:nsid w:val="046264E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49D22F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88C1D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D674AE9"/>
    <w:multiLevelType w:val="singleLevel"/>
    <w:tmpl w:val="24D67C08"/>
    <w:lvl w:ilvl="0">
      <w:start w:val="1"/>
      <w:numFmt w:val="upperLetter"/>
      <w:lvlText w:val="%1."/>
      <w:lvlJc w:val="left"/>
      <w:pPr>
        <w:tabs>
          <w:tab w:val="num" w:pos="720"/>
        </w:tabs>
        <w:ind w:left="720" w:hanging="720"/>
      </w:pPr>
      <w:rPr>
        <w:rFonts w:hint="default"/>
      </w:rPr>
    </w:lvl>
  </w:abstractNum>
  <w:abstractNum w:abstractNumId="5" w15:restartNumberingAfterBreak="0">
    <w:nsid w:val="0D8B3AF7"/>
    <w:multiLevelType w:val="hybridMultilevel"/>
    <w:tmpl w:val="AD309FB6"/>
    <w:lvl w:ilvl="0" w:tplc="97BED0D0">
      <w:start w:val="1"/>
      <w:numFmt w:val="bullet"/>
      <w:pStyle w:val="List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F04A3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78169C0"/>
    <w:multiLevelType w:val="singleLevel"/>
    <w:tmpl w:val="7840C80E"/>
    <w:lvl w:ilvl="0">
      <w:start w:val="1"/>
      <w:numFmt w:val="upperLetter"/>
      <w:lvlText w:val="%1."/>
      <w:lvlJc w:val="left"/>
      <w:pPr>
        <w:tabs>
          <w:tab w:val="num" w:pos="720"/>
        </w:tabs>
        <w:ind w:left="720" w:hanging="720"/>
      </w:pPr>
      <w:rPr>
        <w:rFonts w:hint="default"/>
      </w:rPr>
    </w:lvl>
  </w:abstractNum>
  <w:abstractNum w:abstractNumId="8" w15:restartNumberingAfterBreak="0">
    <w:nsid w:val="19DB19DB"/>
    <w:multiLevelType w:val="hybridMultilevel"/>
    <w:tmpl w:val="04090005"/>
    <w:lvl w:ilvl="0" w:tplc="B1662516">
      <w:start w:val="1"/>
      <w:numFmt w:val="bullet"/>
      <w:lvlText w:val=""/>
      <w:lvlJc w:val="left"/>
      <w:pPr>
        <w:tabs>
          <w:tab w:val="num" w:pos="360"/>
        </w:tabs>
        <w:ind w:left="360" w:hanging="360"/>
      </w:pPr>
      <w:rPr>
        <w:rFonts w:ascii="Wingdings" w:hAnsi="Wingdings" w:hint="default"/>
      </w:rPr>
    </w:lvl>
    <w:lvl w:ilvl="1" w:tplc="19F64D96">
      <w:numFmt w:val="decimal"/>
      <w:lvlText w:val=""/>
      <w:lvlJc w:val="left"/>
    </w:lvl>
    <w:lvl w:ilvl="2" w:tplc="C29C780E">
      <w:numFmt w:val="decimal"/>
      <w:lvlText w:val=""/>
      <w:lvlJc w:val="left"/>
    </w:lvl>
    <w:lvl w:ilvl="3" w:tplc="22D49754">
      <w:numFmt w:val="decimal"/>
      <w:lvlText w:val=""/>
      <w:lvlJc w:val="left"/>
    </w:lvl>
    <w:lvl w:ilvl="4" w:tplc="E1286554">
      <w:numFmt w:val="decimal"/>
      <w:lvlText w:val=""/>
      <w:lvlJc w:val="left"/>
    </w:lvl>
    <w:lvl w:ilvl="5" w:tplc="B1C2DC94">
      <w:numFmt w:val="decimal"/>
      <w:lvlText w:val=""/>
      <w:lvlJc w:val="left"/>
    </w:lvl>
    <w:lvl w:ilvl="6" w:tplc="9A80A082">
      <w:numFmt w:val="decimal"/>
      <w:lvlText w:val=""/>
      <w:lvlJc w:val="left"/>
    </w:lvl>
    <w:lvl w:ilvl="7" w:tplc="45BA5310">
      <w:numFmt w:val="decimal"/>
      <w:lvlText w:val=""/>
      <w:lvlJc w:val="left"/>
    </w:lvl>
    <w:lvl w:ilvl="8" w:tplc="19FC4BEC">
      <w:numFmt w:val="decimal"/>
      <w:lvlText w:val=""/>
      <w:lvlJc w:val="left"/>
    </w:lvl>
  </w:abstractNum>
  <w:abstractNum w:abstractNumId="9" w15:restartNumberingAfterBreak="0">
    <w:nsid w:val="1A3B10B5"/>
    <w:multiLevelType w:val="singleLevel"/>
    <w:tmpl w:val="28DAA796"/>
    <w:lvl w:ilvl="0">
      <w:start w:val="17"/>
      <w:numFmt w:val="upperLetter"/>
      <w:lvlText w:val="%1."/>
      <w:lvlJc w:val="left"/>
      <w:pPr>
        <w:tabs>
          <w:tab w:val="num" w:pos="720"/>
        </w:tabs>
        <w:ind w:left="720" w:hanging="720"/>
      </w:pPr>
      <w:rPr>
        <w:rFonts w:hint="default"/>
      </w:rPr>
    </w:lvl>
  </w:abstractNum>
  <w:abstractNum w:abstractNumId="10" w15:restartNumberingAfterBreak="0">
    <w:nsid w:val="22152B73"/>
    <w:multiLevelType w:val="hybridMultilevel"/>
    <w:tmpl w:val="04090005"/>
    <w:lvl w:ilvl="0" w:tplc="BCD49306">
      <w:start w:val="1"/>
      <w:numFmt w:val="bullet"/>
      <w:lvlText w:val=""/>
      <w:lvlJc w:val="left"/>
      <w:pPr>
        <w:tabs>
          <w:tab w:val="num" w:pos="360"/>
        </w:tabs>
        <w:ind w:left="360" w:hanging="360"/>
      </w:pPr>
      <w:rPr>
        <w:rFonts w:ascii="Wingdings" w:hAnsi="Wingdings" w:hint="default"/>
      </w:rPr>
    </w:lvl>
    <w:lvl w:ilvl="1" w:tplc="FB629C24">
      <w:numFmt w:val="decimal"/>
      <w:lvlText w:val=""/>
      <w:lvlJc w:val="left"/>
    </w:lvl>
    <w:lvl w:ilvl="2" w:tplc="C128BC32">
      <w:numFmt w:val="decimal"/>
      <w:lvlText w:val=""/>
      <w:lvlJc w:val="left"/>
    </w:lvl>
    <w:lvl w:ilvl="3" w:tplc="39DC2578">
      <w:numFmt w:val="decimal"/>
      <w:lvlText w:val=""/>
      <w:lvlJc w:val="left"/>
    </w:lvl>
    <w:lvl w:ilvl="4" w:tplc="BC0E0100">
      <w:numFmt w:val="decimal"/>
      <w:lvlText w:val=""/>
      <w:lvlJc w:val="left"/>
    </w:lvl>
    <w:lvl w:ilvl="5" w:tplc="CBFE8E78">
      <w:numFmt w:val="decimal"/>
      <w:lvlText w:val=""/>
      <w:lvlJc w:val="left"/>
    </w:lvl>
    <w:lvl w:ilvl="6" w:tplc="F4421F12">
      <w:numFmt w:val="decimal"/>
      <w:lvlText w:val=""/>
      <w:lvlJc w:val="left"/>
    </w:lvl>
    <w:lvl w:ilvl="7" w:tplc="638A0B16">
      <w:numFmt w:val="decimal"/>
      <w:lvlText w:val=""/>
      <w:lvlJc w:val="left"/>
    </w:lvl>
    <w:lvl w:ilvl="8" w:tplc="D0DC4222">
      <w:numFmt w:val="decimal"/>
      <w:lvlText w:val=""/>
      <w:lvlJc w:val="left"/>
    </w:lvl>
  </w:abstractNum>
  <w:abstractNum w:abstractNumId="11" w15:restartNumberingAfterBreak="0">
    <w:nsid w:val="223D483A"/>
    <w:multiLevelType w:val="hybridMultilevel"/>
    <w:tmpl w:val="D3920E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DF7F12"/>
    <w:multiLevelType w:val="singleLevel"/>
    <w:tmpl w:val="5964AA8C"/>
    <w:lvl w:ilvl="0">
      <w:start w:val="1"/>
      <w:numFmt w:val="upperLetter"/>
      <w:lvlText w:val="%1."/>
      <w:lvlJc w:val="left"/>
      <w:pPr>
        <w:tabs>
          <w:tab w:val="num" w:pos="720"/>
        </w:tabs>
        <w:ind w:left="720" w:hanging="720"/>
      </w:pPr>
      <w:rPr>
        <w:rFonts w:hint="default"/>
      </w:rPr>
    </w:lvl>
  </w:abstractNum>
  <w:abstractNum w:abstractNumId="13" w15:restartNumberingAfterBreak="0">
    <w:nsid w:val="23C16B7F"/>
    <w:multiLevelType w:val="singleLevel"/>
    <w:tmpl w:val="5F84A852"/>
    <w:lvl w:ilvl="0">
      <w:start w:val="1"/>
      <w:numFmt w:val="upperLetter"/>
      <w:lvlText w:val=""/>
      <w:lvlJc w:val="left"/>
      <w:pPr>
        <w:tabs>
          <w:tab w:val="num" w:pos="360"/>
        </w:tabs>
        <w:ind w:left="360" w:hanging="360"/>
      </w:pPr>
      <w:rPr>
        <w:rFonts w:ascii="Arial" w:hAnsi="Arial" w:hint="default"/>
      </w:rPr>
    </w:lvl>
  </w:abstractNum>
  <w:abstractNum w:abstractNumId="14" w15:restartNumberingAfterBreak="0">
    <w:nsid w:val="286D190D"/>
    <w:multiLevelType w:val="singleLevel"/>
    <w:tmpl w:val="979812B4"/>
    <w:lvl w:ilvl="0">
      <w:start w:val="17"/>
      <w:numFmt w:val="upperLetter"/>
      <w:lvlText w:val="%1."/>
      <w:lvlJc w:val="left"/>
      <w:pPr>
        <w:tabs>
          <w:tab w:val="num" w:pos="720"/>
        </w:tabs>
        <w:ind w:left="720" w:hanging="720"/>
      </w:pPr>
      <w:rPr>
        <w:rFonts w:hint="default"/>
      </w:rPr>
    </w:lvl>
  </w:abstractNum>
  <w:abstractNum w:abstractNumId="15" w15:restartNumberingAfterBreak="0">
    <w:nsid w:val="2A9A1D08"/>
    <w:multiLevelType w:val="singleLevel"/>
    <w:tmpl w:val="FAEE1AE8"/>
    <w:lvl w:ilvl="0">
      <w:start w:val="17"/>
      <w:numFmt w:val="upperLetter"/>
      <w:lvlText w:val="%1."/>
      <w:lvlJc w:val="left"/>
      <w:pPr>
        <w:tabs>
          <w:tab w:val="num" w:pos="720"/>
        </w:tabs>
        <w:ind w:left="720" w:hanging="720"/>
      </w:pPr>
      <w:rPr>
        <w:rFonts w:hint="default"/>
      </w:rPr>
    </w:lvl>
  </w:abstractNum>
  <w:abstractNum w:abstractNumId="16" w15:restartNumberingAfterBreak="0">
    <w:nsid w:val="2FFB7185"/>
    <w:multiLevelType w:val="singleLevel"/>
    <w:tmpl w:val="8430B4F0"/>
    <w:lvl w:ilvl="0">
      <w:start w:val="1"/>
      <w:numFmt w:val="upperLetter"/>
      <w:lvlText w:val="%1."/>
      <w:lvlJc w:val="left"/>
      <w:pPr>
        <w:tabs>
          <w:tab w:val="num" w:pos="720"/>
        </w:tabs>
        <w:ind w:left="720" w:hanging="720"/>
      </w:pPr>
      <w:rPr>
        <w:rFonts w:hint="default"/>
      </w:rPr>
    </w:lvl>
  </w:abstractNum>
  <w:abstractNum w:abstractNumId="17" w15:restartNumberingAfterBreak="0">
    <w:nsid w:val="31CF081A"/>
    <w:multiLevelType w:val="singleLevel"/>
    <w:tmpl w:val="E87EBD42"/>
    <w:lvl w:ilvl="0">
      <w:start w:val="1"/>
      <w:numFmt w:val="upperLetter"/>
      <w:lvlText w:val="%1."/>
      <w:lvlJc w:val="left"/>
      <w:pPr>
        <w:tabs>
          <w:tab w:val="num" w:pos="720"/>
        </w:tabs>
        <w:ind w:left="720" w:hanging="720"/>
      </w:pPr>
      <w:rPr>
        <w:rFonts w:hint="default"/>
      </w:rPr>
    </w:lvl>
  </w:abstractNum>
  <w:abstractNum w:abstractNumId="18" w15:restartNumberingAfterBreak="0">
    <w:nsid w:val="345E2A9F"/>
    <w:multiLevelType w:val="hybridMultilevel"/>
    <w:tmpl w:val="04090005"/>
    <w:lvl w:ilvl="0" w:tplc="69766582">
      <w:start w:val="1"/>
      <w:numFmt w:val="bullet"/>
      <w:lvlText w:val=""/>
      <w:lvlJc w:val="left"/>
      <w:pPr>
        <w:tabs>
          <w:tab w:val="num" w:pos="360"/>
        </w:tabs>
        <w:ind w:left="360" w:hanging="360"/>
      </w:pPr>
      <w:rPr>
        <w:rFonts w:ascii="Wingdings" w:hAnsi="Wingdings" w:hint="default"/>
      </w:rPr>
    </w:lvl>
    <w:lvl w:ilvl="1" w:tplc="8390CB20">
      <w:numFmt w:val="decimal"/>
      <w:lvlText w:val=""/>
      <w:lvlJc w:val="left"/>
    </w:lvl>
    <w:lvl w:ilvl="2" w:tplc="31F016F0">
      <w:numFmt w:val="decimal"/>
      <w:lvlText w:val=""/>
      <w:lvlJc w:val="left"/>
    </w:lvl>
    <w:lvl w:ilvl="3" w:tplc="73CCEFA0">
      <w:numFmt w:val="decimal"/>
      <w:lvlText w:val=""/>
      <w:lvlJc w:val="left"/>
    </w:lvl>
    <w:lvl w:ilvl="4" w:tplc="7E76D7A4">
      <w:numFmt w:val="decimal"/>
      <w:lvlText w:val=""/>
      <w:lvlJc w:val="left"/>
    </w:lvl>
    <w:lvl w:ilvl="5" w:tplc="61F094C6">
      <w:numFmt w:val="decimal"/>
      <w:lvlText w:val=""/>
      <w:lvlJc w:val="left"/>
    </w:lvl>
    <w:lvl w:ilvl="6" w:tplc="116A7DF8">
      <w:numFmt w:val="decimal"/>
      <w:lvlText w:val=""/>
      <w:lvlJc w:val="left"/>
    </w:lvl>
    <w:lvl w:ilvl="7" w:tplc="FC282AFA">
      <w:numFmt w:val="decimal"/>
      <w:lvlText w:val=""/>
      <w:lvlJc w:val="left"/>
    </w:lvl>
    <w:lvl w:ilvl="8" w:tplc="0FC43854">
      <w:numFmt w:val="decimal"/>
      <w:lvlText w:val=""/>
      <w:lvlJc w:val="left"/>
    </w:lvl>
  </w:abstractNum>
  <w:abstractNum w:abstractNumId="19" w15:restartNumberingAfterBreak="0">
    <w:nsid w:val="34BC4C6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369943E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3C166606"/>
    <w:multiLevelType w:val="singleLevel"/>
    <w:tmpl w:val="819803F8"/>
    <w:lvl w:ilvl="0">
      <w:start w:val="1"/>
      <w:numFmt w:val="upperLetter"/>
      <w:lvlText w:val="%1."/>
      <w:lvlJc w:val="left"/>
      <w:pPr>
        <w:tabs>
          <w:tab w:val="num" w:pos="720"/>
        </w:tabs>
        <w:ind w:left="720" w:hanging="720"/>
      </w:pPr>
      <w:rPr>
        <w:rFonts w:hint="default"/>
      </w:rPr>
    </w:lvl>
  </w:abstractNum>
  <w:abstractNum w:abstractNumId="22" w15:restartNumberingAfterBreak="0">
    <w:nsid w:val="3F4F7995"/>
    <w:multiLevelType w:val="hybridMultilevel"/>
    <w:tmpl w:val="3BD49890"/>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3" w15:restartNumberingAfterBreak="0">
    <w:nsid w:val="43D2154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4DD4068F"/>
    <w:multiLevelType w:val="singleLevel"/>
    <w:tmpl w:val="B3624B7C"/>
    <w:lvl w:ilvl="0">
      <w:start w:val="17"/>
      <w:numFmt w:val="upperLetter"/>
      <w:lvlText w:val="%1."/>
      <w:lvlJc w:val="left"/>
      <w:pPr>
        <w:tabs>
          <w:tab w:val="num" w:pos="720"/>
        </w:tabs>
        <w:ind w:left="720" w:hanging="720"/>
      </w:pPr>
      <w:rPr>
        <w:rFonts w:hint="default"/>
      </w:rPr>
    </w:lvl>
  </w:abstractNum>
  <w:abstractNum w:abstractNumId="25" w15:restartNumberingAfterBreak="0">
    <w:nsid w:val="50AB672D"/>
    <w:multiLevelType w:val="hybridMultilevel"/>
    <w:tmpl w:val="D3920E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F9351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7092D6C"/>
    <w:multiLevelType w:val="hybridMultilevel"/>
    <w:tmpl w:val="04090005"/>
    <w:lvl w:ilvl="0" w:tplc="CEC0589A">
      <w:start w:val="1"/>
      <w:numFmt w:val="bullet"/>
      <w:lvlText w:val=""/>
      <w:lvlJc w:val="left"/>
      <w:pPr>
        <w:tabs>
          <w:tab w:val="num" w:pos="360"/>
        </w:tabs>
        <w:ind w:left="360" w:hanging="360"/>
      </w:pPr>
      <w:rPr>
        <w:rFonts w:ascii="Wingdings" w:hAnsi="Wingdings" w:hint="default"/>
      </w:rPr>
    </w:lvl>
    <w:lvl w:ilvl="1" w:tplc="967A35AC">
      <w:numFmt w:val="decimal"/>
      <w:lvlText w:val=""/>
      <w:lvlJc w:val="left"/>
    </w:lvl>
    <w:lvl w:ilvl="2" w:tplc="93640026">
      <w:numFmt w:val="decimal"/>
      <w:lvlText w:val=""/>
      <w:lvlJc w:val="left"/>
    </w:lvl>
    <w:lvl w:ilvl="3" w:tplc="ED50C744">
      <w:numFmt w:val="decimal"/>
      <w:lvlText w:val=""/>
      <w:lvlJc w:val="left"/>
    </w:lvl>
    <w:lvl w:ilvl="4" w:tplc="2B00096A">
      <w:numFmt w:val="decimal"/>
      <w:lvlText w:val=""/>
      <w:lvlJc w:val="left"/>
    </w:lvl>
    <w:lvl w:ilvl="5" w:tplc="6308A14E">
      <w:numFmt w:val="decimal"/>
      <w:lvlText w:val=""/>
      <w:lvlJc w:val="left"/>
    </w:lvl>
    <w:lvl w:ilvl="6" w:tplc="B43AAF04">
      <w:numFmt w:val="decimal"/>
      <w:lvlText w:val=""/>
      <w:lvlJc w:val="left"/>
    </w:lvl>
    <w:lvl w:ilvl="7" w:tplc="CA0E0C6E">
      <w:numFmt w:val="decimal"/>
      <w:lvlText w:val=""/>
      <w:lvlJc w:val="left"/>
    </w:lvl>
    <w:lvl w:ilvl="8" w:tplc="4D4CEC28">
      <w:numFmt w:val="decimal"/>
      <w:lvlText w:val=""/>
      <w:lvlJc w:val="left"/>
    </w:lvl>
  </w:abstractNum>
  <w:abstractNum w:abstractNumId="28" w15:restartNumberingAfterBreak="0">
    <w:nsid w:val="587F5AC9"/>
    <w:multiLevelType w:val="singleLevel"/>
    <w:tmpl w:val="46407B1C"/>
    <w:lvl w:ilvl="0">
      <w:start w:val="1"/>
      <w:numFmt w:val="upperLetter"/>
      <w:lvlText w:val="%1."/>
      <w:lvlJc w:val="left"/>
      <w:pPr>
        <w:tabs>
          <w:tab w:val="num" w:pos="720"/>
        </w:tabs>
        <w:ind w:left="720" w:hanging="720"/>
      </w:pPr>
      <w:rPr>
        <w:rFonts w:hint="default"/>
      </w:rPr>
    </w:lvl>
  </w:abstractNum>
  <w:abstractNum w:abstractNumId="29" w15:restartNumberingAfterBreak="0">
    <w:nsid w:val="592F1CB7"/>
    <w:multiLevelType w:val="singleLevel"/>
    <w:tmpl w:val="86C0E5C6"/>
    <w:lvl w:ilvl="0">
      <w:start w:val="17"/>
      <w:numFmt w:val="upperLetter"/>
      <w:lvlText w:val="%1."/>
      <w:lvlJc w:val="left"/>
      <w:pPr>
        <w:tabs>
          <w:tab w:val="num" w:pos="720"/>
        </w:tabs>
        <w:ind w:left="720" w:hanging="720"/>
      </w:pPr>
      <w:rPr>
        <w:rFonts w:hint="default"/>
      </w:rPr>
    </w:lvl>
  </w:abstractNum>
  <w:abstractNum w:abstractNumId="30" w15:restartNumberingAfterBreak="0">
    <w:nsid w:val="59F85145"/>
    <w:multiLevelType w:val="singleLevel"/>
    <w:tmpl w:val="22B25576"/>
    <w:lvl w:ilvl="0">
      <w:start w:val="1"/>
      <w:numFmt w:val="upperLetter"/>
      <w:lvlText w:val="%1."/>
      <w:lvlJc w:val="left"/>
      <w:pPr>
        <w:tabs>
          <w:tab w:val="num" w:pos="720"/>
        </w:tabs>
        <w:ind w:left="720" w:hanging="720"/>
      </w:pPr>
      <w:rPr>
        <w:rFonts w:hint="default"/>
      </w:rPr>
    </w:lvl>
  </w:abstractNum>
  <w:abstractNum w:abstractNumId="31" w15:restartNumberingAfterBreak="0">
    <w:nsid w:val="623261C8"/>
    <w:multiLevelType w:val="hybridMultilevel"/>
    <w:tmpl w:val="D3920E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5F1300"/>
    <w:multiLevelType w:val="singleLevel"/>
    <w:tmpl w:val="37E6D30E"/>
    <w:lvl w:ilvl="0">
      <w:start w:val="1"/>
      <w:numFmt w:val="upperLetter"/>
      <w:lvlText w:val="%1."/>
      <w:lvlJc w:val="left"/>
      <w:pPr>
        <w:tabs>
          <w:tab w:val="num" w:pos="1440"/>
        </w:tabs>
        <w:ind w:left="1440" w:hanging="1440"/>
      </w:pPr>
      <w:rPr>
        <w:rFonts w:hint="default"/>
        <w:b w:val="0"/>
        <w:i w:val="0"/>
      </w:rPr>
    </w:lvl>
  </w:abstractNum>
  <w:abstractNum w:abstractNumId="33" w15:restartNumberingAfterBreak="0">
    <w:nsid w:val="62E40DB8"/>
    <w:multiLevelType w:val="singleLevel"/>
    <w:tmpl w:val="FC920374"/>
    <w:lvl w:ilvl="0">
      <w:start w:val="17"/>
      <w:numFmt w:val="upperLetter"/>
      <w:lvlText w:val="%1."/>
      <w:lvlJc w:val="left"/>
      <w:pPr>
        <w:tabs>
          <w:tab w:val="num" w:pos="720"/>
        </w:tabs>
        <w:ind w:left="720" w:hanging="720"/>
      </w:pPr>
      <w:rPr>
        <w:rFonts w:hint="default"/>
      </w:rPr>
    </w:lvl>
  </w:abstractNum>
  <w:abstractNum w:abstractNumId="34" w15:restartNumberingAfterBreak="0">
    <w:nsid w:val="65727FE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671B37C0"/>
    <w:multiLevelType w:val="singleLevel"/>
    <w:tmpl w:val="E0B29BAA"/>
    <w:lvl w:ilvl="0">
      <w:start w:val="17"/>
      <w:numFmt w:val="upperLetter"/>
      <w:lvlText w:val="%1."/>
      <w:lvlJc w:val="left"/>
      <w:pPr>
        <w:tabs>
          <w:tab w:val="num" w:pos="720"/>
        </w:tabs>
        <w:ind w:left="720" w:hanging="720"/>
      </w:pPr>
      <w:rPr>
        <w:rFonts w:hint="default"/>
      </w:rPr>
    </w:lvl>
  </w:abstractNum>
  <w:abstractNum w:abstractNumId="36" w15:restartNumberingAfterBreak="0">
    <w:nsid w:val="70B342D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0BC226C"/>
    <w:multiLevelType w:val="singleLevel"/>
    <w:tmpl w:val="85A8227E"/>
    <w:lvl w:ilvl="0">
      <w:start w:val="17"/>
      <w:numFmt w:val="upperLetter"/>
      <w:lvlText w:val="%1."/>
      <w:lvlJc w:val="left"/>
      <w:pPr>
        <w:tabs>
          <w:tab w:val="num" w:pos="720"/>
        </w:tabs>
        <w:ind w:left="720" w:hanging="720"/>
      </w:pPr>
      <w:rPr>
        <w:rFonts w:hint="default"/>
      </w:rPr>
    </w:lvl>
  </w:abstractNum>
  <w:abstractNum w:abstractNumId="38" w15:restartNumberingAfterBreak="0">
    <w:nsid w:val="74FD5CE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7907522A"/>
    <w:multiLevelType w:val="hybridMultilevel"/>
    <w:tmpl w:val="D3201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4C6C50"/>
    <w:multiLevelType w:val="hybridMultilevel"/>
    <w:tmpl w:val="1310CD64"/>
    <w:lvl w:ilvl="0" w:tplc="84D8B9C4">
      <w:start w:val="17"/>
      <w:numFmt w:val="upperLetter"/>
      <w:lvlText w:val="%1."/>
      <w:lvlJc w:val="left"/>
      <w:pPr>
        <w:tabs>
          <w:tab w:val="num" w:pos="720"/>
        </w:tabs>
        <w:ind w:left="720" w:hanging="720"/>
      </w:pPr>
      <w:rPr>
        <w:rFonts w:hint="default"/>
      </w:rPr>
    </w:lvl>
    <w:lvl w:ilvl="1" w:tplc="0EF63134">
      <w:numFmt w:val="decimal"/>
      <w:lvlText w:val=""/>
      <w:lvlJc w:val="left"/>
    </w:lvl>
    <w:lvl w:ilvl="2" w:tplc="259AD0A6">
      <w:numFmt w:val="decimal"/>
      <w:lvlText w:val=""/>
      <w:lvlJc w:val="left"/>
    </w:lvl>
    <w:lvl w:ilvl="3" w:tplc="0B5285D8">
      <w:numFmt w:val="decimal"/>
      <w:lvlText w:val=""/>
      <w:lvlJc w:val="left"/>
    </w:lvl>
    <w:lvl w:ilvl="4" w:tplc="3432C502">
      <w:numFmt w:val="decimal"/>
      <w:lvlText w:val=""/>
      <w:lvlJc w:val="left"/>
    </w:lvl>
    <w:lvl w:ilvl="5" w:tplc="6F12A7D0">
      <w:numFmt w:val="decimal"/>
      <w:lvlText w:val=""/>
      <w:lvlJc w:val="left"/>
    </w:lvl>
    <w:lvl w:ilvl="6" w:tplc="5BB0F7CE">
      <w:numFmt w:val="decimal"/>
      <w:lvlText w:val=""/>
      <w:lvlJc w:val="left"/>
    </w:lvl>
    <w:lvl w:ilvl="7" w:tplc="5AAA824A">
      <w:numFmt w:val="decimal"/>
      <w:lvlText w:val=""/>
      <w:lvlJc w:val="left"/>
    </w:lvl>
    <w:lvl w:ilvl="8" w:tplc="B7ACF700">
      <w:numFmt w:val="decimal"/>
      <w:lvlText w:val=""/>
      <w:lvlJc w:val="left"/>
    </w:lvl>
  </w:abstractNum>
  <w:abstractNum w:abstractNumId="41" w15:restartNumberingAfterBreak="0">
    <w:nsid w:val="7DCF36E4"/>
    <w:multiLevelType w:val="hybridMultilevel"/>
    <w:tmpl w:val="20F0DCDC"/>
    <w:lvl w:ilvl="0" w:tplc="A950E0A8">
      <w:start w:val="17"/>
      <w:numFmt w:val="upperLetter"/>
      <w:lvlText w:val="%1."/>
      <w:lvlJc w:val="left"/>
      <w:pPr>
        <w:tabs>
          <w:tab w:val="num" w:pos="720"/>
        </w:tabs>
        <w:ind w:left="720" w:hanging="720"/>
      </w:pPr>
      <w:rPr>
        <w:rFonts w:hint="default"/>
      </w:rPr>
    </w:lvl>
    <w:lvl w:ilvl="1" w:tplc="4D82E30C">
      <w:numFmt w:val="decimal"/>
      <w:lvlText w:val=""/>
      <w:lvlJc w:val="left"/>
    </w:lvl>
    <w:lvl w:ilvl="2" w:tplc="09E849EE">
      <w:numFmt w:val="decimal"/>
      <w:lvlText w:val=""/>
      <w:lvlJc w:val="left"/>
    </w:lvl>
    <w:lvl w:ilvl="3" w:tplc="91923972">
      <w:numFmt w:val="decimal"/>
      <w:lvlText w:val=""/>
      <w:lvlJc w:val="left"/>
    </w:lvl>
    <w:lvl w:ilvl="4" w:tplc="52667EF2">
      <w:numFmt w:val="decimal"/>
      <w:lvlText w:val=""/>
      <w:lvlJc w:val="left"/>
    </w:lvl>
    <w:lvl w:ilvl="5" w:tplc="6FA694A2">
      <w:numFmt w:val="decimal"/>
      <w:lvlText w:val=""/>
      <w:lvlJc w:val="left"/>
    </w:lvl>
    <w:lvl w:ilvl="6" w:tplc="AA32EE2E">
      <w:numFmt w:val="decimal"/>
      <w:lvlText w:val=""/>
      <w:lvlJc w:val="left"/>
    </w:lvl>
    <w:lvl w:ilvl="7" w:tplc="232253A2">
      <w:numFmt w:val="decimal"/>
      <w:lvlText w:val=""/>
      <w:lvlJc w:val="left"/>
    </w:lvl>
    <w:lvl w:ilvl="8" w:tplc="08B6A270">
      <w:numFmt w:val="decimal"/>
      <w:lvlText w:val=""/>
      <w:lvlJc w:val="left"/>
    </w:lvl>
  </w:abstractNum>
  <w:abstractNum w:abstractNumId="42" w15:restartNumberingAfterBreak="0">
    <w:nsid w:val="7E2F34A0"/>
    <w:multiLevelType w:val="hybridMultilevel"/>
    <w:tmpl w:val="04090015"/>
    <w:lvl w:ilvl="0" w:tplc="BAAE30FA">
      <w:start w:val="1"/>
      <w:numFmt w:val="upperLetter"/>
      <w:lvlText w:val="%1."/>
      <w:lvlJc w:val="left"/>
      <w:pPr>
        <w:tabs>
          <w:tab w:val="num" w:pos="360"/>
        </w:tabs>
        <w:ind w:left="360" w:hanging="360"/>
      </w:pPr>
      <w:rPr>
        <w:rFonts w:hint="default"/>
      </w:rPr>
    </w:lvl>
    <w:lvl w:ilvl="1" w:tplc="3DCAE486">
      <w:numFmt w:val="decimal"/>
      <w:lvlText w:val=""/>
      <w:lvlJc w:val="left"/>
    </w:lvl>
    <w:lvl w:ilvl="2" w:tplc="6E2C17F4">
      <w:numFmt w:val="decimal"/>
      <w:lvlText w:val=""/>
      <w:lvlJc w:val="left"/>
    </w:lvl>
    <w:lvl w:ilvl="3" w:tplc="71462180">
      <w:numFmt w:val="decimal"/>
      <w:lvlText w:val=""/>
      <w:lvlJc w:val="left"/>
    </w:lvl>
    <w:lvl w:ilvl="4" w:tplc="82240172">
      <w:numFmt w:val="decimal"/>
      <w:lvlText w:val=""/>
      <w:lvlJc w:val="left"/>
    </w:lvl>
    <w:lvl w:ilvl="5" w:tplc="B982458A">
      <w:numFmt w:val="decimal"/>
      <w:lvlText w:val=""/>
      <w:lvlJc w:val="left"/>
    </w:lvl>
    <w:lvl w:ilvl="6" w:tplc="1FE85002">
      <w:numFmt w:val="decimal"/>
      <w:lvlText w:val=""/>
      <w:lvlJc w:val="left"/>
    </w:lvl>
    <w:lvl w:ilvl="7" w:tplc="BD96B9B8">
      <w:numFmt w:val="decimal"/>
      <w:lvlText w:val=""/>
      <w:lvlJc w:val="left"/>
    </w:lvl>
    <w:lvl w:ilvl="8" w:tplc="7700DA10">
      <w:numFmt w:val="decimal"/>
      <w:lvlText w:val=""/>
      <w:lvlJc w:val="left"/>
    </w:lvl>
  </w:abstractNum>
  <w:abstractNum w:abstractNumId="43" w15:restartNumberingAfterBreak="0">
    <w:nsid w:val="7FB7539A"/>
    <w:multiLevelType w:val="hybridMultilevel"/>
    <w:tmpl w:val="04090005"/>
    <w:lvl w:ilvl="0" w:tplc="265ABDC4">
      <w:start w:val="1"/>
      <w:numFmt w:val="bullet"/>
      <w:lvlText w:val=""/>
      <w:lvlJc w:val="left"/>
      <w:pPr>
        <w:tabs>
          <w:tab w:val="num" w:pos="360"/>
        </w:tabs>
        <w:ind w:left="360" w:hanging="360"/>
      </w:pPr>
      <w:rPr>
        <w:rFonts w:ascii="Wingdings" w:hAnsi="Wingdings" w:hint="default"/>
      </w:rPr>
    </w:lvl>
    <w:lvl w:ilvl="1" w:tplc="BE789C5C">
      <w:numFmt w:val="decimal"/>
      <w:lvlText w:val=""/>
      <w:lvlJc w:val="left"/>
    </w:lvl>
    <w:lvl w:ilvl="2" w:tplc="0CF6B9FA">
      <w:numFmt w:val="decimal"/>
      <w:lvlText w:val=""/>
      <w:lvlJc w:val="left"/>
    </w:lvl>
    <w:lvl w:ilvl="3" w:tplc="2AA8EAE2">
      <w:numFmt w:val="decimal"/>
      <w:lvlText w:val=""/>
      <w:lvlJc w:val="left"/>
    </w:lvl>
    <w:lvl w:ilvl="4" w:tplc="81C858FA">
      <w:numFmt w:val="decimal"/>
      <w:lvlText w:val=""/>
      <w:lvlJc w:val="left"/>
    </w:lvl>
    <w:lvl w:ilvl="5" w:tplc="F5263B04">
      <w:numFmt w:val="decimal"/>
      <w:lvlText w:val=""/>
      <w:lvlJc w:val="left"/>
    </w:lvl>
    <w:lvl w:ilvl="6" w:tplc="96607140">
      <w:numFmt w:val="decimal"/>
      <w:lvlText w:val=""/>
      <w:lvlJc w:val="left"/>
    </w:lvl>
    <w:lvl w:ilvl="7" w:tplc="20D4E9DC">
      <w:numFmt w:val="decimal"/>
      <w:lvlText w:val=""/>
      <w:lvlJc w:val="left"/>
    </w:lvl>
    <w:lvl w:ilvl="8" w:tplc="50A8C7E2">
      <w:numFmt w:val="decimal"/>
      <w:lvlText w:val=""/>
      <w:lvlJc w:val="left"/>
    </w:lvl>
  </w:abstractNum>
  <w:num w:numId="1">
    <w:abstractNumId w:val="36"/>
  </w:num>
  <w:num w:numId="2">
    <w:abstractNumId w:val="35"/>
  </w:num>
  <w:num w:numId="3">
    <w:abstractNumId w:val="7"/>
  </w:num>
  <w:num w:numId="4">
    <w:abstractNumId w:val="15"/>
  </w:num>
  <w:num w:numId="5">
    <w:abstractNumId w:val="21"/>
  </w:num>
  <w:num w:numId="6">
    <w:abstractNumId w:val="29"/>
  </w:num>
  <w:num w:numId="7">
    <w:abstractNumId w:val="16"/>
  </w:num>
  <w:num w:numId="8">
    <w:abstractNumId w:val="43"/>
  </w:num>
  <w:num w:numId="9">
    <w:abstractNumId w:val="38"/>
  </w:num>
  <w:num w:numId="10">
    <w:abstractNumId w:val="41"/>
  </w:num>
  <w:num w:numId="11">
    <w:abstractNumId w:val="18"/>
  </w:num>
  <w:num w:numId="12">
    <w:abstractNumId w:val="27"/>
  </w:num>
  <w:num w:numId="13">
    <w:abstractNumId w:val="26"/>
  </w:num>
  <w:num w:numId="14">
    <w:abstractNumId w:val="12"/>
  </w:num>
  <w:num w:numId="15">
    <w:abstractNumId w:val="10"/>
  </w:num>
  <w:num w:numId="16">
    <w:abstractNumId w:val="3"/>
  </w:num>
  <w:num w:numId="17">
    <w:abstractNumId w:val="20"/>
  </w:num>
  <w:num w:numId="18">
    <w:abstractNumId w:val="40"/>
  </w:num>
  <w:num w:numId="19">
    <w:abstractNumId w:val="4"/>
  </w:num>
  <w:num w:numId="20">
    <w:abstractNumId w:val="33"/>
  </w:num>
  <w:num w:numId="21">
    <w:abstractNumId w:val="30"/>
  </w:num>
  <w:num w:numId="22">
    <w:abstractNumId w:val="37"/>
  </w:num>
  <w:num w:numId="23">
    <w:abstractNumId w:val="28"/>
  </w:num>
  <w:num w:numId="24">
    <w:abstractNumId w:val="14"/>
  </w:num>
  <w:num w:numId="25">
    <w:abstractNumId w:val="32"/>
  </w:num>
  <w:num w:numId="26">
    <w:abstractNumId w:val="13"/>
  </w:num>
  <w:num w:numId="27">
    <w:abstractNumId w:val="42"/>
  </w:num>
  <w:num w:numId="28">
    <w:abstractNumId w:val="9"/>
  </w:num>
  <w:num w:numId="29">
    <w:abstractNumId w:val="24"/>
  </w:num>
  <w:num w:numId="30">
    <w:abstractNumId w:val="17"/>
  </w:num>
  <w:num w:numId="31">
    <w:abstractNumId w:val="8"/>
  </w:num>
  <w:num w:numId="32">
    <w:abstractNumId w:val="6"/>
  </w:num>
  <w:num w:numId="33">
    <w:abstractNumId w:val="1"/>
  </w:num>
  <w:num w:numId="34">
    <w:abstractNumId w:val="34"/>
  </w:num>
  <w:num w:numId="35">
    <w:abstractNumId w:val="23"/>
  </w:num>
  <w:num w:numId="36">
    <w:abstractNumId w:val="2"/>
  </w:num>
  <w:num w:numId="37">
    <w:abstractNumId w:val="19"/>
  </w:num>
  <w:num w:numId="38">
    <w:abstractNumId w:val="0"/>
  </w:num>
  <w:num w:numId="39">
    <w:abstractNumId w:val="22"/>
  </w:num>
  <w:num w:numId="40">
    <w:abstractNumId w:val="5"/>
  </w:num>
  <w:num w:numId="41">
    <w:abstractNumId w:val="25"/>
  </w:num>
  <w:num w:numId="42">
    <w:abstractNumId w:val="31"/>
  </w:num>
  <w:num w:numId="43">
    <w:abstractNumId w:val="11"/>
  </w:num>
  <w:num w:numId="44">
    <w:abstractNumId w:val="39"/>
  </w:num>
  <w:num w:numId="4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ielsen, Victoria">
    <w15:presenceInfo w15:providerId="AD" w15:userId="S::vnielsen@ameresco.com::c527e7a1-e3af-4020-b099-8b6fd7f303dd"/>
  </w15:person>
  <w15:person w15:author="Kevin Grabner">
    <w15:presenceInfo w15:providerId="AD" w15:userId="S::kevin.grabner@navigant.com::07ba17f5-9bae-4ae5-8fef-315a308832e6"/>
  </w15:person>
  <w15:person w15:author="Sophie Gunderson">
    <w15:presenceInfo w15:providerId="AD" w15:userId="S::sophie.gunderson@navigant.com::6803a33a-6140-4b3b-bc97-b3ae0f27ad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4"/>
  <w:drawingGridVerticalSpacing w:val="144"/>
  <w:noPunctuationKerning/>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7D5"/>
    <w:rsid w:val="0000389C"/>
    <w:rsid w:val="00010DAF"/>
    <w:rsid w:val="00017F11"/>
    <w:rsid w:val="0002111F"/>
    <w:rsid w:val="00026574"/>
    <w:rsid w:val="00026BB8"/>
    <w:rsid w:val="0002729B"/>
    <w:rsid w:val="000438F7"/>
    <w:rsid w:val="00044858"/>
    <w:rsid w:val="000567D5"/>
    <w:rsid w:val="00057F8A"/>
    <w:rsid w:val="00062AAB"/>
    <w:rsid w:val="00070D1F"/>
    <w:rsid w:val="00072322"/>
    <w:rsid w:val="00075A27"/>
    <w:rsid w:val="0008614F"/>
    <w:rsid w:val="000B4468"/>
    <w:rsid w:val="000C2932"/>
    <w:rsid w:val="000C7C3C"/>
    <w:rsid w:val="000D61D6"/>
    <w:rsid w:val="000D7E92"/>
    <w:rsid w:val="000E3B11"/>
    <w:rsid w:val="000E3F29"/>
    <w:rsid w:val="000F420E"/>
    <w:rsid w:val="000F6C15"/>
    <w:rsid w:val="00100B4E"/>
    <w:rsid w:val="00100E08"/>
    <w:rsid w:val="00101E2C"/>
    <w:rsid w:val="0010536E"/>
    <w:rsid w:val="00124B08"/>
    <w:rsid w:val="00136083"/>
    <w:rsid w:val="001468E7"/>
    <w:rsid w:val="0014716F"/>
    <w:rsid w:val="0015008C"/>
    <w:rsid w:val="00150285"/>
    <w:rsid w:val="00151A27"/>
    <w:rsid w:val="00156E3E"/>
    <w:rsid w:val="00165445"/>
    <w:rsid w:val="00165D81"/>
    <w:rsid w:val="00170A94"/>
    <w:rsid w:val="00171E69"/>
    <w:rsid w:val="00172E05"/>
    <w:rsid w:val="00176C63"/>
    <w:rsid w:val="00197014"/>
    <w:rsid w:val="00197D50"/>
    <w:rsid w:val="001A7795"/>
    <w:rsid w:val="001B2C99"/>
    <w:rsid w:val="001B2DCC"/>
    <w:rsid w:val="001C0E7B"/>
    <w:rsid w:val="001C25D9"/>
    <w:rsid w:val="001C54A0"/>
    <w:rsid w:val="001D105C"/>
    <w:rsid w:val="001D4324"/>
    <w:rsid w:val="001D68CD"/>
    <w:rsid w:val="001F1C2F"/>
    <w:rsid w:val="001F1FCC"/>
    <w:rsid w:val="001F3678"/>
    <w:rsid w:val="00206D2F"/>
    <w:rsid w:val="00211D99"/>
    <w:rsid w:val="00213620"/>
    <w:rsid w:val="00217D27"/>
    <w:rsid w:val="002218B9"/>
    <w:rsid w:val="00223774"/>
    <w:rsid w:val="00230261"/>
    <w:rsid w:val="00245562"/>
    <w:rsid w:val="00262F16"/>
    <w:rsid w:val="00263048"/>
    <w:rsid w:val="00265568"/>
    <w:rsid w:val="00272C82"/>
    <w:rsid w:val="0027575A"/>
    <w:rsid w:val="00284F64"/>
    <w:rsid w:val="002947BC"/>
    <w:rsid w:val="002A0D6C"/>
    <w:rsid w:val="002A1FF2"/>
    <w:rsid w:val="002A40DC"/>
    <w:rsid w:val="002B11B5"/>
    <w:rsid w:val="002C0857"/>
    <w:rsid w:val="002C2EE2"/>
    <w:rsid w:val="002C6F3B"/>
    <w:rsid w:val="002C702A"/>
    <w:rsid w:val="002D0A73"/>
    <w:rsid w:val="002D2C72"/>
    <w:rsid w:val="002D4C44"/>
    <w:rsid w:val="002E7705"/>
    <w:rsid w:val="002F0EDD"/>
    <w:rsid w:val="00304BF4"/>
    <w:rsid w:val="00311B59"/>
    <w:rsid w:val="00317161"/>
    <w:rsid w:val="003244A7"/>
    <w:rsid w:val="003376BF"/>
    <w:rsid w:val="003453EE"/>
    <w:rsid w:val="00363BBB"/>
    <w:rsid w:val="003655E6"/>
    <w:rsid w:val="00377F01"/>
    <w:rsid w:val="00390B68"/>
    <w:rsid w:val="003921E2"/>
    <w:rsid w:val="003A3858"/>
    <w:rsid w:val="003A45D0"/>
    <w:rsid w:val="003B0439"/>
    <w:rsid w:val="003B5FD8"/>
    <w:rsid w:val="003B668A"/>
    <w:rsid w:val="003B7213"/>
    <w:rsid w:val="003C6EA0"/>
    <w:rsid w:val="003C7719"/>
    <w:rsid w:val="003D40F2"/>
    <w:rsid w:val="003D5158"/>
    <w:rsid w:val="003D6020"/>
    <w:rsid w:val="003D65A0"/>
    <w:rsid w:val="003D6C6A"/>
    <w:rsid w:val="003F1858"/>
    <w:rsid w:val="003F636A"/>
    <w:rsid w:val="003F78F9"/>
    <w:rsid w:val="004029A8"/>
    <w:rsid w:val="00405085"/>
    <w:rsid w:val="00423AEF"/>
    <w:rsid w:val="0042473E"/>
    <w:rsid w:val="00424B11"/>
    <w:rsid w:val="004304F1"/>
    <w:rsid w:val="00437E75"/>
    <w:rsid w:val="0044188D"/>
    <w:rsid w:val="0045793E"/>
    <w:rsid w:val="00457B86"/>
    <w:rsid w:val="00460B7F"/>
    <w:rsid w:val="00470021"/>
    <w:rsid w:val="004708D5"/>
    <w:rsid w:val="00476AE5"/>
    <w:rsid w:val="004813CF"/>
    <w:rsid w:val="00484490"/>
    <w:rsid w:val="004875FA"/>
    <w:rsid w:val="004878CE"/>
    <w:rsid w:val="00490107"/>
    <w:rsid w:val="00495EB3"/>
    <w:rsid w:val="00496BA8"/>
    <w:rsid w:val="00497D7A"/>
    <w:rsid w:val="004A1CC4"/>
    <w:rsid w:val="004A2B7F"/>
    <w:rsid w:val="004B068E"/>
    <w:rsid w:val="004B2DD2"/>
    <w:rsid w:val="004B663D"/>
    <w:rsid w:val="004C4979"/>
    <w:rsid w:val="004C577B"/>
    <w:rsid w:val="004C5DAF"/>
    <w:rsid w:val="004D54FF"/>
    <w:rsid w:val="004F72DB"/>
    <w:rsid w:val="005126CB"/>
    <w:rsid w:val="005141EE"/>
    <w:rsid w:val="00515324"/>
    <w:rsid w:val="0051533E"/>
    <w:rsid w:val="00516192"/>
    <w:rsid w:val="00517D6E"/>
    <w:rsid w:val="005200C2"/>
    <w:rsid w:val="00520156"/>
    <w:rsid w:val="0052032C"/>
    <w:rsid w:val="00521A0F"/>
    <w:rsid w:val="00523330"/>
    <w:rsid w:val="00523E2A"/>
    <w:rsid w:val="00524673"/>
    <w:rsid w:val="00525831"/>
    <w:rsid w:val="00536559"/>
    <w:rsid w:val="0054298B"/>
    <w:rsid w:val="00543733"/>
    <w:rsid w:val="00546030"/>
    <w:rsid w:val="00546E4D"/>
    <w:rsid w:val="00547B32"/>
    <w:rsid w:val="00554829"/>
    <w:rsid w:val="005604D1"/>
    <w:rsid w:val="00570207"/>
    <w:rsid w:val="00570CEA"/>
    <w:rsid w:val="00596F82"/>
    <w:rsid w:val="005A0927"/>
    <w:rsid w:val="005A7D8E"/>
    <w:rsid w:val="005B3629"/>
    <w:rsid w:val="005C3CF9"/>
    <w:rsid w:val="005C760C"/>
    <w:rsid w:val="005C7C1B"/>
    <w:rsid w:val="005D627A"/>
    <w:rsid w:val="005E1E95"/>
    <w:rsid w:val="00610F3D"/>
    <w:rsid w:val="0061282B"/>
    <w:rsid w:val="0061549A"/>
    <w:rsid w:val="00616F74"/>
    <w:rsid w:val="00626135"/>
    <w:rsid w:val="00632022"/>
    <w:rsid w:val="00634164"/>
    <w:rsid w:val="00653E98"/>
    <w:rsid w:val="006677D3"/>
    <w:rsid w:val="00670E44"/>
    <w:rsid w:val="006725C6"/>
    <w:rsid w:val="00684044"/>
    <w:rsid w:val="00693830"/>
    <w:rsid w:val="006953A0"/>
    <w:rsid w:val="006965C9"/>
    <w:rsid w:val="00697F4D"/>
    <w:rsid w:val="006A0205"/>
    <w:rsid w:val="006A24AF"/>
    <w:rsid w:val="006A7317"/>
    <w:rsid w:val="006A7C83"/>
    <w:rsid w:val="006B5C2A"/>
    <w:rsid w:val="006C0856"/>
    <w:rsid w:val="006D3864"/>
    <w:rsid w:val="006D5F4C"/>
    <w:rsid w:val="006D7E8F"/>
    <w:rsid w:val="006E2801"/>
    <w:rsid w:val="006E62BB"/>
    <w:rsid w:val="006E7EBD"/>
    <w:rsid w:val="006F1F57"/>
    <w:rsid w:val="006F3371"/>
    <w:rsid w:val="006F3AF7"/>
    <w:rsid w:val="00702671"/>
    <w:rsid w:val="00702B8A"/>
    <w:rsid w:val="00706D7D"/>
    <w:rsid w:val="00713372"/>
    <w:rsid w:val="00723013"/>
    <w:rsid w:val="007249DF"/>
    <w:rsid w:val="00750243"/>
    <w:rsid w:val="007502EC"/>
    <w:rsid w:val="00750A8C"/>
    <w:rsid w:val="00754BF5"/>
    <w:rsid w:val="00755BC4"/>
    <w:rsid w:val="00757D62"/>
    <w:rsid w:val="00766445"/>
    <w:rsid w:val="00770D91"/>
    <w:rsid w:val="00771B18"/>
    <w:rsid w:val="00772C28"/>
    <w:rsid w:val="00774BEF"/>
    <w:rsid w:val="0078671A"/>
    <w:rsid w:val="00792B3B"/>
    <w:rsid w:val="007A00BB"/>
    <w:rsid w:val="007A1D7D"/>
    <w:rsid w:val="007A2CC0"/>
    <w:rsid w:val="007A6B14"/>
    <w:rsid w:val="007C040E"/>
    <w:rsid w:val="007C10FB"/>
    <w:rsid w:val="007C2191"/>
    <w:rsid w:val="007C7162"/>
    <w:rsid w:val="007E4B62"/>
    <w:rsid w:val="007E7119"/>
    <w:rsid w:val="007F1BB1"/>
    <w:rsid w:val="00803AE3"/>
    <w:rsid w:val="00807950"/>
    <w:rsid w:val="00830054"/>
    <w:rsid w:val="00831469"/>
    <w:rsid w:val="00835CFA"/>
    <w:rsid w:val="00837557"/>
    <w:rsid w:val="00843FDC"/>
    <w:rsid w:val="008547B5"/>
    <w:rsid w:val="00855A0C"/>
    <w:rsid w:val="00856609"/>
    <w:rsid w:val="00862CF9"/>
    <w:rsid w:val="00862F74"/>
    <w:rsid w:val="00866327"/>
    <w:rsid w:val="00870890"/>
    <w:rsid w:val="00877C6A"/>
    <w:rsid w:val="008855EC"/>
    <w:rsid w:val="00887BE3"/>
    <w:rsid w:val="008925DE"/>
    <w:rsid w:val="00893151"/>
    <w:rsid w:val="008A01F8"/>
    <w:rsid w:val="008A6F51"/>
    <w:rsid w:val="008A79A5"/>
    <w:rsid w:val="008B5096"/>
    <w:rsid w:val="008B5118"/>
    <w:rsid w:val="008C2201"/>
    <w:rsid w:val="008C4401"/>
    <w:rsid w:val="008C53E0"/>
    <w:rsid w:val="008D1696"/>
    <w:rsid w:val="008D2319"/>
    <w:rsid w:val="008D3C65"/>
    <w:rsid w:val="008D610D"/>
    <w:rsid w:val="008E0920"/>
    <w:rsid w:val="008E10DC"/>
    <w:rsid w:val="008E255B"/>
    <w:rsid w:val="008F01E1"/>
    <w:rsid w:val="008F05EC"/>
    <w:rsid w:val="008F1885"/>
    <w:rsid w:val="008F69C6"/>
    <w:rsid w:val="00905891"/>
    <w:rsid w:val="00910476"/>
    <w:rsid w:val="00916B71"/>
    <w:rsid w:val="00916E63"/>
    <w:rsid w:val="00923113"/>
    <w:rsid w:val="00923358"/>
    <w:rsid w:val="0092476C"/>
    <w:rsid w:val="00924CF4"/>
    <w:rsid w:val="009275F6"/>
    <w:rsid w:val="0093141D"/>
    <w:rsid w:val="00940660"/>
    <w:rsid w:val="0094430D"/>
    <w:rsid w:val="00950FF6"/>
    <w:rsid w:val="009547DC"/>
    <w:rsid w:val="009575A8"/>
    <w:rsid w:val="00960CB2"/>
    <w:rsid w:val="00966E7D"/>
    <w:rsid w:val="00972728"/>
    <w:rsid w:val="00984355"/>
    <w:rsid w:val="00985472"/>
    <w:rsid w:val="00985871"/>
    <w:rsid w:val="00992713"/>
    <w:rsid w:val="00996DF2"/>
    <w:rsid w:val="009A0475"/>
    <w:rsid w:val="009A51CD"/>
    <w:rsid w:val="009A556C"/>
    <w:rsid w:val="009A742B"/>
    <w:rsid w:val="009B2BA0"/>
    <w:rsid w:val="009B458C"/>
    <w:rsid w:val="009C015D"/>
    <w:rsid w:val="009C5277"/>
    <w:rsid w:val="009D2808"/>
    <w:rsid w:val="009D3B05"/>
    <w:rsid w:val="009D7D89"/>
    <w:rsid w:val="009E17C5"/>
    <w:rsid w:val="009E4272"/>
    <w:rsid w:val="009F3D31"/>
    <w:rsid w:val="009F6BE9"/>
    <w:rsid w:val="00A14675"/>
    <w:rsid w:val="00A252D7"/>
    <w:rsid w:val="00A256F9"/>
    <w:rsid w:val="00A43025"/>
    <w:rsid w:val="00A51010"/>
    <w:rsid w:val="00A5262E"/>
    <w:rsid w:val="00A54022"/>
    <w:rsid w:val="00A555D8"/>
    <w:rsid w:val="00A61478"/>
    <w:rsid w:val="00A66BCF"/>
    <w:rsid w:val="00A71BAC"/>
    <w:rsid w:val="00A72589"/>
    <w:rsid w:val="00A7292C"/>
    <w:rsid w:val="00A85303"/>
    <w:rsid w:val="00A94D41"/>
    <w:rsid w:val="00A95DD8"/>
    <w:rsid w:val="00A95EA7"/>
    <w:rsid w:val="00AA1AD7"/>
    <w:rsid w:val="00AA422F"/>
    <w:rsid w:val="00AA74B5"/>
    <w:rsid w:val="00AA7E42"/>
    <w:rsid w:val="00AB1EC1"/>
    <w:rsid w:val="00AB5426"/>
    <w:rsid w:val="00AB69BD"/>
    <w:rsid w:val="00AC0F3C"/>
    <w:rsid w:val="00AC4767"/>
    <w:rsid w:val="00AC693D"/>
    <w:rsid w:val="00AC7274"/>
    <w:rsid w:val="00AD024F"/>
    <w:rsid w:val="00AD065F"/>
    <w:rsid w:val="00AD318A"/>
    <w:rsid w:val="00AD4984"/>
    <w:rsid w:val="00AE212B"/>
    <w:rsid w:val="00AE3866"/>
    <w:rsid w:val="00AE62D7"/>
    <w:rsid w:val="00AE7F3C"/>
    <w:rsid w:val="00AF0183"/>
    <w:rsid w:val="00AF7B10"/>
    <w:rsid w:val="00B02D76"/>
    <w:rsid w:val="00B034C2"/>
    <w:rsid w:val="00B05E40"/>
    <w:rsid w:val="00B06FC9"/>
    <w:rsid w:val="00B23AA8"/>
    <w:rsid w:val="00B24989"/>
    <w:rsid w:val="00B31481"/>
    <w:rsid w:val="00B333BE"/>
    <w:rsid w:val="00B34FF8"/>
    <w:rsid w:val="00B35051"/>
    <w:rsid w:val="00B42B8E"/>
    <w:rsid w:val="00B4360C"/>
    <w:rsid w:val="00B53DB2"/>
    <w:rsid w:val="00B54EAC"/>
    <w:rsid w:val="00B6006F"/>
    <w:rsid w:val="00B625C7"/>
    <w:rsid w:val="00B74003"/>
    <w:rsid w:val="00B75614"/>
    <w:rsid w:val="00B8393A"/>
    <w:rsid w:val="00B96858"/>
    <w:rsid w:val="00BA50C9"/>
    <w:rsid w:val="00BB0BE7"/>
    <w:rsid w:val="00BB1B6B"/>
    <w:rsid w:val="00BB352C"/>
    <w:rsid w:val="00BB3638"/>
    <w:rsid w:val="00BC20DD"/>
    <w:rsid w:val="00BC2BF5"/>
    <w:rsid w:val="00BD7AD9"/>
    <w:rsid w:val="00BE0290"/>
    <w:rsid w:val="00BE6133"/>
    <w:rsid w:val="00BE6137"/>
    <w:rsid w:val="00BF4512"/>
    <w:rsid w:val="00BF6EAB"/>
    <w:rsid w:val="00C0140C"/>
    <w:rsid w:val="00C0187D"/>
    <w:rsid w:val="00C05952"/>
    <w:rsid w:val="00C139B4"/>
    <w:rsid w:val="00C144D4"/>
    <w:rsid w:val="00C1457C"/>
    <w:rsid w:val="00C14D94"/>
    <w:rsid w:val="00C1538C"/>
    <w:rsid w:val="00C22F67"/>
    <w:rsid w:val="00C24F19"/>
    <w:rsid w:val="00C32E42"/>
    <w:rsid w:val="00C404B6"/>
    <w:rsid w:val="00C4158C"/>
    <w:rsid w:val="00C43D72"/>
    <w:rsid w:val="00C50CCB"/>
    <w:rsid w:val="00C57E46"/>
    <w:rsid w:val="00C60858"/>
    <w:rsid w:val="00C61A4A"/>
    <w:rsid w:val="00C64934"/>
    <w:rsid w:val="00C65FD0"/>
    <w:rsid w:val="00C66B3A"/>
    <w:rsid w:val="00C731D9"/>
    <w:rsid w:val="00C73766"/>
    <w:rsid w:val="00C7681F"/>
    <w:rsid w:val="00C7727C"/>
    <w:rsid w:val="00C77B9F"/>
    <w:rsid w:val="00C77CF8"/>
    <w:rsid w:val="00C902F8"/>
    <w:rsid w:val="00C9427F"/>
    <w:rsid w:val="00C94EAF"/>
    <w:rsid w:val="00CA063B"/>
    <w:rsid w:val="00CA2373"/>
    <w:rsid w:val="00CA379E"/>
    <w:rsid w:val="00CA65A7"/>
    <w:rsid w:val="00CB04D3"/>
    <w:rsid w:val="00CB6BC1"/>
    <w:rsid w:val="00CB7BA3"/>
    <w:rsid w:val="00CC1116"/>
    <w:rsid w:val="00CC391B"/>
    <w:rsid w:val="00CD1526"/>
    <w:rsid w:val="00CD1C9A"/>
    <w:rsid w:val="00CD1CD1"/>
    <w:rsid w:val="00CD230F"/>
    <w:rsid w:val="00CD527A"/>
    <w:rsid w:val="00CD7F51"/>
    <w:rsid w:val="00D02970"/>
    <w:rsid w:val="00D03412"/>
    <w:rsid w:val="00D045CE"/>
    <w:rsid w:val="00D16E21"/>
    <w:rsid w:val="00D17741"/>
    <w:rsid w:val="00D34B70"/>
    <w:rsid w:val="00D358F2"/>
    <w:rsid w:val="00D3636F"/>
    <w:rsid w:val="00D405AF"/>
    <w:rsid w:val="00D41997"/>
    <w:rsid w:val="00D52311"/>
    <w:rsid w:val="00D52E67"/>
    <w:rsid w:val="00D562CB"/>
    <w:rsid w:val="00D572BF"/>
    <w:rsid w:val="00D606A0"/>
    <w:rsid w:val="00D618C4"/>
    <w:rsid w:val="00D6386B"/>
    <w:rsid w:val="00D66F34"/>
    <w:rsid w:val="00D708F0"/>
    <w:rsid w:val="00D80B60"/>
    <w:rsid w:val="00D81125"/>
    <w:rsid w:val="00D8461E"/>
    <w:rsid w:val="00D91571"/>
    <w:rsid w:val="00D934B0"/>
    <w:rsid w:val="00D95733"/>
    <w:rsid w:val="00DA0FAE"/>
    <w:rsid w:val="00DA1565"/>
    <w:rsid w:val="00DC0B68"/>
    <w:rsid w:val="00DC1FE0"/>
    <w:rsid w:val="00DC73A9"/>
    <w:rsid w:val="00DD25DC"/>
    <w:rsid w:val="00DD4A5F"/>
    <w:rsid w:val="00DD5440"/>
    <w:rsid w:val="00DF09E1"/>
    <w:rsid w:val="00DF1A64"/>
    <w:rsid w:val="00DF233D"/>
    <w:rsid w:val="00DF5881"/>
    <w:rsid w:val="00DF7BD7"/>
    <w:rsid w:val="00E0047C"/>
    <w:rsid w:val="00E01A0C"/>
    <w:rsid w:val="00E12234"/>
    <w:rsid w:val="00E14833"/>
    <w:rsid w:val="00E228FD"/>
    <w:rsid w:val="00E2499B"/>
    <w:rsid w:val="00E2585A"/>
    <w:rsid w:val="00E30C2E"/>
    <w:rsid w:val="00E409C1"/>
    <w:rsid w:val="00E4188C"/>
    <w:rsid w:val="00E4337B"/>
    <w:rsid w:val="00E45580"/>
    <w:rsid w:val="00E474E6"/>
    <w:rsid w:val="00E60688"/>
    <w:rsid w:val="00E87681"/>
    <w:rsid w:val="00E939E8"/>
    <w:rsid w:val="00EA2F0B"/>
    <w:rsid w:val="00EA3D82"/>
    <w:rsid w:val="00EB4A7B"/>
    <w:rsid w:val="00ED3B2D"/>
    <w:rsid w:val="00ED4876"/>
    <w:rsid w:val="00ED79A8"/>
    <w:rsid w:val="00EE63C2"/>
    <w:rsid w:val="00EF1031"/>
    <w:rsid w:val="00EF1325"/>
    <w:rsid w:val="00EF46F7"/>
    <w:rsid w:val="00F04235"/>
    <w:rsid w:val="00F0612C"/>
    <w:rsid w:val="00F16FD4"/>
    <w:rsid w:val="00F25C23"/>
    <w:rsid w:val="00F43D2C"/>
    <w:rsid w:val="00F46FB8"/>
    <w:rsid w:val="00F5130F"/>
    <w:rsid w:val="00F51956"/>
    <w:rsid w:val="00F573B5"/>
    <w:rsid w:val="00F577DE"/>
    <w:rsid w:val="00F601AF"/>
    <w:rsid w:val="00F74DF5"/>
    <w:rsid w:val="00F80236"/>
    <w:rsid w:val="00F83424"/>
    <w:rsid w:val="00F85D69"/>
    <w:rsid w:val="00F93B71"/>
    <w:rsid w:val="00F96ECC"/>
    <w:rsid w:val="00FA3491"/>
    <w:rsid w:val="00FB25C7"/>
    <w:rsid w:val="00FB2A24"/>
    <w:rsid w:val="00FB47A6"/>
    <w:rsid w:val="00FC09D4"/>
    <w:rsid w:val="00FC09FB"/>
    <w:rsid w:val="00FE213C"/>
    <w:rsid w:val="00FE6D02"/>
    <w:rsid w:val="00FF62D2"/>
    <w:rsid w:val="00FF69E0"/>
    <w:rsid w:val="06EB81C1"/>
    <w:rsid w:val="0B5D7FAC"/>
    <w:rsid w:val="0B956FC8"/>
    <w:rsid w:val="25292E7F"/>
    <w:rsid w:val="2D616FFF"/>
    <w:rsid w:val="4B2C2930"/>
    <w:rsid w:val="53DBE865"/>
    <w:rsid w:val="590C2262"/>
    <w:rsid w:val="64AA27FB"/>
    <w:rsid w:val="685B26F0"/>
    <w:rsid w:val="694318D7"/>
    <w:rsid w:val="7071AC95"/>
    <w:rsid w:val="73F0ACA0"/>
    <w:rsid w:val="75BB2946"/>
    <w:rsid w:val="7ABB559C"/>
    <w:rsid w:val="7B2F1815"/>
    <w:rsid w:val="7B824FC7"/>
    <w:rsid w:val="7B8C37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o:shapelayout v:ext="edit">
      <o:idmap v:ext="edit" data="1"/>
    </o:shapelayout>
  </w:shapeDefaults>
  <w:decimalSymbol w:val="."/>
  <w:listSeparator w:val=","/>
  <w14:docId w14:val="3D9B0D75"/>
  <w15:docId w15:val="{3616675B-4D74-4EB8-8D60-D4E0FDE62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022"/>
    <w:pPr>
      <w:spacing w:line="240" w:lineRule="exact"/>
    </w:pPr>
    <w:rPr>
      <w:rFonts w:ascii="Arial" w:hAnsi="Arial"/>
      <w:color w:val="000000"/>
      <w:sz w:val="18"/>
      <w:szCs w:val="24"/>
    </w:rPr>
  </w:style>
  <w:style w:type="paragraph" w:styleId="Heading1">
    <w:name w:val="heading 1"/>
    <w:basedOn w:val="Normal"/>
    <w:next w:val="Normal"/>
    <w:link w:val="Heading1Char"/>
    <w:qFormat/>
    <w:rsid w:val="003B5FD8"/>
    <w:pPr>
      <w:keepNext/>
      <w:outlineLvl w:val="0"/>
    </w:pPr>
    <w:rPr>
      <w:b/>
      <w:szCs w:val="20"/>
    </w:rPr>
  </w:style>
  <w:style w:type="paragraph" w:styleId="Heading2">
    <w:name w:val="heading 2"/>
    <w:basedOn w:val="Normal"/>
    <w:next w:val="Normal"/>
    <w:qFormat/>
    <w:rsid w:val="003B5FD8"/>
    <w:pPr>
      <w:keepNext/>
      <w:jc w:val="center"/>
      <w:outlineLvl w:val="1"/>
    </w:pPr>
    <w:rPr>
      <w:b/>
      <w:szCs w:val="20"/>
    </w:rPr>
  </w:style>
  <w:style w:type="paragraph" w:styleId="Heading3">
    <w:name w:val="heading 3"/>
    <w:basedOn w:val="Normal"/>
    <w:next w:val="Normal"/>
    <w:qFormat/>
    <w:rsid w:val="003B5FD8"/>
    <w:pPr>
      <w:keepNext/>
      <w:outlineLvl w:val="2"/>
    </w:pPr>
    <w:rPr>
      <w:b/>
      <w:sz w:val="22"/>
      <w:szCs w:val="20"/>
    </w:rPr>
  </w:style>
  <w:style w:type="paragraph" w:styleId="Heading4">
    <w:name w:val="heading 4"/>
    <w:basedOn w:val="Normal"/>
    <w:next w:val="Normal"/>
    <w:qFormat/>
    <w:rsid w:val="003B5FD8"/>
    <w:pPr>
      <w:keepNext/>
      <w:spacing w:line="200" w:lineRule="exact"/>
      <w:jc w:val="right"/>
      <w:outlineLvl w:val="3"/>
    </w:pPr>
    <w:rPr>
      <w:rFonts w:ascii="Arial Narrow" w:hAnsi="Arial Narrow"/>
      <w:b/>
      <w:bCs/>
    </w:rPr>
  </w:style>
  <w:style w:type="paragraph" w:styleId="Heading5">
    <w:name w:val="heading 5"/>
    <w:basedOn w:val="Normal"/>
    <w:next w:val="Normal"/>
    <w:qFormat/>
    <w:rsid w:val="00A94D41"/>
    <w:pPr>
      <w:keepNext/>
      <w:outlineLvl w:val="4"/>
    </w:pPr>
    <w:rPr>
      <w:rFonts w:cs="Arial"/>
      <w:b/>
      <w:bCs/>
      <w:i/>
      <w:iCs/>
    </w:rPr>
  </w:style>
  <w:style w:type="paragraph" w:styleId="Heading6">
    <w:name w:val="heading 6"/>
    <w:basedOn w:val="Normal"/>
    <w:next w:val="Normal"/>
    <w:link w:val="Heading6Char"/>
    <w:uiPriority w:val="9"/>
    <w:semiHidden/>
    <w:unhideWhenUsed/>
    <w:qFormat/>
    <w:rsid w:val="00FF69E0"/>
    <w:pPr>
      <w:keepNext/>
      <w:keepLines/>
      <w:spacing w:before="200"/>
      <w:outlineLvl w:val="5"/>
    </w:pPr>
    <w:rPr>
      <w:rFonts w:eastAsiaTheme="majorEastAsia" w:cstheme="majorBidi"/>
      <w:i/>
      <w:iCs/>
      <w:color w:val="486A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3B5FD8"/>
    <w:pPr>
      <w:jc w:val="both"/>
    </w:pPr>
    <w:rPr>
      <w:szCs w:val="20"/>
    </w:rPr>
  </w:style>
  <w:style w:type="paragraph" w:styleId="BodyText2">
    <w:name w:val="Body Text 2"/>
    <w:basedOn w:val="Normal"/>
    <w:semiHidden/>
    <w:rsid w:val="003B5FD8"/>
    <w:rPr>
      <w:b/>
      <w:szCs w:val="20"/>
    </w:rPr>
  </w:style>
  <w:style w:type="paragraph" w:styleId="Header">
    <w:name w:val="header"/>
    <w:basedOn w:val="Normal"/>
    <w:semiHidden/>
    <w:rsid w:val="003B5FD8"/>
    <w:pPr>
      <w:tabs>
        <w:tab w:val="center" w:pos="4320"/>
        <w:tab w:val="right" w:pos="8640"/>
      </w:tabs>
    </w:pPr>
    <w:rPr>
      <w:szCs w:val="20"/>
    </w:rPr>
  </w:style>
  <w:style w:type="character" w:styleId="Hyperlink">
    <w:name w:val="Hyperlink"/>
    <w:basedOn w:val="DefaultParagraphFont"/>
    <w:qFormat/>
    <w:rsid w:val="003B5FD8"/>
    <w:rPr>
      <w:color w:val="0000FF"/>
      <w:u w:val="single"/>
    </w:rPr>
  </w:style>
  <w:style w:type="paragraph" w:styleId="Footer">
    <w:name w:val="footer"/>
    <w:basedOn w:val="Normal"/>
    <w:semiHidden/>
    <w:rsid w:val="003B5FD8"/>
    <w:pPr>
      <w:tabs>
        <w:tab w:val="center" w:pos="4320"/>
        <w:tab w:val="right" w:pos="8640"/>
      </w:tabs>
    </w:pPr>
  </w:style>
  <w:style w:type="paragraph" w:customStyle="1" w:styleId="Bullet-ItalicIndent">
    <w:name w:val="Bullet - Italic Indent"/>
    <w:basedOn w:val="Normal"/>
    <w:rsid w:val="00FF69E0"/>
    <w:pPr>
      <w:numPr>
        <w:numId w:val="38"/>
      </w:numPr>
      <w:tabs>
        <w:tab w:val="left" w:pos="360"/>
        <w:tab w:val="left" w:pos="720"/>
        <w:tab w:val="left" w:pos="1080"/>
        <w:tab w:val="left" w:pos="1440"/>
        <w:tab w:val="left" w:pos="1800"/>
        <w:tab w:val="left" w:pos="2160"/>
        <w:tab w:val="left" w:pos="2520"/>
        <w:tab w:val="left" w:pos="2880"/>
        <w:tab w:val="left" w:pos="3240"/>
        <w:tab w:val="left" w:pos="3600"/>
      </w:tabs>
      <w:spacing w:after="120" w:line="214" w:lineRule="auto"/>
      <w:jc w:val="both"/>
    </w:pPr>
    <w:rPr>
      <w:noProof/>
      <w:sz w:val="22"/>
    </w:rPr>
  </w:style>
  <w:style w:type="paragraph" w:customStyle="1" w:styleId="P4">
    <w:name w:val="P4"/>
    <w:basedOn w:val="Normal"/>
    <w:rsid w:val="003B5FD8"/>
    <w:pPr>
      <w:tabs>
        <w:tab w:val="left" w:pos="360"/>
        <w:tab w:val="left" w:pos="720"/>
        <w:tab w:val="left" w:pos="1080"/>
        <w:tab w:val="left" w:pos="1440"/>
        <w:tab w:val="left" w:pos="1800"/>
        <w:tab w:val="left" w:pos="2160"/>
        <w:tab w:val="left" w:pos="2520"/>
        <w:tab w:val="left" w:pos="2880"/>
        <w:tab w:val="left" w:pos="3240"/>
        <w:tab w:val="center" w:pos="3600"/>
      </w:tabs>
      <w:spacing w:after="120"/>
      <w:ind w:left="360"/>
      <w:outlineLvl w:val="1"/>
    </w:pPr>
    <w:rPr>
      <w:noProof/>
      <w:sz w:val="22"/>
    </w:rPr>
  </w:style>
  <w:style w:type="paragraph" w:customStyle="1" w:styleId="ProposalText">
    <w:name w:val="Proposal Text"/>
    <w:basedOn w:val="Normal"/>
    <w:rsid w:val="003B5FD8"/>
    <w:pPr>
      <w:tabs>
        <w:tab w:val="left" w:pos="360"/>
        <w:tab w:val="left" w:pos="720"/>
        <w:tab w:val="left" w:pos="1080"/>
        <w:tab w:val="left" w:pos="1440"/>
        <w:tab w:val="left" w:pos="1800"/>
        <w:tab w:val="left" w:pos="2160"/>
        <w:tab w:val="left" w:pos="2520"/>
        <w:tab w:val="left" w:pos="2880"/>
        <w:tab w:val="left" w:pos="3240"/>
        <w:tab w:val="left" w:pos="3600"/>
      </w:tabs>
      <w:spacing w:after="120"/>
      <w:jc w:val="both"/>
    </w:pPr>
    <w:rPr>
      <w:sz w:val="22"/>
    </w:rPr>
  </w:style>
  <w:style w:type="paragraph" w:styleId="BodyTextIndent">
    <w:name w:val="Body Text Indent"/>
    <w:basedOn w:val="Normal"/>
    <w:semiHidden/>
    <w:rsid w:val="003B5FD8"/>
    <w:pPr>
      <w:spacing w:after="120"/>
      <w:ind w:left="360"/>
    </w:pPr>
  </w:style>
  <w:style w:type="paragraph" w:styleId="Salutation">
    <w:name w:val="Salutation"/>
    <w:basedOn w:val="Normal"/>
    <w:next w:val="Normal"/>
    <w:semiHidden/>
    <w:rsid w:val="003B5FD8"/>
    <w:pPr>
      <w:tabs>
        <w:tab w:val="left" w:pos="360"/>
        <w:tab w:val="left" w:pos="720"/>
        <w:tab w:val="left" w:pos="1080"/>
        <w:tab w:val="left" w:pos="1440"/>
        <w:tab w:val="left" w:pos="1800"/>
        <w:tab w:val="left" w:pos="2160"/>
        <w:tab w:val="left" w:pos="2520"/>
        <w:tab w:val="left" w:pos="2880"/>
        <w:tab w:val="left" w:pos="3240"/>
        <w:tab w:val="left" w:pos="3600"/>
      </w:tabs>
      <w:jc w:val="both"/>
    </w:pPr>
    <w:rPr>
      <w:rFonts w:ascii="Times New Roman" w:hAnsi="Times New Roman"/>
      <w:sz w:val="22"/>
      <w:szCs w:val="20"/>
    </w:rPr>
  </w:style>
  <w:style w:type="paragraph" w:styleId="Closing">
    <w:name w:val="Closing"/>
    <w:basedOn w:val="Normal"/>
    <w:semiHidden/>
    <w:rsid w:val="003B5FD8"/>
    <w:pPr>
      <w:tabs>
        <w:tab w:val="left" w:pos="360"/>
        <w:tab w:val="left" w:pos="720"/>
        <w:tab w:val="left" w:pos="1080"/>
        <w:tab w:val="left" w:pos="1440"/>
        <w:tab w:val="left" w:pos="1800"/>
        <w:tab w:val="left" w:pos="2160"/>
        <w:tab w:val="left" w:pos="2520"/>
        <w:tab w:val="left" w:pos="2880"/>
        <w:tab w:val="left" w:pos="3240"/>
        <w:tab w:val="left" w:pos="3600"/>
      </w:tabs>
      <w:ind w:left="4320"/>
      <w:jc w:val="both"/>
    </w:pPr>
    <w:rPr>
      <w:rFonts w:ascii="Times New Roman" w:hAnsi="Times New Roman"/>
      <w:sz w:val="22"/>
      <w:szCs w:val="20"/>
    </w:rPr>
  </w:style>
  <w:style w:type="paragraph" w:customStyle="1" w:styleId="InsideAddress">
    <w:name w:val="Inside Address"/>
    <w:basedOn w:val="Normal"/>
    <w:rsid w:val="00FF69E0"/>
    <w:pPr>
      <w:tabs>
        <w:tab w:val="left" w:pos="360"/>
        <w:tab w:val="left" w:pos="720"/>
        <w:tab w:val="left" w:pos="1080"/>
        <w:tab w:val="left" w:pos="1440"/>
        <w:tab w:val="left" w:pos="1800"/>
        <w:tab w:val="left" w:pos="2160"/>
        <w:tab w:val="left" w:pos="2520"/>
        <w:tab w:val="left" w:pos="2880"/>
        <w:tab w:val="left" w:pos="3240"/>
        <w:tab w:val="left" w:pos="3600"/>
      </w:tabs>
      <w:jc w:val="both"/>
    </w:pPr>
    <w:rPr>
      <w:sz w:val="22"/>
      <w:szCs w:val="20"/>
    </w:rPr>
  </w:style>
  <w:style w:type="paragraph" w:styleId="Signature">
    <w:name w:val="Signature"/>
    <w:basedOn w:val="Normal"/>
    <w:semiHidden/>
    <w:rsid w:val="003B5FD8"/>
    <w:pPr>
      <w:tabs>
        <w:tab w:val="left" w:pos="360"/>
        <w:tab w:val="left" w:pos="720"/>
        <w:tab w:val="left" w:pos="1080"/>
        <w:tab w:val="left" w:pos="1440"/>
        <w:tab w:val="left" w:pos="1800"/>
        <w:tab w:val="left" w:pos="2160"/>
        <w:tab w:val="left" w:pos="2520"/>
        <w:tab w:val="left" w:pos="2880"/>
        <w:tab w:val="left" w:pos="3240"/>
        <w:tab w:val="left" w:pos="3600"/>
      </w:tabs>
      <w:ind w:left="4320"/>
      <w:jc w:val="both"/>
    </w:pPr>
    <w:rPr>
      <w:rFonts w:ascii="Times New Roman" w:hAnsi="Times New Roman"/>
      <w:sz w:val="22"/>
      <w:szCs w:val="20"/>
    </w:rPr>
  </w:style>
  <w:style w:type="paragraph" w:customStyle="1" w:styleId="ReferenceLine">
    <w:name w:val="Reference Line"/>
    <w:basedOn w:val="BodyText"/>
    <w:rsid w:val="00FF69E0"/>
    <w:pPr>
      <w:ind w:right="-630"/>
      <w:jc w:val="left"/>
    </w:pPr>
    <w:rPr>
      <w:sz w:val="24"/>
    </w:rPr>
  </w:style>
  <w:style w:type="paragraph" w:customStyle="1" w:styleId="MemoFrame">
    <w:name w:val="Memo Frame"/>
    <w:basedOn w:val="Normal"/>
    <w:rsid w:val="00A94D41"/>
    <w:rPr>
      <w:b/>
      <w:sz w:val="20"/>
    </w:rPr>
  </w:style>
  <w:style w:type="paragraph" w:styleId="BalloonText">
    <w:name w:val="Balloon Text"/>
    <w:basedOn w:val="Normal"/>
    <w:link w:val="BalloonTextChar"/>
    <w:uiPriority w:val="99"/>
    <w:semiHidden/>
    <w:unhideWhenUsed/>
    <w:rsid w:val="00A94D41"/>
    <w:pPr>
      <w:spacing w:line="240" w:lineRule="auto"/>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A94D41"/>
    <w:rPr>
      <w:rFonts w:ascii="Lucida Grande" w:hAnsi="Lucida Grande" w:cs="Lucida Grande"/>
      <w:sz w:val="18"/>
      <w:szCs w:val="18"/>
    </w:rPr>
  </w:style>
  <w:style w:type="character" w:customStyle="1" w:styleId="Heading6Char">
    <w:name w:val="Heading 6 Char"/>
    <w:basedOn w:val="DefaultParagraphFont"/>
    <w:link w:val="Heading6"/>
    <w:uiPriority w:val="9"/>
    <w:semiHidden/>
    <w:rsid w:val="00FF69E0"/>
    <w:rPr>
      <w:rFonts w:ascii="Arial" w:eastAsiaTheme="majorEastAsia" w:hAnsi="Arial" w:cstheme="majorBidi"/>
      <w:i/>
      <w:iCs/>
      <w:color w:val="486A00" w:themeColor="accent1" w:themeShade="7F"/>
      <w:sz w:val="18"/>
      <w:szCs w:val="24"/>
    </w:rPr>
  </w:style>
  <w:style w:type="paragraph" w:customStyle="1" w:styleId="MemorandumHeader">
    <w:name w:val="Memorandum Header"/>
    <w:basedOn w:val="Heading5"/>
    <w:autoRedefine/>
    <w:qFormat/>
    <w:rsid w:val="00632022"/>
    <w:pPr>
      <w:spacing w:line="200" w:lineRule="exact"/>
      <w:ind w:hanging="270"/>
    </w:pPr>
    <w:rPr>
      <w:i w:val="0"/>
      <w:iCs w:val="0"/>
      <w:sz w:val="22"/>
      <w:szCs w:val="22"/>
    </w:rPr>
  </w:style>
  <w:style w:type="paragraph" w:customStyle="1" w:styleId="FooterAddress">
    <w:name w:val="Footer Address"/>
    <w:basedOn w:val="Normal"/>
    <w:autoRedefine/>
    <w:qFormat/>
    <w:rsid w:val="00632022"/>
    <w:rPr>
      <w:rFonts w:cs="Arial"/>
      <w:sz w:val="16"/>
    </w:rPr>
  </w:style>
  <w:style w:type="paragraph" w:customStyle="1" w:styleId="StyleMemoFrameLeft-018cm">
    <w:name w:val="Style Memo Frame + Left:  -0.18 cm"/>
    <w:basedOn w:val="MemoFrame"/>
    <w:rsid w:val="00632022"/>
    <w:pPr>
      <w:ind w:left="-101"/>
    </w:pPr>
    <w:rPr>
      <w:bCs/>
      <w:szCs w:val="20"/>
    </w:rPr>
  </w:style>
  <w:style w:type="character" w:customStyle="1" w:styleId="Heading1Char">
    <w:name w:val="Heading 1 Char"/>
    <w:basedOn w:val="DefaultParagraphFont"/>
    <w:link w:val="Heading1"/>
    <w:rsid w:val="00062AAB"/>
    <w:rPr>
      <w:rFonts w:ascii="Arial" w:hAnsi="Arial"/>
      <w:b/>
      <w:color w:val="000000"/>
      <w:sz w:val="18"/>
    </w:rPr>
  </w:style>
  <w:style w:type="table" w:customStyle="1" w:styleId="EnergyTable">
    <w:name w:val="Energy Table"/>
    <w:basedOn w:val="TableNormal"/>
    <w:uiPriority w:val="99"/>
    <w:qFormat/>
    <w:rsid w:val="00E409C1"/>
    <w:pPr>
      <w:spacing w:before="40" w:after="40"/>
      <w:jc w:val="center"/>
    </w:pPr>
    <w:rPr>
      <w:rFonts w:ascii="Arial" w:hAnsi="Arial"/>
    </w:rPr>
    <w:tblPr>
      <w:tblStyleRowBandSize w:val="1"/>
      <w:jc w:val="center"/>
      <w:tblBorders>
        <w:bottom w:val="single" w:sz="8" w:space="0" w:color="53575A" w:themeColor="text2"/>
        <w:insideH w:val="single" w:sz="4" w:space="0" w:color="DBDDDE"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3D500" w:themeColor="accent1"/>
          <w:right w:val="nil"/>
          <w:insideH w:val="nil"/>
          <w:insideV w:val="nil"/>
          <w:tl2br w:val="nil"/>
          <w:tr2bl w:val="nil"/>
        </w:tcBorders>
        <w:shd w:val="clear" w:color="auto" w:fill="53575A" w:themeFill="text2"/>
      </w:tcPr>
    </w:tblStylePr>
    <w:tblStylePr w:type="lastRow">
      <w:pPr>
        <w:jc w:val="center"/>
      </w:pPr>
      <w:rPr>
        <w:rFonts w:ascii="Consolas" w:hAnsi="Consolas"/>
        <w:b/>
      </w:rPr>
      <w:tblPr/>
      <w:tcPr>
        <w:tcBorders>
          <w:top w:val="double" w:sz="4" w:space="0" w:color="545759"/>
          <w:bottom w:val="single" w:sz="4" w:space="0" w:color="545759"/>
        </w:tcBorders>
      </w:tcPr>
    </w:tblStylePr>
    <w:tblStylePr w:type="firstCol">
      <w:rPr>
        <w:rFonts w:ascii="Ottawa" w:hAnsi="Ottawa"/>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paragraph" w:styleId="FootnoteText">
    <w:name w:val="footnote text"/>
    <w:basedOn w:val="Normal"/>
    <w:link w:val="FootnoteTextChar"/>
    <w:uiPriority w:val="99"/>
    <w:unhideWhenUsed/>
    <w:rsid w:val="00E409C1"/>
    <w:pPr>
      <w:spacing w:line="240" w:lineRule="auto"/>
    </w:pPr>
    <w:rPr>
      <w:sz w:val="20"/>
      <w:szCs w:val="20"/>
    </w:rPr>
  </w:style>
  <w:style w:type="character" w:customStyle="1" w:styleId="FootnoteTextChar">
    <w:name w:val="Footnote Text Char"/>
    <w:basedOn w:val="DefaultParagraphFont"/>
    <w:link w:val="FootnoteText"/>
    <w:uiPriority w:val="99"/>
    <w:rsid w:val="00E409C1"/>
    <w:rPr>
      <w:rFonts w:ascii="Arial" w:hAnsi="Arial"/>
      <w:color w:val="000000"/>
    </w:rPr>
  </w:style>
  <w:style w:type="character" w:styleId="FootnoteReference">
    <w:name w:val="footnote reference"/>
    <w:aliases w:val="Footnote_Reference"/>
    <w:basedOn w:val="DefaultParagraphFont"/>
    <w:uiPriority w:val="99"/>
    <w:unhideWhenUsed/>
    <w:rsid w:val="00E409C1"/>
    <w:rPr>
      <w:vertAlign w:val="superscript"/>
    </w:rPr>
  </w:style>
  <w:style w:type="character" w:styleId="UnresolvedMention">
    <w:name w:val="Unresolved Mention"/>
    <w:basedOn w:val="DefaultParagraphFont"/>
    <w:uiPriority w:val="99"/>
    <w:unhideWhenUsed/>
    <w:rsid w:val="00E409C1"/>
    <w:rPr>
      <w:color w:val="605E5C"/>
      <w:shd w:val="clear" w:color="auto" w:fill="E1DFDD"/>
    </w:rPr>
  </w:style>
  <w:style w:type="paragraph" w:styleId="ListParagraph">
    <w:name w:val="List Paragraph"/>
    <w:basedOn w:val="Normal"/>
    <w:link w:val="ListParagraphChar"/>
    <w:uiPriority w:val="34"/>
    <w:qFormat/>
    <w:rsid w:val="00E409C1"/>
    <w:pPr>
      <w:ind w:left="720"/>
      <w:contextualSpacing/>
    </w:pPr>
  </w:style>
  <w:style w:type="paragraph" w:styleId="Caption">
    <w:name w:val="caption"/>
    <w:basedOn w:val="Normal"/>
    <w:next w:val="Normal"/>
    <w:link w:val="CaptionChar"/>
    <w:uiPriority w:val="35"/>
    <w:unhideWhenUsed/>
    <w:qFormat/>
    <w:rsid w:val="00E30C2E"/>
    <w:pPr>
      <w:spacing w:after="200" w:line="240" w:lineRule="auto"/>
    </w:pPr>
    <w:rPr>
      <w:i/>
      <w:iCs/>
      <w:color w:val="53575A" w:themeColor="text2"/>
      <w:szCs w:val="18"/>
    </w:rPr>
  </w:style>
  <w:style w:type="character" w:styleId="IntenseReference">
    <w:name w:val="Intense Reference"/>
    <w:basedOn w:val="DefaultParagraphFont"/>
    <w:uiPriority w:val="32"/>
    <w:qFormat/>
    <w:rsid w:val="00E30C2E"/>
    <w:rPr>
      <w:b/>
      <w:bCs/>
      <w:smallCaps/>
      <w:color w:val="93D500" w:themeColor="accent1"/>
      <w:spacing w:val="5"/>
    </w:rPr>
  </w:style>
  <w:style w:type="character" w:customStyle="1" w:styleId="CaptionChar">
    <w:name w:val="Caption Char"/>
    <w:basedOn w:val="DefaultParagraphFont"/>
    <w:link w:val="Caption"/>
    <w:uiPriority w:val="35"/>
    <w:rsid w:val="00E30C2E"/>
    <w:rPr>
      <w:rFonts w:ascii="Arial" w:hAnsi="Arial"/>
      <w:i/>
      <w:iCs/>
      <w:color w:val="53575A" w:themeColor="text2"/>
      <w:sz w:val="18"/>
      <w:szCs w:val="18"/>
    </w:rPr>
  </w:style>
  <w:style w:type="character" w:styleId="CommentReference">
    <w:name w:val="annotation reference"/>
    <w:basedOn w:val="DefaultParagraphFont"/>
    <w:uiPriority w:val="99"/>
    <w:semiHidden/>
    <w:unhideWhenUsed/>
    <w:rsid w:val="008F05EC"/>
    <w:rPr>
      <w:sz w:val="16"/>
      <w:szCs w:val="16"/>
    </w:rPr>
  </w:style>
  <w:style w:type="paragraph" w:styleId="CommentText">
    <w:name w:val="annotation text"/>
    <w:basedOn w:val="Normal"/>
    <w:link w:val="CommentTextChar"/>
    <w:uiPriority w:val="99"/>
    <w:semiHidden/>
    <w:unhideWhenUsed/>
    <w:rsid w:val="008F05EC"/>
    <w:pPr>
      <w:spacing w:line="240" w:lineRule="auto"/>
    </w:pPr>
    <w:rPr>
      <w:sz w:val="20"/>
      <w:szCs w:val="20"/>
    </w:rPr>
  </w:style>
  <w:style w:type="character" w:customStyle="1" w:styleId="CommentTextChar">
    <w:name w:val="Comment Text Char"/>
    <w:basedOn w:val="DefaultParagraphFont"/>
    <w:link w:val="CommentText"/>
    <w:uiPriority w:val="99"/>
    <w:semiHidden/>
    <w:rsid w:val="008F05EC"/>
    <w:rPr>
      <w:rFonts w:ascii="Arial" w:hAnsi="Arial"/>
      <w:color w:val="000000"/>
    </w:rPr>
  </w:style>
  <w:style w:type="character" w:customStyle="1" w:styleId="ListParagraphChar">
    <w:name w:val="List Paragraph Char"/>
    <w:basedOn w:val="DefaultParagraphFont"/>
    <w:link w:val="ListParagraph"/>
    <w:uiPriority w:val="34"/>
    <w:locked/>
    <w:rsid w:val="004B068E"/>
    <w:rPr>
      <w:rFonts w:ascii="Arial" w:hAnsi="Arial"/>
      <w:color w:val="000000"/>
      <w:sz w:val="18"/>
      <w:szCs w:val="24"/>
    </w:rPr>
  </w:style>
  <w:style w:type="paragraph" w:styleId="CommentSubject">
    <w:name w:val="annotation subject"/>
    <w:basedOn w:val="CommentText"/>
    <w:next w:val="CommentText"/>
    <w:link w:val="CommentSubjectChar"/>
    <w:uiPriority w:val="99"/>
    <w:semiHidden/>
    <w:unhideWhenUsed/>
    <w:rsid w:val="00437E75"/>
    <w:rPr>
      <w:b/>
      <w:bCs/>
    </w:rPr>
  </w:style>
  <w:style w:type="character" w:customStyle="1" w:styleId="CommentSubjectChar">
    <w:name w:val="Comment Subject Char"/>
    <w:basedOn w:val="CommentTextChar"/>
    <w:link w:val="CommentSubject"/>
    <w:uiPriority w:val="99"/>
    <w:semiHidden/>
    <w:rsid w:val="00437E75"/>
    <w:rPr>
      <w:rFonts w:ascii="Arial" w:hAnsi="Arial"/>
      <w:b/>
      <w:bCs/>
      <w:color w:val="000000"/>
    </w:rPr>
  </w:style>
  <w:style w:type="paragraph" w:customStyle="1" w:styleId="Source">
    <w:name w:val="Source"/>
    <w:basedOn w:val="Normal"/>
    <w:link w:val="SourceChar"/>
    <w:qFormat/>
    <w:rsid w:val="00DA1565"/>
    <w:pPr>
      <w:spacing w:line="240" w:lineRule="auto"/>
    </w:pPr>
    <w:rPr>
      <w:rFonts w:eastAsiaTheme="minorHAnsi" w:cstheme="minorBidi"/>
      <w:i/>
      <w:color w:val="auto"/>
      <w:sz w:val="16"/>
      <w:szCs w:val="20"/>
    </w:rPr>
  </w:style>
  <w:style w:type="character" w:customStyle="1" w:styleId="SourceChar">
    <w:name w:val="Source Char"/>
    <w:basedOn w:val="DefaultParagraphFont"/>
    <w:link w:val="Source"/>
    <w:rsid w:val="00DA1565"/>
    <w:rPr>
      <w:rFonts w:ascii="Arial" w:eastAsiaTheme="minorHAnsi" w:hAnsi="Arial" w:cstheme="minorBidi"/>
      <w:i/>
      <w:sz w:val="16"/>
    </w:rPr>
  </w:style>
  <w:style w:type="paragraph" w:styleId="ListBullet">
    <w:name w:val="List Bullet"/>
    <w:aliases w:val="Bullets"/>
    <w:basedOn w:val="Normal"/>
    <w:uiPriority w:val="4"/>
    <w:qFormat/>
    <w:rsid w:val="00C404B6"/>
    <w:pPr>
      <w:numPr>
        <w:numId w:val="40"/>
      </w:numPr>
      <w:spacing w:line="240" w:lineRule="auto"/>
      <w:contextualSpacing/>
    </w:pPr>
    <w:rPr>
      <w:rFonts w:ascii="Times New Roman" w:hAnsi="Times New Roman"/>
      <w:color w:val="auto"/>
      <w:sz w:val="24"/>
      <w:szCs w:val="20"/>
    </w:rPr>
  </w:style>
  <w:style w:type="character" w:styleId="FollowedHyperlink">
    <w:name w:val="FollowedHyperlink"/>
    <w:basedOn w:val="DefaultParagraphFont"/>
    <w:uiPriority w:val="99"/>
    <w:semiHidden/>
    <w:unhideWhenUsed/>
    <w:rsid w:val="0042473E"/>
    <w:rPr>
      <w:color w:val="638C1C" w:themeColor="followedHyperlink"/>
      <w:u w:val="single"/>
    </w:rPr>
  </w:style>
  <w:style w:type="paragraph" w:styleId="Revision">
    <w:name w:val="Revision"/>
    <w:hidden/>
    <w:uiPriority w:val="99"/>
    <w:semiHidden/>
    <w:rsid w:val="00F5130F"/>
    <w:rPr>
      <w:rFonts w:ascii="Arial" w:hAnsi="Arial"/>
      <w:color w:val="000000"/>
      <w:sz w:val="18"/>
      <w:szCs w:val="24"/>
    </w:rPr>
  </w:style>
  <w:style w:type="character" w:styleId="Mention">
    <w:name w:val="Mention"/>
    <w:basedOn w:val="DefaultParagraphFont"/>
    <w:uiPriority w:val="99"/>
    <w:unhideWhenUsed/>
    <w:rsid w:val="00CD230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864335">
      <w:bodyDiv w:val="1"/>
      <w:marLeft w:val="0"/>
      <w:marRight w:val="0"/>
      <w:marTop w:val="0"/>
      <w:marBottom w:val="0"/>
      <w:divBdr>
        <w:top w:val="none" w:sz="0" w:space="0" w:color="auto"/>
        <w:left w:val="none" w:sz="0" w:space="0" w:color="auto"/>
        <w:bottom w:val="none" w:sz="0" w:space="0" w:color="auto"/>
        <w:right w:val="none" w:sz="0" w:space="0" w:color="auto"/>
      </w:divBdr>
    </w:div>
    <w:div w:id="41246356">
      <w:bodyDiv w:val="1"/>
      <w:marLeft w:val="0"/>
      <w:marRight w:val="0"/>
      <w:marTop w:val="0"/>
      <w:marBottom w:val="0"/>
      <w:divBdr>
        <w:top w:val="none" w:sz="0" w:space="0" w:color="auto"/>
        <w:left w:val="none" w:sz="0" w:space="0" w:color="auto"/>
        <w:bottom w:val="none" w:sz="0" w:space="0" w:color="auto"/>
        <w:right w:val="none" w:sz="0" w:space="0" w:color="auto"/>
      </w:divBdr>
    </w:div>
    <w:div w:id="184177637">
      <w:bodyDiv w:val="1"/>
      <w:marLeft w:val="0"/>
      <w:marRight w:val="0"/>
      <w:marTop w:val="0"/>
      <w:marBottom w:val="0"/>
      <w:divBdr>
        <w:top w:val="none" w:sz="0" w:space="0" w:color="auto"/>
        <w:left w:val="none" w:sz="0" w:space="0" w:color="auto"/>
        <w:bottom w:val="none" w:sz="0" w:space="0" w:color="auto"/>
        <w:right w:val="none" w:sz="0" w:space="0" w:color="auto"/>
      </w:divBdr>
    </w:div>
    <w:div w:id="191962382">
      <w:bodyDiv w:val="1"/>
      <w:marLeft w:val="0"/>
      <w:marRight w:val="0"/>
      <w:marTop w:val="0"/>
      <w:marBottom w:val="0"/>
      <w:divBdr>
        <w:top w:val="none" w:sz="0" w:space="0" w:color="auto"/>
        <w:left w:val="none" w:sz="0" w:space="0" w:color="auto"/>
        <w:bottom w:val="none" w:sz="0" w:space="0" w:color="auto"/>
        <w:right w:val="none" w:sz="0" w:space="0" w:color="auto"/>
      </w:divBdr>
    </w:div>
    <w:div w:id="195894736">
      <w:bodyDiv w:val="1"/>
      <w:marLeft w:val="0"/>
      <w:marRight w:val="0"/>
      <w:marTop w:val="0"/>
      <w:marBottom w:val="0"/>
      <w:divBdr>
        <w:top w:val="none" w:sz="0" w:space="0" w:color="auto"/>
        <w:left w:val="none" w:sz="0" w:space="0" w:color="auto"/>
        <w:bottom w:val="none" w:sz="0" w:space="0" w:color="auto"/>
        <w:right w:val="none" w:sz="0" w:space="0" w:color="auto"/>
      </w:divBdr>
    </w:div>
    <w:div w:id="234050392">
      <w:bodyDiv w:val="1"/>
      <w:marLeft w:val="0"/>
      <w:marRight w:val="0"/>
      <w:marTop w:val="0"/>
      <w:marBottom w:val="0"/>
      <w:divBdr>
        <w:top w:val="none" w:sz="0" w:space="0" w:color="auto"/>
        <w:left w:val="none" w:sz="0" w:space="0" w:color="auto"/>
        <w:bottom w:val="none" w:sz="0" w:space="0" w:color="auto"/>
        <w:right w:val="none" w:sz="0" w:space="0" w:color="auto"/>
      </w:divBdr>
    </w:div>
    <w:div w:id="249584017">
      <w:bodyDiv w:val="1"/>
      <w:marLeft w:val="0"/>
      <w:marRight w:val="0"/>
      <w:marTop w:val="0"/>
      <w:marBottom w:val="0"/>
      <w:divBdr>
        <w:top w:val="none" w:sz="0" w:space="0" w:color="auto"/>
        <w:left w:val="none" w:sz="0" w:space="0" w:color="auto"/>
        <w:bottom w:val="none" w:sz="0" w:space="0" w:color="auto"/>
        <w:right w:val="none" w:sz="0" w:space="0" w:color="auto"/>
      </w:divBdr>
    </w:div>
    <w:div w:id="295452110">
      <w:bodyDiv w:val="1"/>
      <w:marLeft w:val="0"/>
      <w:marRight w:val="0"/>
      <w:marTop w:val="0"/>
      <w:marBottom w:val="0"/>
      <w:divBdr>
        <w:top w:val="none" w:sz="0" w:space="0" w:color="auto"/>
        <w:left w:val="none" w:sz="0" w:space="0" w:color="auto"/>
        <w:bottom w:val="none" w:sz="0" w:space="0" w:color="auto"/>
        <w:right w:val="none" w:sz="0" w:space="0" w:color="auto"/>
      </w:divBdr>
    </w:div>
    <w:div w:id="338428486">
      <w:bodyDiv w:val="1"/>
      <w:marLeft w:val="0"/>
      <w:marRight w:val="0"/>
      <w:marTop w:val="0"/>
      <w:marBottom w:val="0"/>
      <w:divBdr>
        <w:top w:val="none" w:sz="0" w:space="0" w:color="auto"/>
        <w:left w:val="none" w:sz="0" w:space="0" w:color="auto"/>
        <w:bottom w:val="none" w:sz="0" w:space="0" w:color="auto"/>
        <w:right w:val="none" w:sz="0" w:space="0" w:color="auto"/>
      </w:divBdr>
    </w:div>
    <w:div w:id="410851844">
      <w:bodyDiv w:val="1"/>
      <w:marLeft w:val="0"/>
      <w:marRight w:val="0"/>
      <w:marTop w:val="0"/>
      <w:marBottom w:val="0"/>
      <w:divBdr>
        <w:top w:val="none" w:sz="0" w:space="0" w:color="auto"/>
        <w:left w:val="none" w:sz="0" w:space="0" w:color="auto"/>
        <w:bottom w:val="none" w:sz="0" w:space="0" w:color="auto"/>
        <w:right w:val="none" w:sz="0" w:space="0" w:color="auto"/>
      </w:divBdr>
    </w:div>
    <w:div w:id="468667424">
      <w:bodyDiv w:val="1"/>
      <w:marLeft w:val="0"/>
      <w:marRight w:val="0"/>
      <w:marTop w:val="0"/>
      <w:marBottom w:val="0"/>
      <w:divBdr>
        <w:top w:val="none" w:sz="0" w:space="0" w:color="auto"/>
        <w:left w:val="none" w:sz="0" w:space="0" w:color="auto"/>
        <w:bottom w:val="none" w:sz="0" w:space="0" w:color="auto"/>
        <w:right w:val="none" w:sz="0" w:space="0" w:color="auto"/>
      </w:divBdr>
    </w:div>
    <w:div w:id="687410250">
      <w:bodyDiv w:val="1"/>
      <w:marLeft w:val="0"/>
      <w:marRight w:val="0"/>
      <w:marTop w:val="0"/>
      <w:marBottom w:val="0"/>
      <w:divBdr>
        <w:top w:val="none" w:sz="0" w:space="0" w:color="auto"/>
        <w:left w:val="none" w:sz="0" w:space="0" w:color="auto"/>
        <w:bottom w:val="none" w:sz="0" w:space="0" w:color="auto"/>
        <w:right w:val="none" w:sz="0" w:space="0" w:color="auto"/>
      </w:divBdr>
    </w:div>
    <w:div w:id="766971950">
      <w:bodyDiv w:val="1"/>
      <w:marLeft w:val="0"/>
      <w:marRight w:val="0"/>
      <w:marTop w:val="0"/>
      <w:marBottom w:val="0"/>
      <w:divBdr>
        <w:top w:val="none" w:sz="0" w:space="0" w:color="auto"/>
        <w:left w:val="none" w:sz="0" w:space="0" w:color="auto"/>
        <w:bottom w:val="none" w:sz="0" w:space="0" w:color="auto"/>
        <w:right w:val="none" w:sz="0" w:space="0" w:color="auto"/>
      </w:divBdr>
    </w:div>
    <w:div w:id="802430752">
      <w:bodyDiv w:val="1"/>
      <w:marLeft w:val="0"/>
      <w:marRight w:val="0"/>
      <w:marTop w:val="0"/>
      <w:marBottom w:val="0"/>
      <w:divBdr>
        <w:top w:val="none" w:sz="0" w:space="0" w:color="auto"/>
        <w:left w:val="none" w:sz="0" w:space="0" w:color="auto"/>
        <w:bottom w:val="none" w:sz="0" w:space="0" w:color="auto"/>
        <w:right w:val="none" w:sz="0" w:space="0" w:color="auto"/>
      </w:divBdr>
    </w:div>
    <w:div w:id="919366435">
      <w:bodyDiv w:val="1"/>
      <w:marLeft w:val="0"/>
      <w:marRight w:val="0"/>
      <w:marTop w:val="0"/>
      <w:marBottom w:val="0"/>
      <w:divBdr>
        <w:top w:val="none" w:sz="0" w:space="0" w:color="auto"/>
        <w:left w:val="none" w:sz="0" w:space="0" w:color="auto"/>
        <w:bottom w:val="none" w:sz="0" w:space="0" w:color="auto"/>
        <w:right w:val="none" w:sz="0" w:space="0" w:color="auto"/>
      </w:divBdr>
    </w:div>
    <w:div w:id="971255155">
      <w:bodyDiv w:val="1"/>
      <w:marLeft w:val="0"/>
      <w:marRight w:val="0"/>
      <w:marTop w:val="0"/>
      <w:marBottom w:val="0"/>
      <w:divBdr>
        <w:top w:val="none" w:sz="0" w:space="0" w:color="auto"/>
        <w:left w:val="none" w:sz="0" w:space="0" w:color="auto"/>
        <w:bottom w:val="none" w:sz="0" w:space="0" w:color="auto"/>
        <w:right w:val="none" w:sz="0" w:space="0" w:color="auto"/>
      </w:divBdr>
    </w:div>
    <w:div w:id="1050229527">
      <w:bodyDiv w:val="1"/>
      <w:marLeft w:val="0"/>
      <w:marRight w:val="0"/>
      <w:marTop w:val="0"/>
      <w:marBottom w:val="0"/>
      <w:divBdr>
        <w:top w:val="none" w:sz="0" w:space="0" w:color="auto"/>
        <w:left w:val="none" w:sz="0" w:space="0" w:color="auto"/>
        <w:bottom w:val="none" w:sz="0" w:space="0" w:color="auto"/>
        <w:right w:val="none" w:sz="0" w:space="0" w:color="auto"/>
      </w:divBdr>
    </w:div>
    <w:div w:id="1090781710">
      <w:bodyDiv w:val="1"/>
      <w:marLeft w:val="0"/>
      <w:marRight w:val="0"/>
      <w:marTop w:val="0"/>
      <w:marBottom w:val="0"/>
      <w:divBdr>
        <w:top w:val="none" w:sz="0" w:space="0" w:color="auto"/>
        <w:left w:val="none" w:sz="0" w:space="0" w:color="auto"/>
        <w:bottom w:val="none" w:sz="0" w:space="0" w:color="auto"/>
        <w:right w:val="none" w:sz="0" w:space="0" w:color="auto"/>
      </w:divBdr>
    </w:div>
    <w:div w:id="1148476689">
      <w:bodyDiv w:val="1"/>
      <w:marLeft w:val="0"/>
      <w:marRight w:val="0"/>
      <w:marTop w:val="0"/>
      <w:marBottom w:val="0"/>
      <w:divBdr>
        <w:top w:val="none" w:sz="0" w:space="0" w:color="auto"/>
        <w:left w:val="none" w:sz="0" w:space="0" w:color="auto"/>
        <w:bottom w:val="none" w:sz="0" w:space="0" w:color="auto"/>
        <w:right w:val="none" w:sz="0" w:space="0" w:color="auto"/>
      </w:divBdr>
    </w:div>
    <w:div w:id="1294948865">
      <w:bodyDiv w:val="1"/>
      <w:marLeft w:val="0"/>
      <w:marRight w:val="0"/>
      <w:marTop w:val="0"/>
      <w:marBottom w:val="0"/>
      <w:divBdr>
        <w:top w:val="none" w:sz="0" w:space="0" w:color="auto"/>
        <w:left w:val="none" w:sz="0" w:space="0" w:color="auto"/>
        <w:bottom w:val="none" w:sz="0" w:space="0" w:color="auto"/>
        <w:right w:val="none" w:sz="0" w:space="0" w:color="auto"/>
      </w:divBdr>
    </w:div>
    <w:div w:id="1364552506">
      <w:bodyDiv w:val="1"/>
      <w:marLeft w:val="0"/>
      <w:marRight w:val="0"/>
      <w:marTop w:val="0"/>
      <w:marBottom w:val="0"/>
      <w:divBdr>
        <w:top w:val="none" w:sz="0" w:space="0" w:color="auto"/>
        <w:left w:val="none" w:sz="0" w:space="0" w:color="auto"/>
        <w:bottom w:val="none" w:sz="0" w:space="0" w:color="auto"/>
        <w:right w:val="none" w:sz="0" w:space="0" w:color="auto"/>
      </w:divBdr>
    </w:div>
    <w:div w:id="1384673874">
      <w:bodyDiv w:val="1"/>
      <w:marLeft w:val="0"/>
      <w:marRight w:val="0"/>
      <w:marTop w:val="0"/>
      <w:marBottom w:val="0"/>
      <w:divBdr>
        <w:top w:val="none" w:sz="0" w:space="0" w:color="auto"/>
        <w:left w:val="none" w:sz="0" w:space="0" w:color="auto"/>
        <w:bottom w:val="none" w:sz="0" w:space="0" w:color="auto"/>
        <w:right w:val="none" w:sz="0" w:space="0" w:color="auto"/>
      </w:divBdr>
    </w:div>
    <w:div w:id="1658724009">
      <w:bodyDiv w:val="1"/>
      <w:marLeft w:val="0"/>
      <w:marRight w:val="0"/>
      <w:marTop w:val="0"/>
      <w:marBottom w:val="0"/>
      <w:divBdr>
        <w:top w:val="none" w:sz="0" w:space="0" w:color="auto"/>
        <w:left w:val="none" w:sz="0" w:space="0" w:color="auto"/>
        <w:bottom w:val="none" w:sz="0" w:space="0" w:color="auto"/>
        <w:right w:val="none" w:sz="0" w:space="0" w:color="auto"/>
      </w:divBdr>
    </w:div>
    <w:div w:id="1800420196">
      <w:bodyDiv w:val="1"/>
      <w:marLeft w:val="0"/>
      <w:marRight w:val="0"/>
      <w:marTop w:val="0"/>
      <w:marBottom w:val="0"/>
      <w:divBdr>
        <w:top w:val="none" w:sz="0" w:space="0" w:color="auto"/>
        <w:left w:val="none" w:sz="0" w:space="0" w:color="auto"/>
        <w:bottom w:val="none" w:sz="0" w:space="0" w:color="auto"/>
        <w:right w:val="none" w:sz="0" w:space="0" w:color="auto"/>
      </w:divBdr>
    </w:div>
    <w:div w:id="1951890551">
      <w:bodyDiv w:val="1"/>
      <w:marLeft w:val="0"/>
      <w:marRight w:val="0"/>
      <w:marTop w:val="0"/>
      <w:marBottom w:val="0"/>
      <w:divBdr>
        <w:top w:val="none" w:sz="0" w:space="0" w:color="auto"/>
        <w:left w:val="none" w:sz="0" w:space="0" w:color="auto"/>
        <w:bottom w:val="none" w:sz="0" w:space="0" w:color="auto"/>
        <w:right w:val="none" w:sz="0" w:space="0" w:color="auto"/>
      </w:divBdr>
    </w:div>
    <w:div w:id="2040279884">
      <w:bodyDiv w:val="1"/>
      <w:marLeft w:val="0"/>
      <w:marRight w:val="0"/>
      <w:marTop w:val="0"/>
      <w:marBottom w:val="0"/>
      <w:divBdr>
        <w:top w:val="none" w:sz="0" w:space="0" w:color="auto"/>
        <w:left w:val="none" w:sz="0" w:space="0" w:color="auto"/>
        <w:bottom w:val="none" w:sz="0" w:space="0" w:color="auto"/>
        <w:right w:val="none" w:sz="0" w:space="0" w:color="auto"/>
      </w:divBdr>
    </w:div>
    <w:div w:id="2058777613">
      <w:bodyDiv w:val="1"/>
      <w:marLeft w:val="0"/>
      <w:marRight w:val="0"/>
      <w:marTop w:val="0"/>
      <w:marBottom w:val="0"/>
      <w:divBdr>
        <w:top w:val="none" w:sz="0" w:space="0" w:color="auto"/>
        <w:left w:val="none" w:sz="0" w:space="0" w:color="auto"/>
        <w:bottom w:val="none" w:sz="0" w:space="0" w:color="auto"/>
        <w:right w:val="none" w:sz="0" w:space="0" w:color="auto"/>
      </w:divBdr>
    </w:div>
    <w:div w:id="211231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www.epa.gov/air-emissions-factors-and-quantification/ap-42-compilation-air-emission-factors" TargetMode="External"/><Relationship Id="rId13" Type="http://schemas.openxmlformats.org/officeDocument/2006/relationships/hyperlink" Target="https://www.epa.gov/air-emissions-factors-and-quantification/ap-42-compilation-air-emission-factors" TargetMode="External"/><Relationship Id="rId18" Type="http://schemas.openxmlformats.org/officeDocument/2006/relationships/hyperlink" Target="https://nationalefficiencyscreening.org/" TargetMode="External"/><Relationship Id="rId3" Type="http://schemas.openxmlformats.org/officeDocument/2006/relationships/hyperlink" Target="https://s3.amazonaws.com/ilsag/ComEd-Memo-Methods-to-Include-NEIs-in-C-E-Tests_Draft_2020-04-30.docx" TargetMode="External"/><Relationship Id="rId7" Type="http://schemas.openxmlformats.org/officeDocument/2006/relationships/hyperlink" Target="https://www.epa.gov/statelocalenergy/how-cobra-works" TargetMode="External"/><Relationship Id="rId12" Type="http://schemas.openxmlformats.org/officeDocument/2006/relationships/hyperlink" Target="https://www.energy.gov/eere/wap/downloads/weatherization-assistance-program-national-evaluation" TargetMode="External"/><Relationship Id="rId17" Type="http://schemas.openxmlformats.org/officeDocument/2006/relationships/hyperlink" Target="https://www.epa.gov/sites/production/files/2020-06/documents/cobra_user_manual_june_2020.pdf" TargetMode="External"/><Relationship Id="rId2" Type="http://schemas.openxmlformats.org/officeDocument/2006/relationships/hyperlink" Target="https://s3.amazonaws.com/ilsag/2020_IL-TRM_Version_8.0_dated_October-17-2019_Final_Volumes_1-4_Compiled.pdf" TargetMode="External"/><Relationship Id="rId16" Type="http://schemas.openxmlformats.org/officeDocument/2006/relationships/hyperlink" Target="http://www.ilsag.info/technical-reference-manual.html" TargetMode="External"/><Relationship Id="rId1" Type="http://schemas.openxmlformats.org/officeDocument/2006/relationships/hyperlink" Target="http://www.ilga.gov/legislation/publicacts/99/PDF/099-0906.pdf" TargetMode="External"/><Relationship Id="rId6" Type="http://schemas.openxmlformats.org/officeDocument/2006/relationships/hyperlink" Target="https://www.epa.gov/environmental-economics/mortality-risk-valuation" TargetMode="External"/><Relationship Id="rId11" Type="http://schemas.openxmlformats.org/officeDocument/2006/relationships/hyperlink" Target="http://www.ilsag.info/technical-reference-manual.html" TargetMode="External"/><Relationship Id="rId5" Type="http://schemas.openxmlformats.org/officeDocument/2006/relationships/hyperlink" Target="https://www.epa.gov/clean-air-act-overview/air-pollution-current-and-future-challenges" TargetMode="External"/><Relationship Id="rId15" Type="http://schemas.openxmlformats.org/officeDocument/2006/relationships/hyperlink" Target="https://www.epa.gov/sites/production/files/2020-04/documents/nei2017_tsd_full_30apr2020.pdf" TargetMode="External"/><Relationship Id="rId10" Type="http://schemas.openxmlformats.org/officeDocument/2006/relationships/hyperlink" Target="https://www.epa.gov/sites/production/files/2020-04/documents/nei2017_tsd_full_30apr2020.pdf" TargetMode="External"/><Relationship Id="rId4" Type="http://schemas.openxmlformats.org/officeDocument/2006/relationships/hyperlink" Target="https://www.who.int/airpollution/ambient/health-impacts/en/" TargetMode="External"/><Relationship Id="rId9" Type="http://schemas.openxmlformats.org/officeDocument/2006/relationships/hyperlink" Target="https://www.epa.gov/sites/production/files/2015-08/documents/eiip_areasourcesnh3.pdf" TargetMode="External"/><Relationship Id="rId14" Type="http://schemas.openxmlformats.org/officeDocument/2006/relationships/hyperlink" Target="https://www.epa.gov/sites/production/files/2015-08/documents/eiip_areasourcesnh3.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Navigant Color Palette_Word">
  <a:themeElements>
    <a:clrScheme name="NavigantColorPalette">
      <a:dk1>
        <a:srgbClr val="53575A"/>
      </a:dk1>
      <a:lt1>
        <a:srgbClr val="FFFFFF"/>
      </a:lt1>
      <a:dk2>
        <a:srgbClr val="53575A"/>
      </a:dk2>
      <a:lt2>
        <a:srgbClr val="FFFFFF"/>
      </a:lt2>
      <a:accent1>
        <a:srgbClr val="93D500"/>
      </a:accent1>
      <a:accent2>
        <a:srgbClr val="638C1C"/>
      </a:accent2>
      <a:accent3>
        <a:srgbClr val="53575A"/>
      </a:accent3>
      <a:accent4>
        <a:srgbClr val="095540"/>
      </a:accent4>
      <a:accent5>
        <a:srgbClr val="863399"/>
      </a:accent5>
      <a:accent6>
        <a:srgbClr val="0069A7"/>
      </a:accent6>
      <a:hlink>
        <a:srgbClr val="93D500"/>
      </a:hlink>
      <a:folHlink>
        <a:srgbClr val="638C1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AA970AB7BDA97499DA32408C4CED635" ma:contentTypeVersion="11" ma:contentTypeDescription="Create a new document." ma:contentTypeScope="" ma:versionID="21df17ec1cdee22e6d92517487a3c5f9">
  <xsd:schema xmlns:xsd="http://www.w3.org/2001/XMLSchema" xmlns:xs="http://www.w3.org/2001/XMLSchema" xmlns:p="http://schemas.microsoft.com/office/2006/metadata/properties" xmlns:ns3="0df9b330-885d-407d-948d-e17fabf9ed5d" xmlns:ns4="3b5cd1cd-057d-4de6-a883-cd39fdf27d81" targetNamespace="http://schemas.microsoft.com/office/2006/metadata/properties" ma:root="true" ma:fieldsID="eca0526474db4f33bc4d3e362c83f4cb" ns3:_="" ns4:_="">
    <xsd:import namespace="0df9b330-885d-407d-948d-e17fabf9ed5d"/>
    <xsd:import namespace="3b5cd1cd-057d-4de6-a883-cd39fdf27d8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f9b330-885d-407d-948d-e17fabf9ed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5cd1cd-057d-4de6-a883-cd39fdf27d8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EFCF67-ECC0-4B62-9853-03A570E10E59}">
  <ds:schemaRefs>
    <ds:schemaRef ds:uri="http://schemas.openxmlformats.org/officeDocument/2006/bibliography"/>
  </ds:schemaRefs>
</ds:datastoreItem>
</file>

<file path=customXml/itemProps2.xml><?xml version="1.0" encoding="utf-8"?>
<ds:datastoreItem xmlns:ds="http://schemas.openxmlformats.org/officeDocument/2006/customXml" ds:itemID="{E27BF390-C24C-486E-A7DD-342357954B58}">
  <ds:schemaRefs>
    <ds:schemaRef ds:uri="http://schemas.microsoft.com/sharepoint/v3/contenttype/forms"/>
  </ds:schemaRefs>
</ds:datastoreItem>
</file>

<file path=customXml/itemProps3.xml><?xml version="1.0" encoding="utf-8"?>
<ds:datastoreItem xmlns:ds="http://schemas.openxmlformats.org/officeDocument/2006/customXml" ds:itemID="{EFD93F32-DCAB-437D-8022-5D5B42100F9B}">
  <ds:schemaRefs>
    <ds:schemaRef ds:uri="http://purl.org/dc/dcmitype/"/>
    <ds:schemaRef ds:uri="http://purl.org/dc/terms/"/>
    <ds:schemaRef ds:uri="http://schemas.microsoft.com/office/2006/documentManagement/types"/>
    <ds:schemaRef ds:uri="3b5cd1cd-057d-4de6-a883-cd39fdf27d81"/>
    <ds:schemaRef ds:uri="http://www.w3.org/XML/1998/namespace"/>
    <ds:schemaRef ds:uri="http://purl.org/dc/elements/1.1/"/>
    <ds:schemaRef ds:uri="0df9b330-885d-407d-948d-e17fabf9ed5d"/>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8D6D0FA7-357B-4683-9CE4-03A7D38E2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f9b330-885d-407d-948d-e17fabf9ed5d"/>
    <ds:schemaRef ds:uri="3b5cd1cd-057d-4de6-a883-cd39fdf27d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4675</Words>
  <Characters>31102</Characters>
  <Application>Microsoft Office Word</Application>
  <DocSecurity>4</DocSecurity>
  <Lines>259</Lines>
  <Paragraphs>71</Paragraphs>
  <ScaleCrop>false</ScaleCrop>
  <HeadingPairs>
    <vt:vector size="2" baseType="variant">
      <vt:variant>
        <vt:lpstr>Title</vt:lpstr>
      </vt:variant>
      <vt:variant>
        <vt:i4>1</vt:i4>
      </vt:variant>
    </vt:vector>
  </HeadingPairs>
  <TitlesOfParts>
    <vt:vector size="1" baseType="lpstr">
      <vt:lpstr>June 20, 2001</vt:lpstr>
    </vt:vector>
  </TitlesOfParts>
  <Company>VisionTrust</Company>
  <LinksUpToDate>false</LinksUpToDate>
  <CharactersWithSpaces>35706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 2001</dc:title>
  <dc:subject/>
  <dc:creator>Ashwini Mishra</dc:creator>
  <cp:keywords/>
  <dc:description/>
  <cp:lastModifiedBy>Celia Johnson</cp:lastModifiedBy>
  <cp:revision>2</cp:revision>
  <cp:lastPrinted>2003-03-31T21:06:00Z</cp:lastPrinted>
  <dcterms:created xsi:type="dcterms:W3CDTF">2020-10-13T18:27:00Z</dcterms:created>
  <dcterms:modified xsi:type="dcterms:W3CDTF">2020-10-13T18:27:00Z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0x010100DAA970AB7BDA97499DA32408C4CED635</vt:lpwstr>
  </property>
</Properties>
</file>