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1445" w14:textId="69288FE1" w:rsidR="00D657F7" w:rsidRPr="00DB16CA" w:rsidRDefault="00D657F7" w:rsidP="00660A59">
      <w:pPr>
        <w:rPr>
          <w:rFonts w:ascii="Arial Narrow" w:hAnsi="Arial Narrow"/>
          <w:color w:val="6F6754"/>
          <w:sz w:val="20"/>
          <w:szCs w:val="20"/>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0EFB97F9" w14:textId="77777777">
        <w:trPr>
          <w:trHeight w:val="2178"/>
        </w:trPr>
        <w:tc>
          <w:tcPr>
            <w:tcW w:w="1761" w:type="dxa"/>
          </w:tcPr>
          <w:p w14:paraId="357006FD" w14:textId="77777777" w:rsidR="00D657F7" w:rsidRDefault="00D657F7">
            <w:pPr>
              <w:pStyle w:val="TitlepageRestriction"/>
            </w:pPr>
          </w:p>
        </w:tc>
        <w:tc>
          <w:tcPr>
            <w:tcW w:w="8575" w:type="dxa"/>
            <w:gridSpan w:val="4"/>
          </w:tcPr>
          <w:p w14:paraId="25C8F233" w14:textId="4F86CFB7" w:rsidR="00D657F7" w:rsidRPr="005F745A" w:rsidRDefault="001668B6">
            <w:pPr>
              <w:pStyle w:val="Title"/>
            </w:pPr>
            <w:r w:rsidRPr="005F745A">
              <w:rPr>
                <w:b w:val="0"/>
                <w:bCs/>
              </w:rPr>
              <w:t xml:space="preserve">Income Eligible </w:t>
            </w:r>
            <w:r w:rsidR="00966108">
              <w:rPr>
                <w:b w:val="0"/>
                <w:bCs/>
              </w:rPr>
              <w:t xml:space="preserve">Multi-Family </w:t>
            </w:r>
            <w:r w:rsidR="00512610" w:rsidRPr="005F745A">
              <w:rPr>
                <w:b w:val="0"/>
                <w:bCs/>
              </w:rPr>
              <w:t>and Public Housing</w:t>
            </w:r>
            <w:r w:rsidR="00512610" w:rsidRPr="005F745A">
              <w:t xml:space="preserve"> </w:t>
            </w:r>
            <w:r w:rsidR="00D657F7" w:rsidRPr="005F745A">
              <w:rPr>
                <w:b w:val="0"/>
                <w:bCs/>
              </w:rPr>
              <w:t>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trPr>
          <w:trHeight w:val="2331"/>
        </w:trPr>
        <w:tc>
          <w:tcPr>
            <w:tcW w:w="1761" w:type="dxa"/>
          </w:tcPr>
          <w:p w14:paraId="6501D591" w14:textId="77777777" w:rsidR="00D657F7" w:rsidRDefault="00D657F7">
            <w:pPr>
              <w:pStyle w:val="TitlepageRestriction"/>
            </w:pPr>
          </w:p>
        </w:tc>
        <w:tc>
          <w:tcPr>
            <w:tcW w:w="8575" w:type="dxa"/>
            <w:gridSpan w:val="4"/>
          </w:tcPr>
          <w:p w14:paraId="126AF8AA" w14:textId="2AB22F5B" w:rsidR="00D657F7" w:rsidRDefault="00D657F7">
            <w:pPr>
              <w:pStyle w:val="Preparedfor"/>
            </w:pPr>
            <w:r>
              <w:t>Prepared for:</w:t>
            </w:r>
          </w:p>
          <w:p w14:paraId="2CD25532" w14:textId="77777777" w:rsidR="00D657F7" w:rsidRDefault="00D657F7">
            <w:pPr>
              <w:pStyle w:val="Preparedfor"/>
            </w:pPr>
            <w:r>
              <w:t>Peoples Gas and North Shore Gas</w:t>
            </w:r>
          </w:p>
          <w:p w14:paraId="1C1B24ED" w14:textId="77777777" w:rsidR="00D657F7" w:rsidRPr="004F0F97" w:rsidRDefault="00D657F7">
            <w:pPr>
              <w:pStyle w:val="CoverClientName0"/>
            </w:pPr>
            <w:r w:rsidRPr="004F0F97">
              <w:t>DRAFT</w:t>
            </w:r>
          </w:p>
          <w:p w14:paraId="58644FB1" w14:textId="5DBE39F5" w:rsidR="00D657F7" w:rsidRPr="00363D18" w:rsidRDefault="00A901EF">
            <w:pPr>
              <w:pStyle w:val="BodyText"/>
            </w:pPr>
            <w:r w:rsidRPr="0003674A">
              <w:rPr>
                <w:rFonts w:ascii="Arial Bold" w:hAnsi="Arial Bold"/>
                <w:b/>
                <w:color w:val="000000" w:themeColor="text1"/>
                <w:spacing w:val="-10"/>
                <w:kern w:val="28"/>
                <w:sz w:val="28"/>
                <w:szCs w:val="56"/>
              </w:rPr>
              <w:t>M</w:t>
            </w:r>
            <w:r w:rsidR="00512610" w:rsidRPr="0003674A">
              <w:rPr>
                <w:rFonts w:ascii="Arial Bold" w:hAnsi="Arial Bold"/>
                <w:b/>
                <w:color w:val="000000" w:themeColor="text1"/>
                <w:spacing w:val="-10"/>
                <w:kern w:val="28"/>
                <w:sz w:val="28"/>
                <w:szCs w:val="56"/>
              </w:rPr>
              <w:t>arch</w:t>
            </w:r>
            <w:r w:rsidR="00D657F7" w:rsidRPr="0003674A">
              <w:rPr>
                <w:rFonts w:ascii="Arial Bold" w:hAnsi="Arial Bold"/>
                <w:b/>
                <w:color w:val="000000" w:themeColor="text1"/>
                <w:spacing w:val="-10"/>
                <w:kern w:val="28"/>
                <w:sz w:val="28"/>
                <w:szCs w:val="56"/>
              </w:rPr>
              <w:t xml:space="preserve"> </w:t>
            </w:r>
            <w:r w:rsidR="00F3194B">
              <w:rPr>
                <w:rFonts w:ascii="Arial Bold" w:hAnsi="Arial Bold"/>
                <w:b/>
                <w:color w:val="000000" w:themeColor="text1"/>
                <w:spacing w:val="-10"/>
                <w:kern w:val="28"/>
                <w:sz w:val="28"/>
                <w:szCs w:val="56"/>
              </w:rPr>
              <w:t>20</w:t>
            </w:r>
            <w:r w:rsidR="00D657F7" w:rsidRPr="0003674A">
              <w:rPr>
                <w:rFonts w:ascii="Arial Bold" w:hAnsi="Arial Bold"/>
                <w:b/>
                <w:color w:val="000000" w:themeColor="text1"/>
                <w:spacing w:val="-10"/>
                <w:kern w:val="28"/>
                <w:sz w:val="28"/>
                <w:szCs w:val="56"/>
              </w:rPr>
              <w:t>, 202</w:t>
            </w:r>
            <w:r w:rsidR="00D90A46" w:rsidRPr="0003674A">
              <w:rPr>
                <w:rFonts w:ascii="Arial Bold" w:hAnsi="Arial Bold"/>
                <w:b/>
                <w:color w:val="000000" w:themeColor="text1"/>
                <w:spacing w:val="-10"/>
                <w:kern w:val="28"/>
                <w:sz w:val="28"/>
                <w:szCs w:val="56"/>
              </w:rPr>
              <w:t>5</w:t>
            </w:r>
          </w:p>
        </w:tc>
      </w:tr>
      <w:tr w:rsidR="00D657F7" w:rsidRPr="00A53568" w14:paraId="18983FF4" w14:textId="77777777">
        <w:trPr>
          <w:trHeight w:val="432"/>
        </w:trPr>
        <w:tc>
          <w:tcPr>
            <w:tcW w:w="1761" w:type="dxa"/>
          </w:tcPr>
          <w:p w14:paraId="3B2D2A47" w14:textId="77777777" w:rsidR="00D657F7" w:rsidRPr="00A53568" w:rsidRDefault="00D657F7">
            <w:pPr>
              <w:rPr>
                <w:rStyle w:val="CoverText"/>
                <w:i/>
              </w:rPr>
            </w:pPr>
          </w:p>
        </w:tc>
        <w:tc>
          <w:tcPr>
            <w:tcW w:w="4862" w:type="dxa"/>
            <w:gridSpan w:val="2"/>
          </w:tcPr>
          <w:p w14:paraId="4EBBC89F" w14:textId="50B1FE9A" w:rsidR="00D657F7" w:rsidRDefault="00D657F7">
            <w:pPr>
              <w:pStyle w:val="BodyTextBold"/>
              <w:rPr>
                <w:rStyle w:val="CoverText"/>
              </w:rPr>
            </w:pPr>
            <w:r>
              <w:rPr>
                <w:rStyle w:val="CoverText"/>
              </w:rPr>
              <w:t>Prepared</w:t>
            </w:r>
            <w:r w:rsidRPr="00B21048">
              <w:rPr>
                <w:rStyle w:val="CoverText"/>
              </w:rPr>
              <w:t xml:space="preserve"> by:</w:t>
            </w:r>
          </w:p>
        </w:tc>
        <w:tc>
          <w:tcPr>
            <w:tcW w:w="3713" w:type="dxa"/>
            <w:gridSpan w:val="2"/>
          </w:tcPr>
          <w:p w14:paraId="150C6C02" w14:textId="77777777" w:rsidR="00D657F7" w:rsidRDefault="00D657F7">
            <w:pPr>
              <w:pStyle w:val="BodyTextNoSpacingAfter"/>
              <w:rPr>
                <w:rStyle w:val="CoverText"/>
              </w:rPr>
            </w:pPr>
          </w:p>
        </w:tc>
      </w:tr>
      <w:tr w:rsidR="00D657F7" w:rsidRPr="00A53568" w14:paraId="081F2959" w14:textId="77777777">
        <w:trPr>
          <w:trHeight w:val="3114"/>
        </w:trPr>
        <w:tc>
          <w:tcPr>
            <w:tcW w:w="1761" w:type="dxa"/>
          </w:tcPr>
          <w:p w14:paraId="23DA2219" w14:textId="77777777" w:rsidR="00D657F7" w:rsidRPr="004F0F97" w:rsidRDefault="00D657F7">
            <w:pPr>
              <w:rPr>
                <w:rStyle w:val="CoverText"/>
                <w:i/>
              </w:rPr>
            </w:pPr>
          </w:p>
        </w:tc>
        <w:tc>
          <w:tcPr>
            <w:tcW w:w="4862" w:type="dxa"/>
            <w:gridSpan w:val="2"/>
          </w:tcPr>
          <w:p w14:paraId="77B20A82" w14:textId="2729F671" w:rsidR="00A31C66" w:rsidRPr="00A31C66" w:rsidRDefault="00A31C66" w:rsidP="00A31C66">
            <w:pPr>
              <w:pStyle w:val="BodyTextNoSpacingAfter"/>
            </w:pPr>
            <w:r>
              <w:t>Mary George</w:t>
            </w:r>
          </w:p>
          <w:p w14:paraId="73F2B2C0" w14:textId="044A09F4" w:rsidR="00D657F7" w:rsidRPr="004F0F97" w:rsidRDefault="00A31C66" w:rsidP="00A31C66">
            <w:pPr>
              <w:pStyle w:val="BodyTextNoSpacingAfter"/>
              <w:rPr>
                <w:rStyle w:val="CoverText"/>
              </w:rPr>
            </w:pPr>
            <w:r w:rsidRPr="00A31C66">
              <w:t>EcoMetric Consulting</w:t>
            </w:r>
          </w:p>
        </w:tc>
        <w:tc>
          <w:tcPr>
            <w:tcW w:w="3713" w:type="dxa"/>
            <w:gridSpan w:val="2"/>
          </w:tcPr>
          <w:p w14:paraId="2BFD5927" w14:textId="77777777" w:rsidR="00A31C66" w:rsidRPr="00A31C66" w:rsidRDefault="00A31C66" w:rsidP="00A31C66">
            <w:pPr>
              <w:pStyle w:val="BodyTextNoSpacingAfter"/>
            </w:pPr>
            <w:r w:rsidRPr="00A31C66">
              <w:t>Swapnil Lotake</w:t>
            </w:r>
          </w:p>
          <w:p w14:paraId="31D30979" w14:textId="3151FD44" w:rsidR="00D657F7" w:rsidRPr="00A53568" w:rsidRDefault="00A31C66" w:rsidP="00A31C66">
            <w:pPr>
              <w:pStyle w:val="BodyTextNoSpacingAfter"/>
              <w:rPr>
                <w:rStyle w:val="CoverText"/>
                <w:iCs w:val="0"/>
              </w:rPr>
            </w:pPr>
            <w:r w:rsidRPr="00A31C66">
              <w:rPr>
                <w:iCs w:val="0"/>
              </w:rPr>
              <w:t>EcoMetric Consulting</w:t>
            </w:r>
          </w:p>
        </w:tc>
      </w:tr>
      <w:tr w:rsidR="00D657F7" w:rsidRPr="005D53EC" w14:paraId="75550535" w14:textId="77777777">
        <w:trPr>
          <w:trHeight w:val="1170"/>
        </w:trPr>
        <w:tc>
          <w:tcPr>
            <w:tcW w:w="1761" w:type="dxa"/>
            <w:tcMar>
              <w:right w:w="158" w:type="dxa"/>
            </w:tcMar>
          </w:tcPr>
          <w:p w14:paraId="2E81EC43" w14:textId="77777777" w:rsidR="00D657F7" w:rsidRPr="00D8064B" w:rsidRDefault="00D657F7">
            <w:pPr>
              <w:pStyle w:val="TitlepageRestriction"/>
              <w:spacing w:after="360"/>
              <w:jc w:val="right"/>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110" w:type="dxa"/>
            <w:vAlign w:val="center"/>
          </w:tcPr>
          <w:p w14:paraId="593ED01E" w14:textId="77777777" w:rsidR="00D657F7" w:rsidRPr="00D8064B" w:rsidRDefault="00D657F7">
            <w:pPr>
              <w:pStyle w:val="TitlepageRestriction"/>
              <w:rPr>
                <w:sz w:val="18"/>
                <w:szCs w:val="18"/>
              </w:rPr>
            </w:pPr>
          </w:p>
        </w:tc>
        <w:tc>
          <w:tcPr>
            <w:tcW w:w="2752" w:type="dxa"/>
          </w:tcPr>
          <w:p w14:paraId="59C2F6BF" w14:textId="77777777" w:rsidR="00D657F7" w:rsidRPr="00D8064B" w:rsidRDefault="00D657F7">
            <w:pPr>
              <w:pStyle w:val="TitlepageRestriction"/>
              <w:rPr>
                <w:sz w:val="18"/>
                <w:szCs w:val="18"/>
              </w:rPr>
            </w:pPr>
          </w:p>
        </w:tc>
        <w:tc>
          <w:tcPr>
            <w:tcW w:w="2008" w:type="dxa"/>
            <w:vAlign w:val="center"/>
          </w:tcPr>
          <w:p w14:paraId="2780F426" w14:textId="77777777" w:rsidR="00D657F7" w:rsidRPr="00D8064B" w:rsidRDefault="00D657F7">
            <w:pPr>
              <w:pStyle w:val="TitlepageRestriction"/>
              <w:rPr>
                <w:sz w:val="18"/>
                <w:szCs w:val="18"/>
              </w:rPr>
            </w:pPr>
          </w:p>
        </w:tc>
        <w:tc>
          <w:tcPr>
            <w:tcW w:w="1705" w:type="dxa"/>
          </w:tcPr>
          <w:p w14:paraId="19232BD3" w14:textId="77777777" w:rsidR="00D657F7" w:rsidRPr="00D8064B" w:rsidRDefault="00D657F7">
            <w:pPr>
              <w:pStyle w:val="TitlepageRestriction"/>
              <w:rPr>
                <w:sz w:val="18"/>
                <w:szCs w:val="18"/>
              </w:rPr>
            </w:pPr>
          </w:p>
        </w:tc>
      </w:tr>
    </w:tbl>
    <w:p w14:paraId="2276BD6A" w14:textId="77777777" w:rsidR="00D657F7" w:rsidRPr="00B53186" w:rsidRDefault="00D657F7" w:rsidP="00660A59">
      <w:pPr>
        <w:rPr>
          <w:color w:val="6F6754"/>
        </w:rPr>
      </w:pPr>
    </w:p>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r w:rsidRPr="0022027B">
        <w:t>Peoples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00D90A46">
        <w:tc>
          <w:tcPr>
            <w:tcW w:w="3534" w:type="dxa"/>
          </w:tcPr>
          <w:p w14:paraId="777C4B13" w14:textId="77777777" w:rsidR="004F0F97" w:rsidRPr="00D90A46" w:rsidRDefault="004F0F97" w:rsidP="00E37AC4">
            <w:pPr>
              <w:pStyle w:val="Contactinfo"/>
              <w:rPr>
                <w:rFonts w:cs="Arial"/>
                <w:sz w:val="20"/>
              </w:rPr>
            </w:pPr>
            <w:r w:rsidRPr="00D90A46">
              <w:rPr>
                <w:rFonts w:cs="Arial"/>
                <w:sz w:val="20"/>
              </w:rPr>
              <w:t xml:space="preserve">Ed Balbis </w:t>
            </w:r>
          </w:p>
          <w:p w14:paraId="76590658" w14:textId="77777777" w:rsidR="004F0F97" w:rsidRPr="00D90A46" w:rsidRDefault="004F0F97" w:rsidP="00E37AC4">
            <w:pPr>
              <w:pStyle w:val="Contactinfo"/>
              <w:rPr>
                <w:rFonts w:cs="Arial"/>
                <w:sz w:val="20"/>
              </w:rPr>
            </w:pPr>
            <w:r w:rsidRPr="00D90A46">
              <w:rPr>
                <w:rFonts w:cs="Arial"/>
                <w:sz w:val="20"/>
              </w:rPr>
              <w:t>Partner </w:t>
            </w:r>
          </w:p>
          <w:p w14:paraId="50555448" w14:textId="77777777" w:rsidR="004F0F97" w:rsidRPr="00D90A46" w:rsidRDefault="004F0F97" w:rsidP="00E37AC4">
            <w:pPr>
              <w:pStyle w:val="Contactinfo"/>
              <w:rPr>
                <w:rFonts w:cs="Arial"/>
                <w:sz w:val="20"/>
              </w:rPr>
            </w:pPr>
            <w:r w:rsidRPr="00D90A46">
              <w:rPr>
                <w:rFonts w:cs="Arial"/>
                <w:sz w:val="20"/>
              </w:rPr>
              <w:t>561.644.9407  </w:t>
            </w:r>
          </w:p>
          <w:p w14:paraId="748F20CD" w14:textId="6FCE66FD" w:rsidR="004F0F97" w:rsidRPr="00D90A46" w:rsidRDefault="002A3507" w:rsidP="00E37AC4">
            <w:pPr>
              <w:pStyle w:val="Contactinfo"/>
              <w:rPr>
                <w:rFonts w:cs="Arial"/>
                <w:b/>
                <w:bCs/>
                <w:sz w:val="20"/>
              </w:rPr>
            </w:pPr>
            <w:hyperlink r:id="rId14" w:tgtFrame="_blank" w:history="1">
              <w:r w:rsidR="004F0F97" w:rsidRPr="00D90A46">
                <w:rPr>
                  <w:rFonts w:cs="Arial"/>
                  <w:b/>
                  <w:bCs/>
                  <w:sz w:val="20"/>
                </w:rPr>
                <w:t>ebalbis@guidehouse.com</w:t>
              </w:r>
            </w:hyperlink>
          </w:p>
          <w:p w14:paraId="61EFBF2F" w14:textId="77777777" w:rsidR="004F0F97" w:rsidRPr="00D90A46" w:rsidRDefault="004F0F97" w:rsidP="00E37AC4">
            <w:pPr>
              <w:pStyle w:val="Contactinfo"/>
              <w:rPr>
                <w:rFonts w:cs="Arial"/>
                <w:sz w:val="20"/>
              </w:rPr>
            </w:pPr>
          </w:p>
          <w:p w14:paraId="035152CE" w14:textId="77777777" w:rsidR="00E37AC4" w:rsidRPr="00D90A46" w:rsidRDefault="00E37AC4" w:rsidP="00E37AC4">
            <w:pPr>
              <w:pStyle w:val="Contactinfo"/>
              <w:rPr>
                <w:rFonts w:cs="Arial"/>
                <w:sz w:val="20"/>
              </w:rPr>
            </w:pPr>
            <w:r w:rsidRPr="00D90A46">
              <w:rPr>
                <w:rFonts w:cs="Arial"/>
                <w:sz w:val="20"/>
              </w:rPr>
              <w:t>Charles Ampong</w:t>
            </w:r>
            <w:r w:rsidRPr="00D90A46">
              <w:rPr>
                <w:rFonts w:cs="Arial"/>
                <w:sz w:val="20"/>
              </w:rPr>
              <w:br/>
              <w:t>Associate Director</w:t>
            </w:r>
          </w:p>
          <w:p w14:paraId="61E266A6" w14:textId="77777777" w:rsidR="00E37AC4" w:rsidRPr="00D90A46" w:rsidRDefault="00E37AC4" w:rsidP="00E37AC4">
            <w:pPr>
              <w:pStyle w:val="Contactinfo"/>
              <w:rPr>
                <w:rFonts w:cs="Arial"/>
                <w:sz w:val="20"/>
              </w:rPr>
            </w:pPr>
            <w:r w:rsidRPr="00D90A46">
              <w:rPr>
                <w:rFonts w:cs="Arial"/>
                <w:sz w:val="20"/>
              </w:rPr>
              <w:t>608.446.3172</w:t>
            </w:r>
          </w:p>
          <w:p w14:paraId="4588E8E4" w14:textId="4D581CEC" w:rsidR="00E37AC4" w:rsidRPr="00D90A46" w:rsidRDefault="002A3507" w:rsidP="00E37AC4">
            <w:pPr>
              <w:pStyle w:val="Contactinfo"/>
              <w:rPr>
                <w:rFonts w:cs="Arial"/>
                <w:b/>
                <w:bCs/>
                <w:color w:val="0070C0"/>
                <w:sz w:val="20"/>
              </w:rPr>
            </w:pPr>
            <w:hyperlink r:id="rId15" w:history="1">
              <w:r w:rsidR="00E37AC4" w:rsidRPr="00D90A46">
                <w:rPr>
                  <w:rFonts w:cs="Arial"/>
                  <w:b/>
                  <w:bCs/>
                  <w:sz w:val="20"/>
                </w:rPr>
                <w:t>charles.ampong@guidehouse.com</w:t>
              </w:r>
            </w:hyperlink>
          </w:p>
          <w:p w14:paraId="31EA3FBA" w14:textId="741843D9" w:rsidR="00E37AC4" w:rsidRPr="00D90A46" w:rsidRDefault="00E37AC4" w:rsidP="00E37AC4">
            <w:pPr>
              <w:pStyle w:val="Contactinfo"/>
              <w:rPr>
                <w:rFonts w:cs="Arial"/>
                <w:sz w:val="20"/>
              </w:rPr>
            </w:pPr>
          </w:p>
        </w:tc>
        <w:tc>
          <w:tcPr>
            <w:tcW w:w="3216" w:type="dxa"/>
          </w:tcPr>
          <w:p w14:paraId="029B81BD" w14:textId="398D57FA" w:rsidR="004F0F97" w:rsidRPr="00D90A46" w:rsidRDefault="00D90A4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Jeff Erickson</w:t>
            </w:r>
            <w:r w:rsidR="004F0F97" w:rsidRPr="00D90A46">
              <w:rPr>
                <w:rFonts w:ascii="Arial" w:eastAsiaTheme="minorHAnsi" w:hAnsi="Arial" w:cs="Arial"/>
                <w:sz w:val="20"/>
                <w:szCs w:val="20"/>
              </w:rPr>
              <w:t xml:space="preserve"> </w:t>
            </w:r>
          </w:p>
          <w:p w14:paraId="22CCE7DC"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29E79F3E"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35D4E078" w14:textId="50629C49" w:rsidR="004F0F97" w:rsidRPr="00A12E59" w:rsidRDefault="002A3507" w:rsidP="00F04C53">
            <w:pPr>
              <w:pStyle w:val="Contactinfo"/>
              <w:rPr>
                <w:rFonts w:cs="Arial"/>
                <w:b/>
                <w:bCs/>
                <w:sz w:val="20"/>
              </w:rPr>
            </w:pPr>
            <w:hyperlink r:id="rId16" w:history="1">
              <w:r w:rsidR="00D90A46" w:rsidRPr="00A12E59">
                <w:rPr>
                  <w:rFonts w:cs="Arial"/>
                  <w:b/>
                  <w:bCs/>
                  <w:sz w:val="20"/>
                </w:rPr>
                <w:t>jeff.erickson</w:t>
              </w:r>
              <w:r w:rsidR="00D90A46" w:rsidRPr="00A12E59">
                <w:rPr>
                  <w:b/>
                  <w:sz w:val="20"/>
                </w:rPr>
                <w:t>@guidehouse.com</w:t>
              </w:r>
            </w:hyperlink>
          </w:p>
          <w:p w14:paraId="42B4385B" w14:textId="77777777" w:rsidR="004F0F97" w:rsidRPr="00D90A46" w:rsidRDefault="004F0F97" w:rsidP="004F0F97">
            <w:pPr>
              <w:pStyle w:val="Contactinfo"/>
              <w:rPr>
                <w:rFonts w:cs="Arial"/>
                <w:sz w:val="20"/>
              </w:rPr>
            </w:pPr>
          </w:p>
        </w:tc>
        <w:tc>
          <w:tcPr>
            <w:tcW w:w="4618" w:type="dxa"/>
          </w:tcPr>
          <w:p w14:paraId="0990578C" w14:textId="77777777" w:rsidR="00E37AC4" w:rsidRPr="00D90A46" w:rsidRDefault="00E37AC4" w:rsidP="00E37AC4">
            <w:pPr>
              <w:pStyle w:val="Contactinfo"/>
              <w:rPr>
                <w:rFonts w:cs="Arial"/>
                <w:sz w:val="20"/>
              </w:rPr>
            </w:pPr>
            <w:r w:rsidRPr="00D90A46">
              <w:rPr>
                <w:rFonts w:cs="Arial"/>
                <w:sz w:val="20"/>
              </w:rPr>
              <w:t>Laura Agapay-Read</w:t>
            </w:r>
          </w:p>
          <w:p w14:paraId="017B47B1" w14:textId="77777777" w:rsidR="00E37AC4" w:rsidRPr="00D90A46" w:rsidRDefault="00E37AC4" w:rsidP="00E37AC4">
            <w:pPr>
              <w:pStyle w:val="Contactinfo"/>
              <w:rPr>
                <w:rFonts w:cs="Arial"/>
                <w:sz w:val="20"/>
              </w:rPr>
            </w:pPr>
            <w:r w:rsidRPr="00D90A46">
              <w:rPr>
                <w:rFonts w:cs="Arial"/>
                <w:sz w:val="20"/>
              </w:rPr>
              <w:t>Associate Director</w:t>
            </w:r>
          </w:p>
          <w:p w14:paraId="7179FCC2" w14:textId="77777777" w:rsidR="00E37AC4" w:rsidRPr="00D90A46" w:rsidRDefault="00E37AC4" w:rsidP="00E37AC4">
            <w:pPr>
              <w:pStyle w:val="Contactinfo"/>
              <w:rPr>
                <w:rFonts w:cs="Arial"/>
                <w:sz w:val="20"/>
              </w:rPr>
            </w:pPr>
            <w:r w:rsidRPr="00D90A46">
              <w:rPr>
                <w:rFonts w:cs="Arial"/>
                <w:sz w:val="20"/>
              </w:rPr>
              <w:t>312.583.4178</w:t>
            </w:r>
          </w:p>
          <w:p w14:paraId="7B3087FD" w14:textId="0C98027D" w:rsidR="00E37AC4" w:rsidRPr="00D90A46" w:rsidRDefault="00A901EF" w:rsidP="00E37AC4">
            <w:pPr>
              <w:pStyle w:val="Contactinfo"/>
              <w:rPr>
                <w:rFonts w:cs="Arial"/>
                <w:b/>
                <w:bCs/>
                <w:color w:val="0070C0"/>
                <w:sz w:val="20"/>
              </w:rPr>
            </w:pPr>
            <w:r w:rsidRPr="00D90A46">
              <w:rPr>
                <w:rFonts w:cs="Arial"/>
                <w:b/>
                <w:bCs/>
                <w:sz w:val="20"/>
              </w:rPr>
              <w:t>l</w:t>
            </w:r>
            <w:r w:rsidR="00E37AC4" w:rsidRPr="00D90A46">
              <w:rPr>
                <w:rFonts w:cs="Arial"/>
                <w:b/>
                <w:bCs/>
                <w:sz w:val="20"/>
              </w:rPr>
              <w:t>aura.agapay.read@guidehouse.com</w:t>
            </w:r>
          </w:p>
          <w:p w14:paraId="4C98D54C" w14:textId="77777777" w:rsidR="00E37AC4" w:rsidRPr="00D90A46" w:rsidRDefault="00E37AC4" w:rsidP="004F0F97">
            <w:pPr>
              <w:pStyle w:val="Contactinfo"/>
              <w:rPr>
                <w:rFonts w:cs="Arial"/>
                <w:color w:val="0070C0"/>
                <w:sz w:val="20"/>
              </w:rPr>
            </w:pPr>
          </w:p>
          <w:p w14:paraId="1BCB59DB" w14:textId="77777777" w:rsidR="00E37AC4" w:rsidRPr="00D90A46" w:rsidRDefault="00E37AC4" w:rsidP="004F0F97">
            <w:pPr>
              <w:pStyle w:val="Contactinfo"/>
              <w:rPr>
                <w:rFonts w:cs="Arial"/>
                <w:sz w:val="20"/>
              </w:rPr>
            </w:pPr>
          </w:p>
          <w:p w14:paraId="4DBBDC0C" w14:textId="77777777" w:rsidR="00E37AC4" w:rsidRPr="00D90A46" w:rsidRDefault="00E37AC4" w:rsidP="004F0F97">
            <w:pPr>
              <w:pStyle w:val="Contactinfo"/>
              <w:rPr>
                <w:rFonts w:cs="Arial"/>
                <w:sz w:val="20"/>
              </w:rPr>
            </w:pPr>
          </w:p>
          <w:p w14:paraId="76D5A099" w14:textId="77777777" w:rsidR="00E37AC4" w:rsidRPr="00D90A46" w:rsidRDefault="00E37AC4" w:rsidP="004F0F97">
            <w:pPr>
              <w:pStyle w:val="Contactinfo"/>
              <w:rPr>
                <w:rFonts w:cs="Arial"/>
                <w:sz w:val="20"/>
              </w:rPr>
            </w:pPr>
          </w:p>
          <w:p w14:paraId="2C8E36AD" w14:textId="7A5DAD7D" w:rsidR="00E37AC4" w:rsidRPr="00D90A46" w:rsidRDefault="00E37AC4" w:rsidP="004F0F97">
            <w:pPr>
              <w:pStyle w:val="Contactinfo"/>
              <w:rPr>
                <w:rFonts w:cs="Arial"/>
                <w:sz w:val="20"/>
              </w:rPr>
            </w:pPr>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p>
    <w:p w14:paraId="1562E846" w14:textId="77777777" w:rsidR="00AF6479" w:rsidRPr="004742E5" w:rsidRDefault="00AF6479" w:rsidP="004742E5">
      <w:pPr>
        <w:pStyle w:val="TOCHeading"/>
      </w:pPr>
      <w:r w:rsidRPr="005621C7">
        <w:lastRenderedPageBreak/>
        <w:t>Table of Contents</w:t>
      </w:r>
    </w:p>
    <w:p w14:paraId="5A7B2F4A" w14:textId="01971CFB" w:rsidR="00E0501D"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349911" w:history="1">
        <w:r w:rsidR="00E0501D" w:rsidRPr="00301B90">
          <w:rPr>
            <w:rStyle w:val="Hyperlink"/>
            <w:noProof/>
          </w:rPr>
          <w:t>Introduction</w:t>
        </w:r>
        <w:r w:rsidR="00E0501D">
          <w:rPr>
            <w:noProof/>
            <w:webHidden/>
          </w:rPr>
          <w:tab/>
        </w:r>
        <w:r w:rsidR="00E0501D">
          <w:rPr>
            <w:noProof/>
            <w:webHidden/>
          </w:rPr>
          <w:fldChar w:fldCharType="begin"/>
        </w:r>
        <w:r w:rsidR="00E0501D">
          <w:rPr>
            <w:noProof/>
            <w:webHidden/>
          </w:rPr>
          <w:instrText xml:space="preserve"> PAGEREF _Toc193349911 \h </w:instrText>
        </w:r>
        <w:r w:rsidR="00E0501D">
          <w:rPr>
            <w:noProof/>
            <w:webHidden/>
          </w:rPr>
        </w:r>
        <w:r w:rsidR="00E0501D">
          <w:rPr>
            <w:noProof/>
            <w:webHidden/>
          </w:rPr>
          <w:fldChar w:fldCharType="separate"/>
        </w:r>
        <w:r w:rsidR="00E0501D">
          <w:rPr>
            <w:noProof/>
            <w:webHidden/>
          </w:rPr>
          <w:t>1</w:t>
        </w:r>
        <w:r w:rsidR="00E0501D">
          <w:rPr>
            <w:noProof/>
            <w:webHidden/>
          </w:rPr>
          <w:fldChar w:fldCharType="end"/>
        </w:r>
      </w:hyperlink>
    </w:p>
    <w:p w14:paraId="42D2231E" w14:textId="3BDFCD35" w:rsidR="00E0501D" w:rsidRDefault="00E0501D">
      <w:pPr>
        <w:pStyle w:val="TOC1"/>
        <w:rPr>
          <w:rFonts w:asciiTheme="minorHAnsi" w:eastAsiaTheme="minorEastAsia" w:hAnsiTheme="minorHAnsi" w:cstheme="minorBidi"/>
          <w:b w:val="0"/>
          <w:noProof/>
          <w:kern w:val="2"/>
          <w:sz w:val="24"/>
          <w14:ligatures w14:val="standardContextual"/>
        </w:rPr>
      </w:pPr>
      <w:hyperlink w:anchor="_Toc193349912" w:history="1">
        <w:r w:rsidRPr="00301B90">
          <w:rPr>
            <w:rStyle w:val="Hyperlink"/>
            <w:noProof/>
          </w:rPr>
          <w:t>Multi-Family Income Eligible and IHWAP Program</w:t>
        </w:r>
        <w:r>
          <w:rPr>
            <w:noProof/>
            <w:webHidden/>
          </w:rPr>
          <w:tab/>
        </w:r>
        <w:r>
          <w:rPr>
            <w:noProof/>
            <w:webHidden/>
          </w:rPr>
          <w:fldChar w:fldCharType="begin"/>
        </w:r>
        <w:r>
          <w:rPr>
            <w:noProof/>
            <w:webHidden/>
          </w:rPr>
          <w:instrText xml:space="preserve"> PAGEREF _Toc193349912 \h </w:instrText>
        </w:r>
        <w:r>
          <w:rPr>
            <w:noProof/>
            <w:webHidden/>
          </w:rPr>
        </w:r>
        <w:r>
          <w:rPr>
            <w:noProof/>
            <w:webHidden/>
          </w:rPr>
          <w:fldChar w:fldCharType="separate"/>
        </w:r>
        <w:r>
          <w:rPr>
            <w:noProof/>
            <w:webHidden/>
          </w:rPr>
          <w:t>1</w:t>
        </w:r>
        <w:r>
          <w:rPr>
            <w:noProof/>
            <w:webHidden/>
          </w:rPr>
          <w:fldChar w:fldCharType="end"/>
        </w:r>
      </w:hyperlink>
    </w:p>
    <w:p w14:paraId="129A0BB2" w14:textId="2409B7EC" w:rsidR="00E0501D" w:rsidRDefault="00E0501D">
      <w:pPr>
        <w:pStyle w:val="TOC2"/>
        <w:rPr>
          <w:rFonts w:asciiTheme="minorHAnsi" w:eastAsiaTheme="minorEastAsia" w:hAnsiTheme="minorHAnsi" w:cstheme="minorBidi"/>
          <w:noProof/>
          <w:kern w:val="2"/>
          <w:sz w:val="24"/>
          <w14:ligatures w14:val="standardContextual"/>
        </w:rPr>
      </w:pPr>
      <w:hyperlink w:anchor="_Toc193349913" w:history="1">
        <w:r w:rsidRPr="00301B90">
          <w:rPr>
            <w:rStyle w:val="Hyperlink"/>
            <w:noProof/>
          </w:rPr>
          <w:t>Program Description</w:t>
        </w:r>
        <w:r>
          <w:rPr>
            <w:noProof/>
            <w:webHidden/>
          </w:rPr>
          <w:tab/>
        </w:r>
        <w:r>
          <w:rPr>
            <w:noProof/>
            <w:webHidden/>
          </w:rPr>
          <w:fldChar w:fldCharType="begin"/>
        </w:r>
        <w:r>
          <w:rPr>
            <w:noProof/>
            <w:webHidden/>
          </w:rPr>
          <w:instrText xml:space="preserve"> PAGEREF _Toc193349913 \h </w:instrText>
        </w:r>
        <w:r>
          <w:rPr>
            <w:noProof/>
            <w:webHidden/>
          </w:rPr>
        </w:r>
        <w:r>
          <w:rPr>
            <w:noProof/>
            <w:webHidden/>
          </w:rPr>
          <w:fldChar w:fldCharType="separate"/>
        </w:r>
        <w:r>
          <w:rPr>
            <w:noProof/>
            <w:webHidden/>
          </w:rPr>
          <w:t>1</w:t>
        </w:r>
        <w:r>
          <w:rPr>
            <w:noProof/>
            <w:webHidden/>
          </w:rPr>
          <w:fldChar w:fldCharType="end"/>
        </w:r>
      </w:hyperlink>
    </w:p>
    <w:p w14:paraId="3ABF5E51" w14:textId="091B359C" w:rsidR="00E0501D" w:rsidRDefault="00E0501D">
      <w:pPr>
        <w:pStyle w:val="TOC2"/>
        <w:rPr>
          <w:rFonts w:asciiTheme="minorHAnsi" w:eastAsiaTheme="minorEastAsia" w:hAnsiTheme="minorHAnsi" w:cstheme="minorBidi"/>
          <w:noProof/>
          <w:kern w:val="2"/>
          <w:sz w:val="24"/>
          <w14:ligatures w14:val="standardContextual"/>
        </w:rPr>
      </w:pPr>
      <w:hyperlink w:anchor="_Toc193349914" w:history="1">
        <w:r w:rsidRPr="00301B90">
          <w:rPr>
            <w:rStyle w:val="Hyperlink"/>
            <w:noProof/>
          </w:rPr>
          <w:t>Program Savings Detail</w:t>
        </w:r>
        <w:r>
          <w:rPr>
            <w:noProof/>
            <w:webHidden/>
          </w:rPr>
          <w:tab/>
        </w:r>
        <w:r>
          <w:rPr>
            <w:noProof/>
            <w:webHidden/>
          </w:rPr>
          <w:fldChar w:fldCharType="begin"/>
        </w:r>
        <w:r>
          <w:rPr>
            <w:noProof/>
            <w:webHidden/>
          </w:rPr>
          <w:instrText xml:space="preserve"> PAGEREF _Toc193349914 \h </w:instrText>
        </w:r>
        <w:r>
          <w:rPr>
            <w:noProof/>
            <w:webHidden/>
          </w:rPr>
        </w:r>
        <w:r>
          <w:rPr>
            <w:noProof/>
            <w:webHidden/>
          </w:rPr>
          <w:fldChar w:fldCharType="separate"/>
        </w:r>
        <w:r>
          <w:rPr>
            <w:noProof/>
            <w:webHidden/>
          </w:rPr>
          <w:t>3</w:t>
        </w:r>
        <w:r>
          <w:rPr>
            <w:noProof/>
            <w:webHidden/>
          </w:rPr>
          <w:fldChar w:fldCharType="end"/>
        </w:r>
      </w:hyperlink>
    </w:p>
    <w:p w14:paraId="5A921B2C" w14:textId="14C5164E" w:rsidR="00E0501D" w:rsidRDefault="00E0501D">
      <w:pPr>
        <w:pStyle w:val="TOC2"/>
        <w:rPr>
          <w:rFonts w:asciiTheme="minorHAnsi" w:eastAsiaTheme="minorEastAsia" w:hAnsiTheme="minorHAnsi" w:cstheme="minorBidi"/>
          <w:noProof/>
          <w:kern w:val="2"/>
          <w:sz w:val="24"/>
          <w14:ligatures w14:val="standardContextual"/>
        </w:rPr>
      </w:pPr>
      <w:hyperlink w:anchor="_Toc193349915" w:history="1">
        <w:r w:rsidRPr="00301B90">
          <w:rPr>
            <w:rStyle w:val="Hyperlink"/>
            <w:noProof/>
          </w:rPr>
          <w:t>Program Savings by Measure</w:t>
        </w:r>
        <w:r>
          <w:rPr>
            <w:noProof/>
            <w:webHidden/>
          </w:rPr>
          <w:tab/>
        </w:r>
        <w:r>
          <w:rPr>
            <w:noProof/>
            <w:webHidden/>
          </w:rPr>
          <w:fldChar w:fldCharType="begin"/>
        </w:r>
        <w:r>
          <w:rPr>
            <w:noProof/>
            <w:webHidden/>
          </w:rPr>
          <w:instrText xml:space="preserve"> PAGEREF _Toc193349915 \h </w:instrText>
        </w:r>
        <w:r>
          <w:rPr>
            <w:noProof/>
            <w:webHidden/>
          </w:rPr>
        </w:r>
        <w:r>
          <w:rPr>
            <w:noProof/>
            <w:webHidden/>
          </w:rPr>
          <w:fldChar w:fldCharType="separate"/>
        </w:r>
        <w:r>
          <w:rPr>
            <w:noProof/>
            <w:webHidden/>
          </w:rPr>
          <w:t>4</w:t>
        </w:r>
        <w:r>
          <w:rPr>
            <w:noProof/>
            <w:webHidden/>
          </w:rPr>
          <w:fldChar w:fldCharType="end"/>
        </w:r>
      </w:hyperlink>
    </w:p>
    <w:p w14:paraId="32294758" w14:textId="7B53B71C" w:rsidR="00E0501D" w:rsidRDefault="00E0501D">
      <w:pPr>
        <w:pStyle w:val="TOC2"/>
        <w:rPr>
          <w:rFonts w:asciiTheme="minorHAnsi" w:eastAsiaTheme="minorEastAsia" w:hAnsiTheme="minorHAnsi" w:cstheme="minorBidi"/>
          <w:noProof/>
          <w:kern w:val="2"/>
          <w:sz w:val="24"/>
          <w14:ligatures w14:val="standardContextual"/>
        </w:rPr>
      </w:pPr>
      <w:hyperlink w:anchor="_Toc193349916" w:history="1">
        <w:r w:rsidRPr="00301B90">
          <w:rPr>
            <w:rStyle w:val="Hyperlink"/>
            <w:noProof/>
          </w:rPr>
          <w:t>Impact Analysis Findings and Recommendations</w:t>
        </w:r>
        <w:r>
          <w:rPr>
            <w:noProof/>
            <w:webHidden/>
          </w:rPr>
          <w:tab/>
        </w:r>
        <w:r>
          <w:rPr>
            <w:noProof/>
            <w:webHidden/>
          </w:rPr>
          <w:fldChar w:fldCharType="begin"/>
        </w:r>
        <w:r>
          <w:rPr>
            <w:noProof/>
            <w:webHidden/>
          </w:rPr>
          <w:instrText xml:space="preserve"> PAGEREF _Toc193349916 \h </w:instrText>
        </w:r>
        <w:r>
          <w:rPr>
            <w:noProof/>
            <w:webHidden/>
          </w:rPr>
        </w:r>
        <w:r>
          <w:rPr>
            <w:noProof/>
            <w:webHidden/>
          </w:rPr>
          <w:fldChar w:fldCharType="separate"/>
        </w:r>
        <w:r>
          <w:rPr>
            <w:noProof/>
            <w:webHidden/>
          </w:rPr>
          <w:t>6</w:t>
        </w:r>
        <w:r>
          <w:rPr>
            <w:noProof/>
            <w:webHidden/>
          </w:rPr>
          <w:fldChar w:fldCharType="end"/>
        </w:r>
      </w:hyperlink>
    </w:p>
    <w:p w14:paraId="74A2C512" w14:textId="2D778DB0" w:rsidR="00E0501D" w:rsidRDefault="00E0501D">
      <w:pPr>
        <w:pStyle w:val="TOC2"/>
        <w:rPr>
          <w:rFonts w:asciiTheme="minorHAnsi" w:eastAsiaTheme="minorEastAsia" w:hAnsiTheme="minorHAnsi" w:cstheme="minorBidi"/>
          <w:noProof/>
          <w:kern w:val="2"/>
          <w:sz w:val="24"/>
          <w14:ligatures w14:val="standardContextual"/>
        </w:rPr>
      </w:pPr>
      <w:hyperlink w:anchor="_Toc193349917" w:history="1">
        <w:r w:rsidRPr="00301B90">
          <w:rPr>
            <w:rStyle w:val="Hyperlink"/>
            <w:noProof/>
          </w:rPr>
          <w:t>Findings and Recommendations</w:t>
        </w:r>
        <w:r>
          <w:rPr>
            <w:noProof/>
            <w:webHidden/>
          </w:rPr>
          <w:tab/>
        </w:r>
        <w:r>
          <w:rPr>
            <w:noProof/>
            <w:webHidden/>
          </w:rPr>
          <w:fldChar w:fldCharType="begin"/>
        </w:r>
        <w:r>
          <w:rPr>
            <w:noProof/>
            <w:webHidden/>
          </w:rPr>
          <w:instrText xml:space="preserve"> PAGEREF _Toc193349917 \h </w:instrText>
        </w:r>
        <w:r>
          <w:rPr>
            <w:noProof/>
            <w:webHidden/>
          </w:rPr>
        </w:r>
        <w:r>
          <w:rPr>
            <w:noProof/>
            <w:webHidden/>
          </w:rPr>
          <w:fldChar w:fldCharType="separate"/>
        </w:r>
        <w:r>
          <w:rPr>
            <w:noProof/>
            <w:webHidden/>
          </w:rPr>
          <w:t>8</w:t>
        </w:r>
        <w:r>
          <w:rPr>
            <w:noProof/>
            <w:webHidden/>
          </w:rPr>
          <w:fldChar w:fldCharType="end"/>
        </w:r>
      </w:hyperlink>
    </w:p>
    <w:p w14:paraId="236F3608" w14:textId="0F2D93E4" w:rsidR="00E0501D" w:rsidRDefault="00E0501D">
      <w:pPr>
        <w:pStyle w:val="TOC1"/>
        <w:rPr>
          <w:rFonts w:asciiTheme="minorHAnsi" w:eastAsiaTheme="minorEastAsia" w:hAnsiTheme="minorHAnsi" w:cstheme="minorBidi"/>
          <w:b w:val="0"/>
          <w:noProof/>
          <w:kern w:val="2"/>
          <w:sz w:val="24"/>
          <w14:ligatures w14:val="standardContextual"/>
        </w:rPr>
      </w:pPr>
      <w:hyperlink w:anchor="_Toc193349918" w:history="1">
        <w:r w:rsidRPr="00301B90">
          <w:rPr>
            <w:rStyle w:val="Hyperlink"/>
            <w:noProof/>
          </w:rPr>
          <w:t>Public Housing Energy Savings Program</w:t>
        </w:r>
        <w:r>
          <w:rPr>
            <w:noProof/>
            <w:webHidden/>
          </w:rPr>
          <w:tab/>
        </w:r>
        <w:r>
          <w:rPr>
            <w:noProof/>
            <w:webHidden/>
          </w:rPr>
          <w:fldChar w:fldCharType="begin"/>
        </w:r>
        <w:r>
          <w:rPr>
            <w:noProof/>
            <w:webHidden/>
          </w:rPr>
          <w:instrText xml:space="preserve"> PAGEREF _Toc193349918 \h </w:instrText>
        </w:r>
        <w:r>
          <w:rPr>
            <w:noProof/>
            <w:webHidden/>
          </w:rPr>
        </w:r>
        <w:r>
          <w:rPr>
            <w:noProof/>
            <w:webHidden/>
          </w:rPr>
          <w:fldChar w:fldCharType="separate"/>
        </w:r>
        <w:r>
          <w:rPr>
            <w:noProof/>
            <w:webHidden/>
          </w:rPr>
          <w:t>10</w:t>
        </w:r>
        <w:r>
          <w:rPr>
            <w:noProof/>
            <w:webHidden/>
          </w:rPr>
          <w:fldChar w:fldCharType="end"/>
        </w:r>
      </w:hyperlink>
    </w:p>
    <w:p w14:paraId="7C78995C" w14:textId="5547EEDD" w:rsidR="00E0501D" w:rsidRDefault="00E0501D">
      <w:pPr>
        <w:pStyle w:val="TOC2"/>
        <w:rPr>
          <w:rFonts w:asciiTheme="minorHAnsi" w:eastAsiaTheme="minorEastAsia" w:hAnsiTheme="minorHAnsi" w:cstheme="minorBidi"/>
          <w:noProof/>
          <w:kern w:val="2"/>
          <w:sz w:val="24"/>
          <w14:ligatures w14:val="standardContextual"/>
        </w:rPr>
      </w:pPr>
      <w:hyperlink w:anchor="_Toc193349919" w:history="1">
        <w:r w:rsidRPr="00301B90">
          <w:rPr>
            <w:rStyle w:val="Hyperlink"/>
            <w:noProof/>
          </w:rPr>
          <w:t>Program Description</w:t>
        </w:r>
        <w:r>
          <w:rPr>
            <w:noProof/>
            <w:webHidden/>
          </w:rPr>
          <w:tab/>
        </w:r>
        <w:r>
          <w:rPr>
            <w:noProof/>
            <w:webHidden/>
          </w:rPr>
          <w:fldChar w:fldCharType="begin"/>
        </w:r>
        <w:r>
          <w:rPr>
            <w:noProof/>
            <w:webHidden/>
          </w:rPr>
          <w:instrText xml:space="preserve"> PAGEREF _Toc193349919 \h </w:instrText>
        </w:r>
        <w:r>
          <w:rPr>
            <w:noProof/>
            <w:webHidden/>
          </w:rPr>
        </w:r>
        <w:r>
          <w:rPr>
            <w:noProof/>
            <w:webHidden/>
          </w:rPr>
          <w:fldChar w:fldCharType="separate"/>
        </w:r>
        <w:r>
          <w:rPr>
            <w:noProof/>
            <w:webHidden/>
          </w:rPr>
          <w:t>10</w:t>
        </w:r>
        <w:r>
          <w:rPr>
            <w:noProof/>
            <w:webHidden/>
          </w:rPr>
          <w:fldChar w:fldCharType="end"/>
        </w:r>
      </w:hyperlink>
    </w:p>
    <w:p w14:paraId="39A05110" w14:textId="358437B7" w:rsidR="00E0501D" w:rsidRDefault="00E0501D">
      <w:pPr>
        <w:pStyle w:val="TOC2"/>
        <w:rPr>
          <w:rFonts w:asciiTheme="minorHAnsi" w:eastAsiaTheme="minorEastAsia" w:hAnsiTheme="minorHAnsi" w:cstheme="minorBidi"/>
          <w:noProof/>
          <w:kern w:val="2"/>
          <w:sz w:val="24"/>
          <w14:ligatures w14:val="standardContextual"/>
        </w:rPr>
      </w:pPr>
      <w:hyperlink w:anchor="_Toc193349920" w:history="1">
        <w:r w:rsidRPr="00301B90">
          <w:rPr>
            <w:rStyle w:val="Hyperlink"/>
            <w:noProof/>
          </w:rPr>
          <w:t>Program Savings Detail</w:t>
        </w:r>
        <w:r>
          <w:rPr>
            <w:noProof/>
            <w:webHidden/>
          </w:rPr>
          <w:tab/>
        </w:r>
        <w:r>
          <w:rPr>
            <w:noProof/>
            <w:webHidden/>
          </w:rPr>
          <w:fldChar w:fldCharType="begin"/>
        </w:r>
        <w:r>
          <w:rPr>
            <w:noProof/>
            <w:webHidden/>
          </w:rPr>
          <w:instrText xml:space="preserve"> PAGEREF _Toc193349920 \h </w:instrText>
        </w:r>
        <w:r>
          <w:rPr>
            <w:noProof/>
            <w:webHidden/>
          </w:rPr>
        </w:r>
        <w:r>
          <w:rPr>
            <w:noProof/>
            <w:webHidden/>
          </w:rPr>
          <w:fldChar w:fldCharType="separate"/>
        </w:r>
        <w:r>
          <w:rPr>
            <w:noProof/>
            <w:webHidden/>
          </w:rPr>
          <w:t>11</w:t>
        </w:r>
        <w:r>
          <w:rPr>
            <w:noProof/>
            <w:webHidden/>
          </w:rPr>
          <w:fldChar w:fldCharType="end"/>
        </w:r>
      </w:hyperlink>
    </w:p>
    <w:p w14:paraId="5652A95B" w14:textId="2D7BA17F" w:rsidR="00E0501D" w:rsidRDefault="00E0501D">
      <w:pPr>
        <w:pStyle w:val="TOC2"/>
        <w:rPr>
          <w:rFonts w:asciiTheme="minorHAnsi" w:eastAsiaTheme="minorEastAsia" w:hAnsiTheme="minorHAnsi" w:cstheme="minorBidi"/>
          <w:noProof/>
          <w:kern w:val="2"/>
          <w:sz w:val="24"/>
          <w14:ligatures w14:val="standardContextual"/>
        </w:rPr>
      </w:pPr>
      <w:hyperlink w:anchor="_Toc193349921" w:history="1">
        <w:r w:rsidRPr="00301B90">
          <w:rPr>
            <w:rStyle w:val="Hyperlink"/>
            <w:noProof/>
          </w:rPr>
          <w:t>Program Savings by Measure</w:t>
        </w:r>
        <w:r>
          <w:rPr>
            <w:noProof/>
            <w:webHidden/>
          </w:rPr>
          <w:tab/>
        </w:r>
        <w:r>
          <w:rPr>
            <w:noProof/>
            <w:webHidden/>
          </w:rPr>
          <w:fldChar w:fldCharType="begin"/>
        </w:r>
        <w:r>
          <w:rPr>
            <w:noProof/>
            <w:webHidden/>
          </w:rPr>
          <w:instrText xml:space="preserve"> PAGEREF _Toc193349921 \h </w:instrText>
        </w:r>
        <w:r>
          <w:rPr>
            <w:noProof/>
            <w:webHidden/>
          </w:rPr>
        </w:r>
        <w:r>
          <w:rPr>
            <w:noProof/>
            <w:webHidden/>
          </w:rPr>
          <w:fldChar w:fldCharType="separate"/>
        </w:r>
        <w:r>
          <w:rPr>
            <w:noProof/>
            <w:webHidden/>
          </w:rPr>
          <w:t>12</w:t>
        </w:r>
        <w:r>
          <w:rPr>
            <w:noProof/>
            <w:webHidden/>
          </w:rPr>
          <w:fldChar w:fldCharType="end"/>
        </w:r>
      </w:hyperlink>
    </w:p>
    <w:p w14:paraId="3C37DA08" w14:textId="732F326F" w:rsidR="00E0501D" w:rsidRDefault="00E0501D">
      <w:pPr>
        <w:pStyle w:val="TOC2"/>
        <w:rPr>
          <w:rFonts w:asciiTheme="minorHAnsi" w:eastAsiaTheme="minorEastAsia" w:hAnsiTheme="minorHAnsi" w:cstheme="minorBidi"/>
          <w:noProof/>
          <w:kern w:val="2"/>
          <w:sz w:val="24"/>
          <w14:ligatures w14:val="standardContextual"/>
        </w:rPr>
      </w:pPr>
      <w:hyperlink w:anchor="_Toc193349922" w:history="1">
        <w:r w:rsidRPr="00301B90">
          <w:rPr>
            <w:rStyle w:val="Hyperlink"/>
            <w:noProof/>
          </w:rPr>
          <w:t>Impact Analysis Findings and Recommendations</w:t>
        </w:r>
        <w:r>
          <w:rPr>
            <w:noProof/>
            <w:webHidden/>
          </w:rPr>
          <w:tab/>
        </w:r>
        <w:r>
          <w:rPr>
            <w:noProof/>
            <w:webHidden/>
          </w:rPr>
          <w:fldChar w:fldCharType="begin"/>
        </w:r>
        <w:r>
          <w:rPr>
            <w:noProof/>
            <w:webHidden/>
          </w:rPr>
          <w:instrText xml:space="preserve"> PAGEREF _Toc193349922 \h </w:instrText>
        </w:r>
        <w:r>
          <w:rPr>
            <w:noProof/>
            <w:webHidden/>
          </w:rPr>
        </w:r>
        <w:r>
          <w:rPr>
            <w:noProof/>
            <w:webHidden/>
          </w:rPr>
          <w:fldChar w:fldCharType="separate"/>
        </w:r>
        <w:r>
          <w:rPr>
            <w:noProof/>
            <w:webHidden/>
          </w:rPr>
          <w:t>14</w:t>
        </w:r>
        <w:r>
          <w:rPr>
            <w:noProof/>
            <w:webHidden/>
          </w:rPr>
          <w:fldChar w:fldCharType="end"/>
        </w:r>
      </w:hyperlink>
    </w:p>
    <w:p w14:paraId="45B433CE" w14:textId="326E367A" w:rsidR="00E0501D" w:rsidRDefault="00E0501D">
      <w:pPr>
        <w:pStyle w:val="TOC1"/>
        <w:rPr>
          <w:rFonts w:asciiTheme="minorHAnsi" w:eastAsiaTheme="minorEastAsia" w:hAnsiTheme="minorHAnsi" w:cstheme="minorBidi"/>
          <w:b w:val="0"/>
          <w:noProof/>
          <w:kern w:val="2"/>
          <w:sz w:val="24"/>
          <w14:ligatures w14:val="standardContextual"/>
        </w:rPr>
      </w:pPr>
      <w:hyperlink w:anchor="_Toc193349923" w:history="1">
        <w:r w:rsidRPr="00301B90">
          <w:rPr>
            <w:rStyle w:val="Hyperlink"/>
            <w:noProof/>
          </w:rPr>
          <w:t>Appendix A. Impact Analysis Methodology</w:t>
        </w:r>
        <w:r>
          <w:rPr>
            <w:noProof/>
            <w:webHidden/>
          </w:rPr>
          <w:tab/>
        </w:r>
        <w:r>
          <w:rPr>
            <w:noProof/>
            <w:webHidden/>
          </w:rPr>
          <w:fldChar w:fldCharType="begin"/>
        </w:r>
        <w:r>
          <w:rPr>
            <w:noProof/>
            <w:webHidden/>
          </w:rPr>
          <w:instrText xml:space="preserve"> PAGEREF _Toc193349923 \h </w:instrText>
        </w:r>
        <w:r>
          <w:rPr>
            <w:noProof/>
            <w:webHidden/>
          </w:rPr>
        </w:r>
        <w:r>
          <w:rPr>
            <w:noProof/>
            <w:webHidden/>
          </w:rPr>
          <w:fldChar w:fldCharType="separate"/>
        </w:r>
        <w:r>
          <w:rPr>
            <w:noProof/>
            <w:webHidden/>
          </w:rPr>
          <w:t>15</w:t>
        </w:r>
        <w:r>
          <w:rPr>
            <w:noProof/>
            <w:webHidden/>
          </w:rPr>
          <w:fldChar w:fldCharType="end"/>
        </w:r>
      </w:hyperlink>
    </w:p>
    <w:p w14:paraId="2D3449F1" w14:textId="411AD2BD" w:rsidR="00E0501D" w:rsidRDefault="00E0501D">
      <w:pPr>
        <w:pStyle w:val="TOC1"/>
        <w:rPr>
          <w:rFonts w:asciiTheme="minorHAnsi" w:eastAsiaTheme="minorEastAsia" w:hAnsiTheme="minorHAnsi" w:cstheme="minorBidi"/>
          <w:b w:val="0"/>
          <w:noProof/>
          <w:kern w:val="2"/>
          <w:sz w:val="24"/>
          <w14:ligatures w14:val="standardContextual"/>
        </w:rPr>
      </w:pPr>
      <w:hyperlink w:anchor="_Toc193349924" w:history="1">
        <w:r w:rsidRPr="00301B90">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_Toc193349924 \h </w:instrText>
        </w:r>
        <w:r>
          <w:rPr>
            <w:noProof/>
            <w:webHidden/>
          </w:rPr>
        </w:r>
        <w:r>
          <w:rPr>
            <w:noProof/>
            <w:webHidden/>
          </w:rPr>
          <w:fldChar w:fldCharType="separate"/>
        </w:r>
        <w:r>
          <w:rPr>
            <w:noProof/>
            <w:webHidden/>
          </w:rPr>
          <w:t>16</w:t>
        </w:r>
        <w:r>
          <w:rPr>
            <w:noProof/>
            <w:webHidden/>
          </w:rPr>
          <w:fldChar w:fldCharType="end"/>
        </w:r>
      </w:hyperlink>
    </w:p>
    <w:p w14:paraId="34CB025D" w14:textId="0F8E274B"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4742E5">
      <w:pPr>
        <w:pStyle w:val="TOCHeading"/>
      </w:pPr>
      <w:r w:rsidRPr="005621C7">
        <w:t>List of Tables</w:t>
      </w:r>
      <w:r w:rsidR="00763C7D">
        <w:t>,</w:t>
      </w:r>
      <w:r w:rsidRPr="005621C7">
        <w:t xml:space="preserve"> Figures</w:t>
      </w:r>
      <w:r w:rsidR="00763C7D">
        <w:t>, and Equations</w:t>
      </w:r>
    </w:p>
    <w:p w14:paraId="13E916DE" w14:textId="6756DB1E" w:rsidR="00E0501D" w:rsidRDefault="005F693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3349925" w:history="1">
        <w:r w:rsidR="00E0501D" w:rsidRPr="0059707F">
          <w:rPr>
            <w:rStyle w:val="Hyperlink"/>
            <w:noProof/>
          </w:rPr>
          <w:t>Table 1. 2024 MFIE Program Volumetric Summary for PGL</w:t>
        </w:r>
        <w:r w:rsidR="00E0501D">
          <w:rPr>
            <w:noProof/>
            <w:webHidden/>
          </w:rPr>
          <w:tab/>
        </w:r>
        <w:r w:rsidR="00E0501D">
          <w:rPr>
            <w:noProof/>
            <w:webHidden/>
          </w:rPr>
          <w:fldChar w:fldCharType="begin"/>
        </w:r>
        <w:r w:rsidR="00E0501D">
          <w:rPr>
            <w:noProof/>
            <w:webHidden/>
          </w:rPr>
          <w:instrText xml:space="preserve"> PAGEREF _Toc193349925 \h </w:instrText>
        </w:r>
        <w:r w:rsidR="00E0501D">
          <w:rPr>
            <w:noProof/>
            <w:webHidden/>
          </w:rPr>
        </w:r>
        <w:r w:rsidR="00E0501D">
          <w:rPr>
            <w:noProof/>
            <w:webHidden/>
          </w:rPr>
          <w:fldChar w:fldCharType="separate"/>
        </w:r>
        <w:r w:rsidR="00E0501D">
          <w:rPr>
            <w:noProof/>
            <w:webHidden/>
          </w:rPr>
          <w:t>1</w:t>
        </w:r>
        <w:r w:rsidR="00E0501D">
          <w:rPr>
            <w:noProof/>
            <w:webHidden/>
          </w:rPr>
          <w:fldChar w:fldCharType="end"/>
        </w:r>
      </w:hyperlink>
    </w:p>
    <w:p w14:paraId="701F0C27" w14:textId="01A34802"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26" w:history="1">
        <w:r w:rsidRPr="0059707F">
          <w:rPr>
            <w:rStyle w:val="Hyperlink"/>
            <w:noProof/>
          </w:rPr>
          <w:t>Table 2. 2024 MFIE Program Installed Measure Quantities for PGL</w:t>
        </w:r>
        <w:r>
          <w:rPr>
            <w:noProof/>
            <w:webHidden/>
          </w:rPr>
          <w:tab/>
        </w:r>
        <w:r>
          <w:rPr>
            <w:noProof/>
            <w:webHidden/>
          </w:rPr>
          <w:fldChar w:fldCharType="begin"/>
        </w:r>
        <w:r>
          <w:rPr>
            <w:noProof/>
            <w:webHidden/>
          </w:rPr>
          <w:instrText xml:space="preserve"> PAGEREF _Toc193349926 \h </w:instrText>
        </w:r>
        <w:r>
          <w:rPr>
            <w:noProof/>
            <w:webHidden/>
          </w:rPr>
        </w:r>
        <w:r>
          <w:rPr>
            <w:noProof/>
            <w:webHidden/>
          </w:rPr>
          <w:fldChar w:fldCharType="separate"/>
        </w:r>
        <w:r>
          <w:rPr>
            <w:noProof/>
            <w:webHidden/>
          </w:rPr>
          <w:t>2</w:t>
        </w:r>
        <w:r>
          <w:rPr>
            <w:noProof/>
            <w:webHidden/>
          </w:rPr>
          <w:fldChar w:fldCharType="end"/>
        </w:r>
      </w:hyperlink>
    </w:p>
    <w:p w14:paraId="72221546" w14:textId="7CD789DB"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27" w:history="1">
        <w:r w:rsidRPr="0059707F">
          <w:rPr>
            <w:rStyle w:val="Hyperlink"/>
            <w:noProof/>
          </w:rPr>
          <w:t>Table 3. 2024 MFIE Program Volumetric Summary for NSG</w:t>
        </w:r>
        <w:r>
          <w:rPr>
            <w:noProof/>
            <w:webHidden/>
          </w:rPr>
          <w:tab/>
        </w:r>
        <w:r>
          <w:rPr>
            <w:noProof/>
            <w:webHidden/>
          </w:rPr>
          <w:fldChar w:fldCharType="begin"/>
        </w:r>
        <w:r>
          <w:rPr>
            <w:noProof/>
            <w:webHidden/>
          </w:rPr>
          <w:instrText xml:space="preserve"> PAGEREF _Toc193349927 \h </w:instrText>
        </w:r>
        <w:r>
          <w:rPr>
            <w:noProof/>
            <w:webHidden/>
          </w:rPr>
        </w:r>
        <w:r>
          <w:rPr>
            <w:noProof/>
            <w:webHidden/>
          </w:rPr>
          <w:fldChar w:fldCharType="separate"/>
        </w:r>
        <w:r>
          <w:rPr>
            <w:noProof/>
            <w:webHidden/>
          </w:rPr>
          <w:t>3</w:t>
        </w:r>
        <w:r>
          <w:rPr>
            <w:noProof/>
            <w:webHidden/>
          </w:rPr>
          <w:fldChar w:fldCharType="end"/>
        </w:r>
      </w:hyperlink>
    </w:p>
    <w:p w14:paraId="209707DB" w14:textId="696EE9D5"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28" w:history="1">
        <w:r w:rsidRPr="0059707F">
          <w:rPr>
            <w:rStyle w:val="Hyperlink"/>
            <w:noProof/>
          </w:rPr>
          <w:t>Table 4. 2024 MFIE Program Installed Measure Quantities for NSG</w:t>
        </w:r>
        <w:r>
          <w:rPr>
            <w:noProof/>
            <w:webHidden/>
          </w:rPr>
          <w:tab/>
        </w:r>
        <w:r>
          <w:rPr>
            <w:noProof/>
            <w:webHidden/>
          </w:rPr>
          <w:fldChar w:fldCharType="begin"/>
        </w:r>
        <w:r>
          <w:rPr>
            <w:noProof/>
            <w:webHidden/>
          </w:rPr>
          <w:instrText xml:space="preserve"> PAGEREF _Toc193349928 \h </w:instrText>
        </w:r>
        <w:r>
          <w:rPr>
            <w:noProof/>
            <w:webHidden/>
          </w:rPr>
        </w:r>
        <w:r>
          <w:rPr>
            <w:noProof/>
            <w:webHidden/>
          </w:rPr>
          <w:fldChar w:fldCharType="separate"/>
        </w:r>
        <w:r>
          <w:rPr>
            <w:noProof/>
            <w:webHidden/>
          </w:rPr>
          <w:t>3</w:t>
        </w:r>
        <w:r>
          <w:rPr>
            <w:noProof/>
            <w:webHidden/>
          </w:rPr>
          <w:fldChar w:fldCharType="end"/>
        </w:r>
      </w:hyperlink>
    </w:p>
    <w:p w14:paraId="5D1525E9" w14:textId="0CCCE0E7"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29" w:history="1">
        <w:r w:rsidRPr="0059707F">
          <w:rPr>
            <w:rStyle w:val="Hyperlink"/>
            <w:noProof/>
          </w:rPr>
          <w:t>Table 5. 2024 MFIE Program Annual Energy Savings Summary for PGL</w:t>
        </w:r>
        <w:r>
          <w:rPr>
            <w:noProof/>
            <w:webHidden/>
          </w:rPr>
          <w:tab/>
        </w:r>
        <w:r>
          <w:rPr>
            <w:noProof/>
            <w:webHidden/>
          </w:rPr>
          <w:fldChar w:fldCharType="begin"/>
        </w:r>
        <w:r>
          <w:rPr>
            <w:noProof/>
            <w:webHidden/>
          </w:rPr>
          <w:instrText xml:space="preserve"> PAGEREF _Toc193349929 \h </w:instrText>
        </w:r>
        <w:r>
          <w:rPr>
            <w:noProof/>
            <w:webHidden/>
          </w:rPr>
        </w:r>
        <w:r>
          <w:rPr>
            <w:noProof/>
            <w:webHidden/>
          </w:rPr>
          <w:fldChar w:fldCharType="separate"/>
        </w:r>
        <w:r>
          <w:rPr>
            <w:noProof/>
            <w:webHidden/>
          </w:rPr>
          <w:t>4</w:t>
        </w:r>
        <w:r>
          <w:rPr>
            <w:noProof/>
            <w:webHidden/>
          </w:rPr>
          <w:fldChar w:fldCharType="end"/>
        </w:r>
      </w:hyperlink>
    </w:p>
    <w:p w14:paraId="0F5C552E" w14:textId="1053A75D"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0" w:history="1">
        <w:r w:rsidRPr="0059707F">
          <w:rPr>
            <w:rStyle w:val="Hyperlink"/>
            <w:noProof/>
          </w:rPr>
          <w:t>Table 6. 2024 MFIE Program Annual Energy Savings Summary for NSG</w:t>
        </w:r>
        <w:r>
          <w:rPr>
            <w:noProof/>
            <w:webHidden/>
          </w:rPr>
          <w:tab/>
        </w:r>
        <w:r>
          <w:rPr>
            <w:noProof/>
            <w:webHidden/>
          </w:rPr>
          <w:fldChar w:fldCharType="begin"/>
        </w:r>
        <w:r>
          <w:rPr>
            <w:noProof/>
            <w:webHidden/>
          </w:rPr>
          <w:instrText xml:space="preserve"> PAGEREF _Toc193349930 \h </w:instrText>
        </w:r>
        <w:r>
          <w:rPr>
            <w:noProof/>
            <w:webHidden/>
          </w:rPr>
        </w:r>
        <w:r>
          <w:rPr>
            <w:noProof/>
            <w:webHidden/>
          </w:rPr>
          <w:fldChar w:fldCharType="separate"/>
        </w:r>
        <w:r>
          <w:rPr>
            <w:noProof/>
            <w:webHidden/>
          </w:rPr>
          <w:t>4</w:t>
        </w:r>
        <w:r>
          <w:rPr>
            <w:noProof/>
            <w:webHidden/>
          </w:rPr>
          <w:fldChar w:fldCharType="end"/>
        </w:r>
      </w:hyperlink>
    </w:p>
    <w:p w14:paraId="643C9103" w14:textId="0250D143"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1" w:history="1">
        <w:r w:rsidRPr="0059707F">
          <w:rPr>
            <w:rStyle w:val="Hyperlink"/>
            <w:noProof/>
          </w:rPr>
          <w:t>Table 7. 2024 MFIE Program Annual Energy Savings by Measure for PGL</w:t>
        </w:r>
        <w:r>
          <w:rPr>
            <w:noProof/>
            <w:webHidden/>
          </w:rPr>
          <w:tab/>
        </w:r>
        <w:r>
          <w:rPr>
            <w:noProof/>
            <w:webHidden/>
          </w:rPr>
          <w:fldChar w:fldCharType="begin"/>
        </w:r>
        <w:r>
          <w:rPr>
            <w:noProof/>
            <w:webHidden/>
          </w:rPr>
          <w:instrText xml:space="preserve"> PAGEREF _Toc193349931 \h </w:instrText>
        </w:r>
        <w:r>
          <w:rPr>
            <w:noProof/>
            <w:webHidden/>
          </w:rPr>
        </w:r>
        <w:r>
          <w:rPr>
            <w:noProof/>
            <w:webHidden/>
          </w:rPr>
          <w:fldChar w:fldCharType="separate"/>
        </w:r>
        <w:r>
          <w:rPr>
            <w:noProof/>
            <w:webHidden/>
          </w:rPr>
          <w:t>4</w:t>
        </w:r>
        <w:r>
          <w:rPr>
            <w:noProof/>
            <w:webHidden/>
          </w:rPr>
          <w:fldChar w:fldCharType="end"/>
        </w:r>
      </w:hyperlink>
    </w:p>
    <w:p w14:paraId="02940EFD" w14:textId="498B7FD6"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2" w:history="1">
        <w:r w:rsidRPr="0059707F">
          <w:rPr>
            <w:rStyle w:val="Hyperlink"/>
            <w:noProof/>
          </w:rPr>
          <w:t>Table 8. 2024 MFIE Program Annual Energy Savings by Measure for NSG</w:t>
        </w:r>
        <w:r>
          <w:rPr>
            <w:noProof/>
            <w:webHidden/>
          </w:rPr>
          <w:tab/>
        </w:r>
        <w:r>
          <w:rPr>
            <w:noProof/>
            <w:webHidden/>
          </w:rPr>
          <w:fldChar w:fldCharType="begin"/>
        </w:r>
        <w:r>
          <w:rPr>
            <w:noProof/>
            <w:webHidden/>
          </w:rPr>
          <w:instrText xml:space="preserve"> PAGEREF _Toc193349932 \h </w:instrText>
        </w:r>
        <w:r>
          <w:rPr>
            <w:noProof/>
            <w:webHidden/>
          </w:rPr>
        </w:r>
        <w:r>
          <w:rPr>
            <w:noProof/>
            <w:webHidden/>
          </w:rPr>
          <w:fldChar w:fldCharType="separate"/>
        </w:r>
        <w:r>
          <w:rPr>
            <w:noProof/>
            <w:webHidden/>
          </w:rPr>
          <w:t>6</w:t>
        </w:r>
        <w:r>
          <w:rPr>
            <w:noProof/>
            <w:webHidden/>
          </w:rPr>
          <w:fldChar w:fldCharType="end"/>
        </w:r>
      </w:hyperlink>
    </w:p>
    <w:p w14:paraId="050FACCC" w14:textId="71DC0B58"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3" w:history="1">
        <w:r w:rsidRPr="0059707F">
          <w:rPr>
            <w:rStyle w:val="Hyperlink"/>
            <w:noProof/>
          </w:rPr>
          <w:t>Table 9. 2024 MFIE Program Verified Gross Savings Parameters</w:t>
        </w:r>
        <w:r>
          <w:rPr>
            <w:noProof/>
            <w:webHidden/>
          </w:rPr>
          <w:tab/>
        </w:r>
        <w:r>
          <w:rPr>
            <w:noProof/>
            <w:webHidden/>
          </w:rPr>
          <w:fldChar w:fldCharType="begin"/>
        </w:r>
        <w:r>
          <w:rPr>
            <w:noProof/>
            <w:webHidden/>
          </w:rPr>
          <w:instrText xml:space="preserve"> PAGEREF _Toc193349933 \h </w:instrText>
        </w:r>
        <w:r>
          <w:rPr>
            <w:noProof/>
            <w:webHidden/>
          </w:rPr>
        </w:r>
        <w:r>
          <w:rPr>
            <w:noProof/>
            <w:webHidden/>
          </w:rPr>
          <w:fldChar w:fldCharType="separate"/>
        </w:r>
        <w:r>
          <w:rPr>
            <w:noProof/>
            <w:webHidden/>
          </w:rPr>
          <w:t>6</w:t>
        </w:r>
        <w:r>
          <w:rPr>
            <w:noProof/>
            <w:webHidden/>
          </w:rPr>
          <w:fldChar w:fldCharType="end"/>
        </w:r>
      </w:hyperlink>
    </w:p>
    <w:p w14:paraId="4564BA05" w14:textId="5FAB09A7"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4" w:history="1">
        <w:r w:rsidRPr="0059707F">
          <w:rPr>
            <w:rStyle w:val="Hyperlink"/>
            <w:noProof/>
          </w:rPr>
          <w:t>Table 10. 2024 PHES Program Volumetric Summary for PGL</w:t>
        </w:r>
        <w:r>
          <w:rPr>
            <w:noProof/>
            <w:webHidden/>
          </w:rPr>
          <w:tab/>
        </w:r>
        <w:r>
          <w:rPr>
            <w:noProof/>
            <w:webHidden/>
          </w:rPr>
          <w:fldChar w:fldCharType="begin"/>
        </w:r>
        <w:r>
          <w:rPr>
            <w:noProof/>
            <w:webHidden/>
          </w:rPr>
          <w:instrText xml:space="preserve"> PAGEREF _Toc193349934 \h </w:instrText>
        </w:r>
        <w:r>
          <w:rPr>
            <w:noProof/>
            <w:webHidden/>
          </w:rPr>
        </w:r>
        <w:r>
          <w:rPr>
            <w:noProof/>
            <w:webHidden/>
          </w:rPr>
          <w:fldChar w:fldCharType="separate"/>
        </w:r>
        <w:r>
          <w:rPr>
            <w:noProof/>
            <w:webHidden/>
          </w:rPr>
          <w:t>10</w:t>
        </w:r>
        <w:r>
          <w:rPr>
            <w:noProof/>
            <w:webHidden/>
          </w:rPr>
          <w:fldChar w:fldCharType="end"/>
        </w:r>
      </w:hyperlink>
    </w:p>
    <w:p w14:paraId="44412D38" w14:textId="6F22B1C9"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5" w:history="1">
        <w:r w:rsidRPr="0059707F">
          <w:rPr>
            <w:rStyle w:val="Hyperlink"/>
            <w:noProof/>
          </w:rPr>
          <w:t>Table 11. 2024 PHES Program Installed Measure Quantities for PGL</w:t>
        </w:r>
        <w:r>
          <w:rPr>
            <w:noProof/>
            <w:webHidden/>
          </w:rPr>
          <w:tab/>
        </w:r>
        <w:r>
          <w:rPr>
            <w:noProof/>
            <w:webHidden/>
          </w:rPr>
          <w:fldChar w:fldCharType="begin"/>
        </w:r>
        <w:r>
          <w:rPr>
            <w:noProof/>
            <w:webHidden/>
          </w:rPr>
          <w:instrText xml:space="preserve"> PAGEREF _Toc193349935 \h </w:instrText>
        </w:r>
        <w:r>
          <w:rPr>
            <w:noProof/>
            <w:webHidden/>
          </w:rPr>
        </w:r>
        <w:r>
          <w:rPr>
            <w:noProof/>
            <w:webHidden/>
          </w:rPr>
          <w:fldChar w:fldCharType="separate"/>
        </w:r>
        <w:r>
          <w:rPr>
            <w:noProof/>
            <w:webHidden/>
          </w:rPr>
          <w:t>10</w:t>
        </w:r>
        <w:r>
          <w:rPr>
            <w:noProof/>
            <w:webHidden/>
          </w:rPr>
          <w:fldChar w:fldCharType="end"/>
        </w:r>
      </w:hyperlink>
    </w:p>
    <w:p w14:paraId="13709EFA" w14:textId="25DFD48B"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6" w:history="1">
        <w:r w:rsidRPr="0059707F">
          <w:rPr>
            <w:rStyle w:val="Hyperlink"/>
            <w:noProof/>
          </w:rPr>
          <w:t>Table 12. 2024 PHES Program Volumetric Summary for NSG</w:t>
        </w:r>
        <w:r>
          <w:rPr>
            <w:noProof/>
            <w:webHidden/>
          </w:rPr>
          <w:tab/>
        </w:r>
        <w:r>
          <w:rPr>
            <w:noProof/>
            <w:webHidden/>
          </w:rPr>
          <w:fldChar w:fldCharType="begin"/>
        </w:r>
        <w:r>
          <w:rPr>
            <w:noProof/>
            <w:webHidden/>
          </w:rPr>
          <w:instrText xml:space="preserve"> PAGEREF _Toc193349936 \h </w:instrText>
        </w:r>
        <w:r>
          <w:rPr>
            <w:noProof/>
            <w:webHidden/>
          </w:rPr>
        </w:r>
        <w:r>
          <w:rPr>
            <w:noProof/>
            <w:webHidden/>
          </w:rPr>
          <w:fldChar w:fldCharType="separate"/>
        </w:r>
        <w:r>
          <w:rPr>
            <w:noProof/>
            <w:webHidden/>
          </w:rPr>
          <w:t>11</w:t>
        </w:r>
        <w:r>
          <w:rPr>
            <w:noProof/>
            <w:webHidden/>
          </w:rPr>
          <w:fldChar w:fldCharType="end"/>
        </w:r>
      </w:hyperlink>
    </w:p>
    <w:p w14:paraId="628FAA4B" w14:textId="5363D63D"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7" w:history="1">
        <w:r w:rsidRPr="0059707F">
          <w:rPr>
            <w:rStyle w:val="Hyperlink"/>
            <w:noProof/>
          </w:rPr>
          <w:t>Table 13. 2024 PHES Program Installed Measure Quantities for NSG</w:t>
        </w:r>
        <w:r>
          <w:rPr>
            <w:noProof/>
            <w:webHidden/>
          </w:rPr>
          <w:tab/>
        </w:r>
        <w:r>
          <w:rPr>
            <w:noProof/>
            <w:webHidden/>
          </w:rPr>
          <w:fldChar w:fldCharType="begin"/>
        </w:r>
        <w:r>
          <w:rPr>
            <w:noProof/>
            <w:webHidden/>
          </w:rPr>
          <w:instrText xml:space="preserve"> PAGEREF _Toc193349937 \h </w:instrText>
        </w:r>
        <w:r>
          <w:rPr>
            <w:noProof/>
            <w:webHidden/>
          </w:rPr>
        </w:r>
        <w:r>
          <w:rPr>
            <w:noProof/>
            <w:webHidden/>
          </w:rPr>
          <w:fldChar w:fldCharType="separate"/>
        </w:r>
        <w:r>
          <w:rPr>
            <w:noProof/>
            <w:webHidden/>
          </w:rPr>
          <w:t>11</w:t>
        </w:r>
        <w:r>
          <w:rPr>
            <w:noProof/>
            <w:webHidden/>
          </w:rPr>
          <w:fldChar w:fldCharType="end"/>
        </w:r>
      </w:hyperlink>
    </w:p>
    <w:p w14:paraId="3C84F868" w14:textId="4B2DB10B"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8" w:history="1">
        <w:r w:rsidRPr="0059707F">
          <w:rPr>
            <w:rStyle w:val="Hyperlink"/>
            <w:noProof/>
          </w:rPr>
          <w:t>Table 14. 2024 PHES Program Annual Energy Savings Summary for PGL</w:t>
        </w:r>
        <w:r>
          <w:rPr>
            <w:noProof/>
            <w:webHidden/>
          </w:rPr>
          <w:tab/>
        </w:r>
        <w:r>
          <w:rPr>
            <w:noProof/>
            <w:webHidden/>
          </w:rPr>
          <w:fldChar w:fldCharType="begin"/>
        </w:r>
        <w:r>
          <w:rPr>
            <w:noProof/>
            <w:webHidden/>
          </w:rPr>
          <w:instrText xml:space="preserve"> PAGEREF _Toc193349938 \h </w:instrText>
        </w:r>
        <w:r>
          <w:rPr>
            <w:noProof/>
            <w:webHidden/>
          </w:rPr>
        </w:r>
        <w:r>
          <w:rPr>
            <w:noProof/>
            <w:webHidden/>
          </w:rPr>
          <w:fldChar w:fldCharType="separate"/>
        </w:r>
        <w:r>
          <w:rPr>
            <w:noProof/>
            <w:webHidden/>
          </w:rPr>
          <w:t>12</w:t>
        </w:r>
        <w:r>
          <w:rPr>
            <w:noProof/>
            <w:webHidden/>
          </w:rPr>
          <w:fldChar w:fldCharType="end"/>
        </w:r>
      </w:hyperlink>
    </w:p>
    <w:p w14:paraId="543A7C9B" w14:textId="5EB9B2B4"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39" w:history="1">
        <w:r w:rsidRPr="0059707F">
          <w:rPr>
            <w:rStyle w:val="Hyperlink"/>
            <w:noProof/>
          </w:rPr>
          <w:t>Table 15. 2024 PHES Program Annual Energy Savings Summary for NSG</w:t>
        </w:r>
        <w:r>
          <w:rPr>
            <w:noProof/>
            <w:webHidden/>
          </w:rPr>
          <w:tab/>
        </w:r>
        <w:r>
          <w:rPr>
            <w:noProof/>
            <w:webHidden/>
          </w:rPr>
          <w:fldChar w:fldCharType="begin"/>
        </w:r>
        <w:r>
          <w:rPr>
            <w:noProof/>
            <w:webHidden/>
          </w:rPr>
          <w:instrText xml:space="preserve"> PAGEREF _Toc193349939 \h </w:instrText>
        </w:r>
        <w:r>
          <w:rPr>
            <w:noProof/>
            <w:webHidden/>
          </w:rPr>
        </w:r>
        <w:r>
          <w:rPr>
            <w:noProof/>
            <w:webHidden/>
          </w:rPr>
          <w:fldChar w:fldCharType="separate"/>
        </w:r>
        <w:r>
          <w:rPr>
            <w:noProof/>
            <w:webHidden/>
          </w:rPr>
          <w:t>12</w:t>
        </w:r>
        <w:r>
          <w:rPr>
            <w:noProof/>
            <w:webHidden/>
          </w:rPr>
          <w:fldChar w:fldCharType="end"/>
        </w:r>
      </w:hyperlink>
    </w:p>
    <w:p w14:paraId="62CB2371" w14:textId="2A3F853A"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40" w:history="1">
        <w:r w:rsidRPr="0059707F">
          <w:rPr>
            <w:rStyle w:val="Hyperlink"/>
            <w:noProof/>
          </w:rPr>
          <w:t>Table 16. 2024 PHES Program Annual Energy Savings by Measure for PGL</w:t>
        </w:r>
        <w:r>
          <w:rPr>
            <w:noProof/>
            <w:webHidden/>
          </w:rPr>
          <w:tab/>
        </w:r>
        <w:r>
          <w:rPr>
            <w:noProof/>
            <w:webHidden/>
          </w:rPr>
          <w:fldChar w:fldCharType="begin"/>
        </w:r>
        <w:r>
          <w:rPr>
            <w:noProof/>
            <w:webHidden/>
          </w:rPr>
          <w:instrText xml:space="preserve"> PAGEREF _Toc193349940 \h </w:instrText>
        </w:r>
        <w:r>
          <w:rPr>
            <w:noProof/>
            <w:webHidden/>
          </w:rPr>
        </w:r>
        <w:r>
          <w:rPr>
            <w:noProof/>
            <w:webHidden/>
          </w:rPr>
          <w:fldChar w:fldCharType="separate"/>
        </w:r>
        <w:r>
          <w:rPr>
            <w:noProof/>
            <w:webHidden/>
          </w:rPr>
          <w:t>12</w:t>
        </w:r>
        <w:r>
          <w:rPr>
            <w:noProof/>
            <w:webHidden/>
          </w:rPr>
          <w:fldChar w:fldCharType="end"/>
        </w:r>
      </w:hyperlink>
    </w:p>
    <w:p w14:paraId="261B9DCA" w14:textId="73A234D8"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41" w:history="1">
        <w:r w:rsidRPr="0059707F">
          <w:rPr>
            <w:rStyle w:val="Hyperlink"/>
            <w:noProof/>
          </w:rPr>
          <w:t>Table 17. 2024 PHES Program Annual Energy Savings by Measure for NSG</w:t>
        </w:r>
        <w:r>
          <w:rPr>
            <w:noProof/>
            <w:webHidden/>
          </w:rPr>
          <w:tab/>
        </w:r>
        <w:r>
          <w:rPr>
            <w:noProof/>
            <w:webHidden/>
          </w:rPr>
          <w:fldChar w:fldCharType="begin"/>
        </w:r>
        <w:r>
          <w:rPr>
            <w:noProof/>
            <w:webHidden/>
          </w:rPr>
          <w:instrText xml:space="preserve"> PAGEREF _Toc193349941 \h </w:instrText>
        </w:r>
        <w:r>
          <w:rPr>
            <w:noProof/>
            <w:webHidden/>
          </w:rPr>
        </w:r>
        <w:r>
          <w:rPr>
            <w:noProof/>
            <w:webHidden/>
          </w:rPr>
          <w:fldChar w:fldCharType="separate"/>
        </w:r>
        <w:r>
          <w:rPr>
            <w:noProof/>
            <w:webHidden/>
          </w:rPr>
          <w:t>13</w:t>
        </w:r>
        <w:r>
          <w:rPr>
            <w:noProof/>
            <w:webHidden/>
          </w:rPr>
          <w:fldChar w:fldCharType="end"/>
        </w:r>
      </w:hyperlink>
    </w:p>
    <w:p w14:paraId="0C810BE7" w14:textId="16DBEBC8" w:rsidR="00E0501D" w:rsidRDefault="00E0501D">
      <w:pPr>
        <w:pStyle w:val="TableofFigures"/>
        <w:rPr>
          <w:rFonts w:asciiTheme="minorHAnsi" w:eastAsiaTheme="minorEastAsia" w:hAnsiTheme="minorHAnsi" w:cstheme="minorBidi"/>
          <w:noProof/>
          <w:kern w:val="2"/>
          <w:sz w:val="24"/>
          <w14:ligatures w14:val="standardContextual"/>
        </w:rPr>
      </w:pPr>
      <w:hyperlink w:anchor="_Toc193349942" w:history="1">
        <w:r w:rsidRPr="0059707F">
          <w:rPr>
            <w:rStyle w:val="Hyperlink"/>
            <w:noProof/>
          </w:rPr>
          <w:t>Table 18. 2024 PHES Program Verified Gross Savings Parameters for PGL and NSG</w:t>
        </w:r>
        <w:r>
          <w:rPr>
            <w:noProof/>
            <w:webHidden/>
          </w:rPr>
          <w:tab/>
        </w:r>
        <w:r>
          <w:rPr>
            <w:noProof/>
            <w:webHidden/>
          </w:rPr>
          <w:fldChar w:fldCharType="begin"/>
        </w:r>
        <w:r>
          <w:rPr>
            <w:noProof/>
            <w:webHidden/>
          </w:rPr>
          <w:instrText xml:space="preserve"> PAGEREF _Toc193349942 \h </w:instrText>
        </w:r>
        <w:r>
          <w:rPr>
            <w:noProof/>
            <w:webHidden/>
          </w:rPr>
        </w:r>
        <w:r>
          <w:rPr>
            <w:noProof/>
            <w:webHidden/>
          </w:rPr>
          <w:fldChar w:fldCharType="separate"/>
        </w:r>
        <w:r>
          <w:rPr>
            <w:noProof/>
            <w:webHidden/>
          </w:rPr>
          <w:t>14</w:t>
        </w:r>
        <w:r>
          <w:rPr>
            <w:noProof/>
            <w:webHidden/>
          </w:rPr>
          <w:fldChar w:fldCharType="end"/>
        </w:r>
      </w:hyperlink>
    </w:p>
    <w:p w14:paraId="7E3F4475" w14:textId="402882A9" w:rsidR="005618B1" w:rsidRDefault="005F6937" w:rsidP="005618B1">
      <w:pPr>
        <w:pStyle w:val="TableofFigures"/>
      </w:pPr>
      <w:r>
        <w:fldChar w:fldCharType="end"/>
      </w:r>
    </w:p>
    <w:p w14:paraId="06EE6510" w14:textId="0AB34211" w:rsidR="00201ECE" w:rsidRDefault="005618B1">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3350151" w:history="1">
        <w:r w:rsidR="00201ECE" w:rsidRPr="00CA63BE">
          <w:rPr>
            <w:rStyle w:val="Hyperlink"/>
            <w:noProof/>
          </w:rPr>
          <w:t>Table B</w:t>
        </w:r>
        <w:r w:rsidR="00201ECE" w:rsidRPr="00CA63BE">
          <w:rPr>
            <w:rStyle w:val="Hyperlink"/>
            <w:noProof/>
          </w:rPr>
          <w:noBreakHyphen/>
          <w:t>1. 2024 MFIE Program Verified Cost Effectiveness Inputs – PGL</w:t>
        </w:r>
        <w:r w:rsidR="00201ECE">
          <w:rPr>
            <w:noProof/>
            <w:webHidden/>
          </w:rPr>
          <w:tab/>
        </w:r>
        <w:r w:rsidR="00201ECE">
          <w:rPr>
            <w:noProof/>
            <w:webHidden/>
          </w:rPr>
          <w:fldChar w:fldCharType="begin"/>
        </w:r>
        <w:r w:rsidR="00201ECE">
          <w:rPr>
            <w:noProof/>
            <w:webHidden/>
          </w:rPr>
          <w:instrText xml:space="preserve"> PAGEREF _Toc193350151 \h </w:instrText>
        </w:r>
        <w:r w:rsidR="00201ECE">
          <w:rPr>
            <w:noProof/>
            <w:webHidden/>
          </w:rPr>
        </w:r>
        <w:r w:rsidR="00201ECE">
          <w:rPr>
            <w:noProof/>
            <w:webHidden/>
          </w:rPr>
          <w:fldChar w:fldCharType="separate"/>
        </w:r>
        <w:r w:rsidR="00201ECE">
          <w:rPr>
            <w:noProof/>
            <w:webHidden/>
          </w:rPr>
          <w:t>16</w:t>
        </w:r>
        <w:r w:rsidR="00201ECE">
          <w:rPr>
            <w:noProof/>
            <w:webHidden/>
          </w:rPr>
          <w:fldChar w:fldCharType="end"/>
        </w:r>
      </w:hyperlink>
    </w:p>
    <w:p w14:paraId="02A7BD54" w14:textId="32CD8966" w:rsidR="00201ECE" w:rsidRDefault="00201ECE">
      <w:pPr>
        <w:pStyle w:val="TableofFigures"/>
        <w:rPr>
          <w:rFonts w:asciiTheme="minorHAnsi" w:eastAsiaTheme="minorEastAsia" w:hAnsiTheme="minorHAnsi" w:cstheme="minorBidi"/>
          <w:noProof/>
          <w:kern w:val="2"/>
          <w:sz w:val="24"/>
          <w14:ligatures w14:val="standardContextual"/>
        </w:rPr>
      </w:pPr>
      <w:hyperlink w:anchor="_Toc193350152" w:history="1">
        <w:r w:rsidRPr="00CA63BE">
          <w:rPr>
            <w:rStyle w:val="Hyperlink"/>
            <w:noProof/>
          </w:rPr>
          <w:t>Table B</w:t>
        </w:r>
        <w:r w:rsidRPr="00CA63BE">
          <w:rPr>
            <w:rStyle w:val="Hyperlink"/>
            <w:noProof/>
          </w:rPr>
          <w:noBreakHyphen/>
          <w:t>2. 2024 MFIE Program Verified Cost Effectiveness Inputs – NSG</w:t>
        </w:r>
        <w:r>
          <w:rPr>
            <w:noProof/>
            <w:webHidden/>
          </w:rPr>
          <w:tab/>
        </w:r>
        <w:r>
          <w:rPr>
            <w:noProof/>
            <w:webHidden/>
          </w:rPr>
          <w:fldChar w:fldCharType="begin"/>
        </w:r>
        <w:r>
          <w:rPr>
            <w:noProof/>
            <w:webHidden/>
          </w:rPr>
          <w:instrText xml:space="preserve"> PAGEREF _Toc193350152 \h </w:instrText>
        </w:r>
        <w:r>
          <w:rPr>
            <w:noProof/>
            <w:webHidden/>
          </w:rPr>
        </w:r>
        <w:r>
          <w:rPr>
            <w:noProof/>
            <w:webHidden/>
          </w:rPr>
          <w:fldChar w:fldCharType="separate"/>
        </w:r>
        <w:r>
          <w:rPr>
            <w:noProof/>
            <w:webHidden/>
          </w:rPr>
          <w:t>17</w:t>
        </w:r>
        <w:r>
          <w:rPr>
            <w:noProof/>
            <w:webHidden/>
          </w:rPr>
          <w:fldChar w:fldCharType="end"/>
        </w:r>
      </w:hyperlink>
    </w:p>
    <w:p w14:paraId="781700ED" w14:textId="70817EA7" w:rsidR="00201ECE" w:rsidRDefault="00201ECE">
      <w:pPr>
        <w:pStyle w:val="TableofFigures"/>
        <w:rPr>
          <w:rFonts w:asciiTheme="minorHAnsi" w:eastAsiaTheme="minorEastAsia" w:hAnsiTheme="minorHAnsi" w:cstheme="minorBidi"/>
          <w:noProof/>
          <w:kern w:val="2"/>
          <w:sz w:val="24"/>
          <w14:ligatures w14:val="standardContextual"/>
        </w:rPr>
      </w:pPr>
      <w:hyperlink w:anchor="_Toc193350153" w:history="1">
        <w:r w:rsidRPr="00CA63BE">
          <w:rPr>
            <w:rStyle w:val="Hyperlink"/>
            <w:noProof/>
          </w:rPr>
          <w:t>Table B-3 2024 PHES Program Verified Cost Effectiveness Inputs – PGL</w:t>
        </w:r>
        <w:r>
          <w:rPr>
            <w:noProof/>
            <w:webHidden/>
          </w:rPr>
          <w:tab/>
        </w:r>
        <w:r>
          <w:rPr>
            <w:noProof/>
            <w:webHidden/>
          </w:rPr>
          <w:fldChar w:fldCharType="begin"/>
        </w:r>
        <w:r>
          <w:rPr>
            <w:noProof/>
            <w:webHidden/>
          </w:rPr>
          <w:instrText xml:space="preserve"> PAGEREF _Toc193350153 \h </w:instrText>
        </w:r>
        <w:r>
          <w:rPr>
            <w:noProof/>
            <w:webHidden/>
          </w:rPr>
        </w:r>
        <w:r>
          <w:rPr>
            <w:noProof/>
            <w:webHidden/>
          </w:rPr>
          <w:fldChar w:fldCharType="separate"/>
        </w:r>
        <w:r>
          <w:rPr>
            <w:noProof/>
            <w:webHidden/>
          </w:rPr>
          <w:t>19</w:t>
        </w:r>
        <w:r>
          <w:rPr>
            <w:noProof/>
            <w:webHidden/>
          </w:rPr>
          <w:fldChar w:fldCharType="end"/>
        </w:r>
      </w:hyperlink>
    </w:p>
    <w:p w14:paraId="258B73E5" w14:textId="79EA9BB5" w:rsidR="00201ECE" w:rsidRDefault="00201ECE">
      <w:pPr>
        <w:pStyle w:val="TableofFigures"/>
        <w:rPr>
          <w:rFonts w:asciiTheme="minorHAnsi" w:eastAsiaTheme="minorEastAsia" w:hAnsiTheme="minorHAnsi" w:cstheme="minorBidi"/>
          <w:noProof/>
          <w:kern w:val="2"/>
          <w:sz w:val="24"/>
          <w14:ligatures w14:val="standardContextual"/>
        </w:rPr>
      </w:pPr>
      <w:hyperlink w:anchor="_Toc193350154" w:history="1">
        <w:r w:rsidRPr="00CA63BE">
          <w:rPr>
            <w:rStyle w:val="Hyperlink"/>
            <w:noProof/>
          </w:rPr>
          <w:t>Table B</w:t>
        </w:r>
        <w:r w:rsidRPr="00CA63BE">
          <w:rPr>
            <w:rStyle w:val="Hyperlink"/>
            <w:noProof/>
          </w:rPr>
          <w:noBreakHyphen/>
          <w:t>4. 2024 PHES Program Verified Cost Effectiveness Inputs – NSG</w:t>
        </w:r>
        <w:r>
          <w:rPr>
            <w:noProof/>
            <w:webHidden/>
          </w:rPr>
          <w:tab/>
        </w:r>
        <w:r>
          <w:rPr>
            <w:noProof/>
            <w:webHidden/>
          </w:rPr>
          <w:fldChar w:fldCharType="begin"/>
        </w:r>
        <w:r>
          <w:rPr>
            <w:noProof/>
            <w:webHidden/>
          </w:rPr>
          <w:instrText xml:space="preserve"> PAGEREF _Toc193350154 \h </w:instrText>
        </w:r>
        <w:r>
          <w:rPr>
            <w:noProof/>
            <w:webHidden/>
          </w:rPr>
        </w:r>
        <w:r>
          <w:rPr>
            <w:noProof/>
            <w:webHidden/>
          </w:rPr>
          <w:fldChar w:fldCharType="separate"/>
        </w:r>
        <w:r>
          <w:rPr>
            <w:noProof/>
            <w:webHidden/>
          </w:rPr>
          <w:t>19</w:t>
        </w:r>
        <w:r>
          <w:rPr>
            <w:noProof/>
            <w:webHidden/>
          </w:rPr>
          <w:fldChar w:fldCharType="end"/>
        </w:r>
      </w:hyperlink>
    </w:p>
    <w:p w14:paraId="0598D06D" w14:textId="17588DE5" w:rsidR="005618B1" w:rsidRPr="005618B1" w:rsidRDefault="005618B1" w:rsidP="005618B1">
      <w:pPr>
        <w:sectPr w:rsidR="005618B1"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end"/>
      </w:r>
    </w:p>
    <w:p w14:paraId="528097A6" w14:textId="5D63B014" w:rsidR="006E72EA" w:rsidRPr="0096076F" w:rsidRDefault="00E42F86" w:rsidP="0096076F">
      <w:pPr>
        <w:pStyle w:val="Heading10"/>
      </w:pPr>
      <w:bookmarkStart w:id="0" w:name="_Toc193349163"/>
      <w:bookmarkStart w:id="1" w:name="_Toc193349911"/>
      <w:r w:rsidRPr="0096076F">
        <w:lastRenderedPageBreak/>
        <w:t>Introduction</w:t>
      </w:r>
      <w:bookmarkEnd w:id="0"/>
      <w:bookmarkEnd w:id="1"/>
    </w:p>
    <w:p w14:paraId="41792016" w14:textId="44BC5CA8" w:rsidR="00E93A62" w:rsidRDefault="00E93A62" w:rsidP="00E93A62">
      <w:r w:rsidRPr="00F64B8B">
        <w:t xml:space="preserve">This report presents </w:t>
      </w:r>
      <w:r>
        <w:t xml:space="preserve">the results of the impact evaluation of the Peoples Gas (PGL) and North Shore Gas (NSG) </w:t>
      </w:r>
      <w:r w:rsidR="00D90A46">
        <w:t>2024</w:t>
      </w:r>
      <w:r w:rsidR="0082259F">
        <w:t xml:space="preserve"> </w:t>
      </w:r>
      <w:r w:rsidR="008C15CC">
        <w:t xml:space="preserve">Income Eligible </w:t>
      </w:r>
      <w:r w:rsidR="00B643B3">
        <w:t>Multi-Family (MFIE)</w:t>
      </w:r>
      <w:r>
        <w:t xml:space="preserve"> program</w:t>
      </w:r>
      <w:r w:rsidR="00B643B3">
        <w:t xml:space="preserve"> and the </w:t>
      </w:r>
      <w:r w:rsidR="00D22154">
        <w:t>Public Housing Energy Savings</w:t>
      </w:r>
      <w:r w:rsidR="007A611F">
        <w:t xml:space="preserve"> (PHES) program</w:t>
      </w:r>
      <w:r>
        <w:t>.</w:t>
      </w:r>
      <w:r w:rsidR="007A611F" w:rsidRPr="007A611F">
        <w:t xml:space="preserve"> The MFIE program includes the Income Eligible and the Illinois Home Weatherization Assistance Program (IHWAP) program paths.</w:t>
      </w:r>
      <w:r w:rsidR="007A611F">
        <w:t xml:space="preserve"> </w:t>
      </w:r>
      <w:r w:rsidR="00DC3D4E">
        <w:t>This report</w:t>
      </w:r>
      <w:r>
        <w:t xml:space="preserve"> presents a</w:t>
      </w:r>
      <w:r w:rsidRPr="00F64B8B">
        <w:t xml:space="preserve"> summary of the </w:t>
      </w:r>
      <w:r>
        <w:t>energy i</w:t>
      </w:r>
      <w:r w:rsidRPr="00F64B8B">
        <w:t>mpact</w:t>
      </w:r>
      <w:r>
        <w:t>s for the total program</w:t>
      </w:r>
      <w:r w:rsidR="00B70E3F">
        <w:t xml:space="preserve">, with </w:t>
      </w:r>
      <w:r>
        <w:t xml:space="preserve">relevant measure and program structure details. The appendix presents the impact analysis methodology. Program year </w:t>
      </w:r>
      <w:r w:rsidR="00D90A46">
        <w:t>2024</w:t>
      </w:r>
      <w:r>
        <w:t xml:space="preserve"> covers </w:t>
      </w:r>
      <w:r w:rsidRPr="00195EEF">
        <w:t xml:space="preserve">January 1, </w:t>
      </w:r>
      <w:r w:rsidR="00D90A46">
        <w:t>2024</w:t>
      </w:r>
      <w:r w:rsidRPr="00195EEF">
        <w:t xml:space="preserve"> through December 31, </w:t>
      </w:r>
      <w:r w:rsidR="00D90A46">
        <w:t>2024</w:t>
      </w:r>
    </w:p>
    <w:p w14:paraId="0625E58B" w14:textId="77777777" w:rsidR="00262CA4" w:rsidRDefault="00DE3458" w:rsidP="0096076F">
      <w:pPr>
        <w:pStyle w:val="Heading10"/>
      </w:pPr>
      <w:bookmarkStart w:id="2" w:name="_Toc193349164"/>
      <w:bookmarkStart w:id="3" w:name="_Toc193349912"/>
      <w:bookmarkStart w:id="4" w:name="_Toc241481251"/>
      <w:bookmarkStart w:id="5" w:name="_Toc255776003"/>
      <w:r w:rsidRPr="00DE3458">
        <w:t>Multi-Family Income Eligible and IHWAP Program</w:t>
      </w:r>
      <w:bookmarkEnd w:id="2"/>
      <w:bookmarkEnd w:id="3"/>
    </w:p>
    <w:p w14:paraId="2ED7F046" w14:textId="5B69D539" w:rsidR="00C00025" w:rsidRDefault="00C00025" w:rsidP="0096076F">
      <w:pPr>
        <w:pStyle w:val="Heading2"/>
      </w:pPr>
      <w:bookmarkStart w:id="6" w:name="_Toc193349165"/>
      <w:bookmarkStart w:id="7" w:name="_Toc193349913"/>
      <w:r w:rsidRPr="00DE3458">
        <w:t>Program Description</w:t>
      </w:r>
      <w:bookmarkEnd w:id="6"/>
      <w:bookmarkEnd w:id="7"/>
    </w:p>
    <w:p w14:paraId="5CD06BC2" w14:textId="77777777" w:rsidR="003868E8" w:rsidRDefault="003868E8" w:rsidP="003868E8">
      <w:bookmarkStart w:id="8" w:name="_Ref38883149"/>
      <w:bookmarkStart w:id="9" w:name="_Toc38883092"/>
      <w:r>
        <w:t>The Income Eligible Multi-Family Program provides energy efficiency upgrades to customers in the PGL and NSG territories with incomes below 80% of the Area Median Income (AMI) level as defined by the geography or location of the building and/or the subsidy status and rent levels of the building. The programs offer assessments, direct installation of energy efficiency measures, rebates for replacement of inefficient equipment, technical assistance, and educational information.</w:t>
      </w:r>
    </w:p>
    <w:p w14:paraId="42C2CC24" w14:textId="77777777" w:rsidR="003868E8" w:rsidRDefault="003868E8" w:rsidP="003868E8">
      <w:r>
        <w:t xml:space="preserve">There are two program paths offered to multi-family income eligible customers. </w:t>
      </w:r>
    </w:p>
    <w:p w14:paraId="461E52AD" w14:textId="77777777" w:rsidR="003868E8" w:rsidRDefault="003868E8" w:rsidP="003868E8">
      <w:pPr>
        <w:pStyle w:val="ListParagraph"/>
        <w:numPr>
          <w:ilvl w:val="0"/>
          <w:numId w:val="75"/>
        </w:numPr>
        <w:suppressAutoHyphens w:val="0"/>
      </w:pPr>
      <w:r>
        <w:t>The Income Eligible Multi-Family Savings path, jointly implemented with ComEd.</w:t>
      </w:r>
    </w:p>
    <w:p w14:paraId="14568946" w14:textId="77777777" w:rsidR="003868E8" w:rsidRDefault="003868E8" w:rsidP="003868E8">
      <w:pPr>
        <w:pStyle w:val="ListParagraph"/>
        <w:numPr>
          <w:ilvl w:val="0"/>
          <w:numId w:val="75"/>
        </w:numPr>
        <w:suppressAutoHyphens w:val="0"/>
      </w:pPr>
      <w:r>
        <w:t>The Income Eligible Illinois Home Weatherization Assistance Program (IHWAP), jointly implemented with ComEd and People’s Gas.</w:t>
      </w:r>
    </w:p>
    <w:p w14:paraId="5CEF1FA8" w14:textId="20708BF0" w:rsidR="004F0F97" w:rsidRPr="00582311" w:rsidRDefault="003868E8" w:rsidP="00434B54">
      <w:pPr>
        <w:pStyle w:val="BodyText"/>
      </w:pPr>
      <w:r w:rsidRPr="00582311">
        <w:t>The</w:t>
      </w:r>
      <w:r w:rsidR="004A5725">
        <w:t xml:space="preserve"> PGL</w:t>
      </w:r>
      <w:r w:rsidRPr="00582311">
        <w:t xml:space="preserve"> program had </w:t>
      </w:r>
      <w:r w:rsidR="00DE6944">
        <w:t>683</w:t>
      </w:r>
      <w:r w:rsidRPr="00582311">
        <w:t xml:space="preserve"> participants in 2024 and completed </w:t>
      </w:r>
      <w:r w:rsidR="00DE6944">
        <w:t>7,253</w:t>
      </w:r>
      <w:r w:rsidRPr="00582311">
        <w:t xml:space="preserve"> projects as shown in</w:t>
      </w:r>
      <w:r w:rsidR="00582311" w:rsidRPr="00582311">
        <w:t xml:space="preserve"> </w:t>
      </w:r>
      <w:r w:rsidR="00582311" w:rsidRPr="00560ED1">
        <w:fldChar w:fldCharType="begin"/>
      </w:r>
      <w:r w:rsidR="00582311" w:rsidRPr="00560ED1">
        <w:instrText xml:space="preserve"> REF _Ref192760355 \h </w:instrText>
      </w:r>
      <w:r w:rsidR="00582311" w:rsidRPr="00560ED1">
        <w:fldChar w:fldCharType="separate"/>
      </w:r>
      <w:r w:rsidR="00434B54">
        <w:t xml:space="preserve">Table </w:t>
      </w:r>
      <w:r w:rsidR="00434B54">
        <w:rPr>
          <w:noProof/>
        </w:rPr>
        <w:t>1</w:t>
      </w:r>
      <w:r w:rsidR="00582311" w:rsidRPr="00560ED1">
        <w:fldChar w:fldCharType="end"/>
      </w:r>
      <w:r w:rsidRPr="00560ED1">
        <w:t>.</w:t>
      </w:r>
    </w:p>
    <w:p w14:paraId="1701EDB3" w14:textId="47C9905A" w:rsidR="00E93A62" w:rsidRDefault="00675F6C" w:rsidP="004B73FE">
      <w:pPr>
        <w:pStyle w:val="Caption"/>
      </w:pPr>
      <w:bookmarkStart w:id="10" w:name="_Ref192760355"/>
      <w:bookmarkStart w:id="11" w:name="_Toc61360472"/>
      <w:bookmarkStart w:id="12" w:name="_Toc193349176"/>
      <w:bookmarkStart w:id="13" w:name="_Toc193349210"/>
      <w:bookmarkStart w:id="14" w:name="_Toc193349925"/>
      <w:bookmarkEnd w:id="8"/>
      <w:bookmarkEnd w:id="9"/>
      <w:r>
        <w:t xml:space="preserve">Table </w:t>
      </w:r>
      <w:r w:rsidR="0034721B">
        <w:fldChar w:fldCharType="begin"/>
      </w:r>
      <w:r w:rsidR="0034721B">
        <w:instrText xml:space="preserve"> SEQ Table \* ARABIC </w:instrText>
      </w:r>
      <w:r w:rsidR="0034721B">
        <w:fldChar w:fldCharType="separate"/>
      </w:r>
      <w:r w:rsidR="0034721B">
        <w:rPr>
          <w:noProof/>
        </w:rPr>
        <w:t>1</w:t>
      </w:r>
      <w:r w:rsidR="0034721B">
        <w:rPr>
          <w:noProof/>
        </w:rPr>
        <w:fldChar w:fldCharType="end"/>
      </w:r>
      <w:bookmarkEnd w:id="10"/>
      <w:r w:rsidR="00E93A62">
        <w:t xml:space="preserve">. </w:t>
      </w:r>
      <w:r w:rsidR="00D90A46">
        <w:t>2024</w:t>
      </w:r>
      <w:r w:rsidR="00E83871">
        <w:t xml:space="preserve"> MFIE Program</w:t>
      </w:r>
      <w:r w:rsidR="00E93A62">
        <w:t xml:space="preserve"> Volumetric Summary for PGL</w:t>
      </w:r>
      <w:bookmarkEnd w:id="11"/>
      <w:bookmarkEnd w:id="12"/>
      <w:bookmarkEnd w:id="13"/>
      <w:bookmarkEnd w:id="14"/>
    </w:p>
    <w:tbl>
      <w:tblPr>
        <w:tblStyle w:val="EnergyTable"/>
        <w:tblW w:w="0" w:type="auto"/>
        <w:tblLook w:val="04A0" w:firstRow="1" w:lastRow="0" w:firstColumn="1" w:lastColumn="0" w:noHBand="0" w:noVBand="1"/>
      </w:tblPr>
      <w:tblGrid>
        <w:gridCol w:w="2140"/>
        <w:gridCol w:w="1329"/>
        <w:gridCol w:w="754"/>
        <w:gridCol w:w="627"/>
      </w:tblGrid>
      <w:tr w:rsidR="001C0D8C" w:rsidRPr="00634F27" w14:paraId="1EBCF0E0" w14:textId="77777777" w:rsidTr="00D80A0A">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4008AF50" w14:textId="5ADE084E" w:rsidR="001C0D8C" w:rsidRPr="00634F27" w:rsidRDefault="001C0D8C" w:rsidP="001C0D8C">
            <w:pPr>
              <w:keepNext/>
              <w:keepLines/>
              <w:jc w:val="left"/>
              <w:rPr>
                <w:rFonts w:ascii="Arial Narrow" w:eastAsia="Calibri" w:hAnsi="Arial Narrow"/>
                <w:b w:val="0"/>
                <w:bCs/>
                <w:sz w:val="20"/>
                <w:szCs w:val="20"/>
              </w:rPr>
            </w:pPr>
            <w:r w:rsidRPr="00634F27">
              <w:rPr>
                <w:rFonts w:ascii="Arial Narrow" w:hAnsi="Arial Narrow"/>
                <w:b w:val="0"/>
                <w:bCs/>
                <w:color w:val="FFFFFF"/>
                <w:sz w:val="20"/>
                <w:szCs w:val="20"/>
              </w:rPr>
              <w:t>Participation</w:t>
            </w:r>
          </w:p>
        </w:tc>
        <w:tc>
          <w:tcPr>
            <w:tcW w:w="0" w:type="auto"/>
            <w:hideMark/>
          </w:tcPr>
          <w:p w14:paraId="283A6E40" w14:textId="586783F6" w:rsidR="001C0D8C" w:rsidRPr="00634F27" w:rsidRDefault="001C0D8C" w:rsidP="001C0D8C">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634F27">
              <w:rPr>
                <w:rFonts w:ascii="Arial Narrow" w:hAnsi="Arial Narrow"/>
                <w:b w:val="0"/>
                <w:bCs/>
                <w:color w:val="FFFFFF"/>
                <w:sz w:val="20"/>
                <w:szCs w:val="20"/>
              </w:rPr>
              <w:t>Income Eligible</w:t>
            </w:r>
          </w:p>
        </w:tc>
        <w:tc>
          <w:tcPr>
            <w:tcW w:w="0" w:type="auto"/>
          </w:tcPr>
          <w:p w14:paraId="64A44D16" w14:textId="6FC9933C" w:rsidR="001C0D8C" w:rsidRPr="00634F27" w:rsidRDefault="001C0D8C" w:rsidP="001C0D8C">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634F27">
              <w:rPr>
                <w:rFonts w:ascii="Arial Narrow" w:hAnsi="Arial Narrow"/>
                <w:b w:val="0"/>
                <w:bCs/>
                <w:color w:val="FFFFFF"/>
                <w:sz w:val="20"/>
                <w:szCs w:val="20"/>
              </w:rPr>
              <w:t>IHWAP</w:t>
            </w:r>
          </w:p>
        </w:tc>
        <w:tc>
          <w:tcPr>
            <w:tcW w:w="0" w:type="auto"/>
            <w:hideMark/>
          </w:tcPr>
          <w:p w14:paraId="0E2E3BE8" w14:textId="754AF3A1" w:rsidR="001C0D8C" w:rsidRPr="00634F27" w:rsidRDefault="001C0D8C" w:rsidP="001C0D8C">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634F27">
              <w:rPr>
                <w:rFonts w:ascii="Arial Narrow" w:hAnsi="Arial Narrow"/>
                <w:b w:val="0"/>
                <w:bCs/>
                <w:color w:val="FFFFFF"/>
                <w:sz w:val="20"/>
                <w:szCs w:val="20"/>
              </w:rPr>
              <w:t>Total</w:t>
            </w:r>
          </w:p>
        </w:tc>
      </w:tr>
      <w:tr w:rsidR="001C0D8C" w:rsidRPr="00634F27" w14:paraId="537D56FA" w14:textId="77777777" w:rsidTr="00D80A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517180B0" w14:textId="335931D9" w:rsidR="001C0D8C" w:rsidRPr="00634F27" w:rsidRDefault="001C0D8C" w:rsidP="001C0D8C">
            <w:pPr>
              <w:keepNext/>
              <w:keepLines/>
              <w:jc w:val="left"/>
              <w:rPr>
                <w:rFonts w:ascii="Arial Narrow" w:eastAsia="Calibri" w:hAnsi="Arial Narrow"/>
                <w:color w:val="000000"/>
                <w:sz w:val="20"/>
                <w:szCs w:val="20"/>
              </w:rPr>
            </w:pPr>
            <w:r w:rsidRPr="00634F27">
              <w:rPr>
                <w:rFonts w:ascii="Arial Narrow" w:hAnsi="Arial Narrow"/>
                <w:color w:val="000000"/>
                <w:sz w:val="20"/>
                <w:szCs w:val="20"/>
              </w:rPr>
              <w:t>Participants *</w:t>
            </w:r>
          </w:p>
        </w:tc>
        <w:tc>
          <w:tcPr>
            <w:tcW w:w="0" w:type="auto"/>
            <w:noWrap/>
          </w:tcPr>
          <w:p w14:paraId="0A62CC70" w14:textId="7FDA126B" w:rsidR="001C0D8C" w:rsidRPr="00634F27" w:rsidRDefault="001C0D8C" w:rsidP="001C0D8C">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634F27">
              <w:rPr>
                <w:rFonts w:ascii="Arial Narrow" w:hAnsi="Arial Narrow"/>
                <w:color w:val="000000"/>
                <w:sz w:val="20"/>
                <w:szCs w:val="20"/>
              </w:rPr>
              <w:t>682</w:t>
            </w:r>
          </w:p>
        </w:tc>
        <w:tc>
          <w:tcPr>
            <w:tcW w:w="0" w:type="auto"/>
          </w:tcPr>
          <w:p w14:paraId="0B4998C4" w14:textId="6C0182BD" w:rsidR="001C0D8C" w:rsidRPr="00634F27" w:rsidRDefault="001C0D8C" w:rsidP="001C0D8C">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634F27">
              <w:rPr>
                <w:rFonts w:ascii="Arial Narrow" w:hAnsi="Arial Narrow"/>
                <w:color w:val="000000"/>
                <w:sz w:val="20"/>
                <w:szCs w:val="20"/>
              </w:rPr>
              <w:t>1</w:t>
            </w:r>
          </w:p>
        </w:tc>
        <w:tc>
          <w:tcPr>
            <w:tcW w:w="0" w:type="auto"/>
          </w:tcPr>
          <w:p w14:paraId="217653E6" w14:textId="11016DD8" w:rsidR="001C0D8C" w:rsidRPr="00634F27" w:rsidRDefault="001C0D8C" w:rsidP="001C0D8C">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634F27">
              <w:rPr>
                <w:rFonts w:ascii="Arial Narrow" w:hAnsi="Arial Narrow"/>
                <w:color w:val="000000"/>
                <w:sz w:val="20"/>
                <w:szCs w:val="20"/>
              </w:rPr>
              <w:t>683</w:t>
            </w:r>
          </w:p>
        </w:tc>
      </w:tr>
      <w:tr w:rsidR="001C0D8C" w:rsidRPr="00634F27" w14:paraId="246C063D" w14:textId="77777777" w:rsidTr="00D80A0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0A7E860C" w14:textId="6911F087" w:rsidR="001C0D8C" w:rsidRPr="00634F27" w:rsidRDefault="001C0D8C" w:rsidP="001C0D8C">
            <w:pPr>
              <w:keepNext/>
              <w:keepLines/>
              <w:jc w:val="left"/>
              <w:rPr>
                <w:rFonts w:ascii="Arial Narrow" w:eastAsia="Calibri" w:hAnsi="Arial Narrow"/>
                <w:bCs/>
                <w:color w:val="000000"/>
                <w:sz w:val="20"/>
                <w:szCs w:val="20"/>
              </w:rPr>
            </w:pPr>
            <w:r w:rsidRPr="00634F27">
              <w:rPr>
                <w:rFonts w:ascii="Arial Narrow" w:hAnsi="Arial Narrow"/>
                <w:color w:val="000000"/>
                <w:sz w:val="20"/>
                <w:szCs w:val="20"/>
              </w:rPr>
              <w:t>Installed Projects †</w:t>
            </w:r>
          </w:p>
        </w:tc>
        <w:tc>
          <w:tcPr>
            <w:tcW w:w="0" w:type="auto"/>
            <w:noWrap/>
          </w:tcPr>
          <w:p w14:paraId="32E929F1" w14:textId="704559DC" w:rsidR="001C0D8C" w:rsidRPr="00634F27" w:rsidRDefault="001C0D8C" w:rsidP="001C0D8C">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634F27">
              <w:rPr>
                <w:rFonts w:ascii="Arial Narrow" w:hAnsi="Arial Narrow"/>
                <w:color w:val="000000"/>
                <w:sz w:val="20"/>
                <w:szCs w:val="20"/>
              </w:rPr>
              <w:t>7,249</w:t>
            </w:r>
          </w:p>
        </w:tc>
        <w:tc>
          <w:tcPr>
            <w:tcW w:w="0" w:type="auto"/>
          </w:tcPr>
          <w:p w14:paraId="35FAC324" w14:textId="2F953F90" w:rsidR="001C0D8C" w:rsidRPr="00634F27" w:rsidRDefault="001C0D8C" w:rsidP="001C0D8C">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634F27">
              <w:rPr>
                <w:rFonts w:ascii="Arial Narrow" w:hAnsi="Arial Narrow"/>
                <w:color w:val="000000"/>
                <w:sz w:val="20"/>
                <w:szCs w:val="20"/>
              </w:rPr>
              <w:t>4</w:t>
            </w:r>
          </w:p>
        </w:tc>
        <w:tc>
          <w:tcPr>
            <w:tcW w:w="0" w:type="auto"/>
          </w:tcPr>
          <w:p w14:paraId="701D0595" w14:textId="0BB44DDC" w:rsidR="001C0D8C" w:rsidRPr="00634F27" w:rsidRDefault="001C0D8C" w:rsidP="001C0D8C">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634F27">
              <w:rPr>
                <w:rFonts w:ascii="Arial Narrow" w:hAnsi="Arial Narrow"/>
                <w:color w:val="000000"/>
                <w:sz w:val="20"/>
                <w:szCs w:val="20"/>
              </w:rPr>
              <w:t>7,253</w:t>
            </w:r>
          </w:p>
        </w:tc>
      </w:tr>
      <w:tr w:rsidR="001C0D8C" w:rsidRPr="00634F27" w14:paraId="17E47A87" w14:textId="77777777" w:rsidTr="00D80A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5F381538" w14:textId="0150DC4F" w:rsidR="001C0D8C" w:rsidRPr="00634F27" w:rsidRDefault="001C0D8C" w:rsidP="001C0D8C">
            <w:pPr>
              <w:keepNext/>
              <w:keepLines/>
              <w:jc w:val="left"/>
              <w:rPr>
                <w:rFonts w:ascii="Arial Narrow" w:hAnsi="Arial Narrow"/>
                <w:color w:val="000000"/>
                <w:sz w:val="20"/>
                <w:szCs w:val="20"/>
              </w:rPr>
            </w:pPr>
            <w:r w:rsidRPr="00634F27">
              <w:rPr>
                <w:rFonts w:ascii="Arial Narrow" w:hAnsi="Arial Narrow"/>
                <w:color w:val="000000"/>
                <w:sz w:val="20"/>
                <w:szCs w:val="20"/>
              </w:rPr>
              <w:t>Measure Types Installed ‡</w:t>
            </w:r>
          </w:p>
        </w:tc>
        <w:tc>
          <w:tcPr>
            <w:tcW w:w="0" w:type="auto"/>
            <w:noWrap/>
          </w:tcPr>
          <w:p w14:paraId="0592F4FE" w14:textId="16208071" w:rsidR="001C0D8C" w:rsidRPr="00634F27" w:rsidRDefault="001C0D8C" w:rsidP="001C0D8C">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634F27">
              <w:rPr>
                <w:rFonts w:ascii="Arial Narrow" w:hAnsi="Arial Narrow"/>
                <w:color w:val="000000"/>
                <w:sz w:val="20"/>
                <w:szCs w:val="20"/>
              </w:rPr>
              <w:t>57</w:t>
            </w:r>
          </w:p>
        </w:tc>
        <w:tc>
          <w:tcPr>
            <w:tcW w:w="0" w:type="auto"/>
          </w:tcPr>
          <w:p w14:paraId="71CD5A1C" w14:textId="77EC3C4D" w:rsidR="001C0D8C" w:rsidRPr="00634F27" w:rsidRDefault="001C0D8C" w:rsidP="001C0D8C">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634F27">
              <w:rPr>
                <w:rFonts w:ascii="Arial Narrow" w:hAnsi="Arial Narrow"/>
                <w:color w:val="000000"/>
                <w:sz w:val="20"/>
                <w:szCs w:val="20"/>
              </w:rPr>
              <w:t>5</w:t>
            </w:r>
          </w:p>
        </w:tc>
        <w:tc>
          <w:tcPr>
            <w:tcW w:w="0" w:type="auto"/>
            <w:vAlign w:val="bottom"/>
          </w:tcPr>
          <w:p w14:paraId="6E06D9F5" w14:textId="69C9DA71" w:rsidR="001C0D8C" w:rsidRPr="00634F27" w:rsidRDefault="001C0D8C" w:rsidP="00D72B45">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62</w:t>
            </w:r>
          </w:p>
        </w:tc>
      </w:tr>
    </w:tbl>
    <w:p w14:paraId="161C0152" w14:textId="7F36C6E7" w:rsidR="00507E8C" w:rsidRPr="00507E8C" w:rsidRDefault="00507E8C" w:rsidP="00434B54">
      <w:pPr>
        <w:pStyle w:val="GraphFootnote"/>
        <w:ind w:left="2160"/>
        <w:rPr>
          <w:rFonts w:ascii="Arial" w:hAnsi="Arial" w:cs="Arial"/>
          <w:szCs w:val="18"/>
        </w:rPr>
      </w:pPr>
      <w:r w:rsidRPr="00F65903">
        <w:rPr>
          <w:rFonts w:ascii="Arial" w:hAnsi="Arial" w:cs="Arial"/>
          <w:szCs w:val="18"/>
        </w:rPr>
        <w:t xml:space="preserve">* Participants are defined as </w:t>
      </w:r>
      <w:r>
        <w:rPr>
          <w:rFonts w:ascii="Arial" w:hAnsi="Arial" w:cs="Arial"/>
          <w:szCs w:val="18"/>
        </w:rPr>
        <w:t>unique Gas Account Numbers.</w:t>
      </w:r>
      <w:r w:rsidR="0051281C">
        <w:rPr>
          <w:rFonts w:ascii="Arial" w:hAnsi="Arial" w:cs="Arial"/>
          <w:szCs w:val="18"/>
        </w:rPr>
        <w:br/>
      </w:r>
      <w:r w:rsidRPr="00F65903">
        <w:rPr>
          <w:rFonts w:ascii="Arial" w:hAnsi="Arial" w:cs="Arial"/>
          <w:szCs w:val="18"/>
        </w:rPr>
        <w:t xml:space="preserve">† Installed Projects are defined as </w:t>
      </w:r>
      <w:r>
        <w:rPr>
          <w:rFonts w:ascii="Arial" w:hAnsi="Arial" w:cs="Arial"/>
          <w:szCs w:val="18"/>
        </w:rPr>
        <w:t>unique Work Order IDs.</w:t>
      </w:r>
      <w:r w:rsidR="0051281C">
        <w:rPr>
          <w:rFonts w:ascii="Arial" w:hAnsi="Arial" w:cs="Arial"/>
          <w:szCs w:val="18"/>
        </w:rPr>
        <w:br/>
      </w:r>
      <w:r w:rsidR="0051281C" w:rsidRPr="0051281C">
        <w:rPr>
          <w:rFonts w:ascii="Arial" w:hAnsi="Arial" w:cs="Arial"/>
          <w:szCs w:val="18"/>
        </w:rPr>
        <w:t>‡ Measure Types Installed are the distinct count of PGL measure names</w:t>
      </w:r>
      <w:r w:rsidR="0051281C">
        <w:rPr>
          <w:rFonts w:ascii="Arial" w:hAnsi="Arial" w:cs="Arial"/>
          <w:szCs w:val="18"/>
        </w:rPr>
        <w:br/>
      </w:r>
      <w:r w:rsidRPr="006E0F38">
        <w:rPr>
          <w:rFonts w:ascii="Arial" w:hAnsi="Arial" w:cs="Arial"/>
          <w:i/>
          <w:iCs/>
          <w:szCs w:val="18"/>
        </w:rPr>
        <w:t>Source: Peoples Gas tracking data and Guidehouse evaluation team analysis.</w:t>
      </w:r>
      <w:r>
        <w:rPr>
          <w:rFonts w:ascii="Arial" w:hAnsi="Arial" w:cs="Arial"/>
          <w:szCs w:val="18"/>
        </w:rPr>
        <w:br/>
      </w:r>
    </w:p>
    <w:p w14:paraId="3D18B5D8" w14:textId="243A8572" w:rsidR="00E93A62" w:rsidRDefault="006A46FD" w:rsidP="00E93A62">
      <w:r>
        <w:fldChar w:fldCharType="begin"/>
      </w:r>
      <w:r>
        <w:instrText xml:space="preserve"> REF _Ref189739416 \h </w:instrText>
      </w:r>
      <w:r>
        <w:fldChar w:fldCharType="separate"/>
      </w:r>
      <w:r w:rsidR="00434B54">
        <w:t xml:space="preserve">Table </w:t>
      </w:r>
      <w:r w:rsidR="00434B54">
        <w:rPr>
          <w:noProof/>
        </w:rPr>
        <w:t>2</w:t>
      </w:r>
      <w:r>
        <w:fldChar w:fldCharType="end"/>
      </w:r>
      <w:r w:rsidR="00E93A62">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7804EDEA" w14:textId="3BE1521A" w:rsidR="00E93A62" w:rsidRDefault="00E2793A" w:rsidP="00AA21EF">
      <w:pPr>
        <w:pStyle w:val="Caption"/>
        <w:widowControl w:val="0"/>
      </w:pPr>
      <w:bookmarkStart w:id="15" w:name="_Ref189739416"/>
      <w:bookmarkStart w:id="16" w:name="_Toc61360473"/>
      <w:bookmarkStart w:id="17" w:name="_Toc193349177"/>
      <w:bookmarkStart w:id="18" w:name="_Toc193349211"/>
      <w:bookmarkStart w:id="19" w:name="_Toc193349926"/>
      <w:r>
        <w:lastRenderedPageBreak/>
        <w:t xml:space="preserve">Table </w:t>
      </w:r>
      <w:r w:rsidR="0034721B">
        <w:fldChar w:fldCharType="begin"/>
      </w:r>
      <w:r w:rsidR="0034721B">
        <w:instrText xml:space="preserve"> SEQ Table \* ARABIC </w:instrText>
      </w:r>
      <w:r w:rsidR="0034721B">
        <w:fldChar w:fldCharType="separate"/>
      </w:r>
      <w:r w:rsidR="0034721B">
        <w:rPr>
          <w:noProof/>
        </w:rPr>
        <w:t>2</w:t>
      </w:r>
      <w:r w:rsidR="0034721B">
        <w:rPr>
          <w:noProof/>
        </w:rPr>
        <w:fldChar w:fldCharType="end"/>
      </w:r>
      <w:bookmarkEnd w:id="15"/>
      <w:r w:rsidR="00E93A62">
        <w:t xml:space="preserve">. </w:t>
      </w:r>
      <w:r w:rsidR="00A22BDA">
        <w:t>2024 MFIE Program</w:t>
      </w:r>
      <w:r w:rsidR="00E93A62">
        <w:t xml:space="preserve"> Installed </w:t>
      </w:r>
      <w:r w:rsidR="00E93A62" w:rsidRPr="0084176E">
        <w:t>Measure</w:t>
      </w:r>
      <w:r w:rsidR="00E93A62">
        <w:t xml:space="preserve"> Quantities for PGL</w:t>
      </w:r>
      <w:bookmarkEnd w:id="16"/>
      <w:bookmarkEnd w:id="17"/>
      <w:bookmarkEnd w:id="18"/>
      <w:bookmarkEnd w:id="19"/>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1779"/>
        <w:gridCol w:w="1398"/>
        <w:gridCol w:w="3164"/>
        <w:gridCol w:w="1325"/>
        <w:gridCol w:w="1694"/>
      </w:tblGrid>
      <w:tr w:rsidR="00AA21EF" w:rsidRPr="00634F27" w14:paraId="6526786C" w14:textId="77777777" w:rsidTr="00F3194B">
        <w:trPr>
          <w:cnfStyle w:val="100000000000" w:firstRow="1" w:lastRow="0" w:firstColumn="0" w:lastColumn="0" w:oddVBand="0" w:evenVBand="0" w:oddHBand="0" w:evenHBand="0" w:firstRowFirstColumn="0" w:firstRowLastColumn="0" w:lastRowFirstColumn="0" w:lastRowLastColumn="0"/>
          <w:trHeight w:val="549"/>
          <w:tblHeader/>
          <w:jc w:val="left"/>
        </w:trPr>
        <w:tc>
          <w:tcPr>
            <w:cnfStyle w:val="001000000000" w:firstRow="0" w:lastRow="0" w:firstColumn="1" w:lastColumn="0" w:oddVBand="0" w:evenVBand="0" w:oddHBand="0" w:evenHBand="0" w:firstRowFirstColumn="0" w:firstRowLastColumn="0" w:lastRowFirstColumn="0" w:lastRowLastColumn="0"/>
            <w:tcW w:w="950" w:type="pct"/>
          </w:tcPr>
          <w:p w14:paraId="70283107" w14:textId="77777777" w:rsidR="00E93A62" w:rsidRPr="00634F27" w:rsidRDefault="00E93A62" w:rsidP="0099499B">
            <w:pPr>
              <w:keepNext/>
              <w:widowControl w:val="0"/>
              <w:spacing w:before="0" w:after="0"/>
              <w:jc w:val="left"/>
              <w:rPr>
                <w:rFonts w:ascii="Arial Narrow" w:hAnsi="Arial Narrow" w:cs="Arial"/>
                <w:b w:val="0"/>
                <w:bCs/>
                <w:color w:val="FFFFFF"/>
                <w:sz w:val="20"/>
                <w:szCs w:val="20"/>
              </w:rPr>
            </w:pPr>
            <w:r w:rsidRPr="00634F27">
              <w:rPr>
                <w:rFonts w:ascii="Arial Narrow" w:hAnsi="Arial Narrow" w:cs="Arial"/>
                <w:b w:val="0"/>
                <w:bCs/>
                <w:color w:val="FFFFFF"/>
                <w:sz w:val="20"/>
                <w:szCs w:val="20"/>
              </w:rPr>
              <w:t>Program Category</w:t>
            </w:r>
          </w:p>
        </w:tc>
        <w:tc>
          <w:tcPr>
            <w:tcW w:w="747" w:type="pct"/>
          </w:tcPr>
          <w:p w14:paraId="50EDBFAB" w14:textId="77777777" w:rsidR="00E93A62" w:rsidRPr="00634F27" w:rsidRDefault="00E93A62" w:rsidP="0099499B">
            <w:pPr>
              <w:keepNext/>
              <w:widowControl w:val="0"/>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cs="Arial"/>
                <w:b w:val="0"/>
                <w:bCs/>
                <w:color w:val="FFFFFF"/>
                <w:sz w:val="20"/>
                <w:szCs w:val="20"/>
              </w:rPr>
              <w:t>Program Path</w:t>
            </w:r>
          </w:p>
        </w:tc>
        <w:tc>
          <w:tcPr>
            <w:tcW w:w="1690" w:type="pct"/>
            <w:hideMark/>
          </w:tcPr>
          <w:p w14:paraId="4BDEF323" w14:textId="77777777" w:rsidR="00E93A62" w:rsidRPr="00634F27" w:rsidRDefault="00E93A62" w:rsidP="0099499B">
            <w:pPr>
              <w:keepNext/>
              <w:widowControl w:val="0"/>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cs="Arial"/>
                <w:b w:val="0"/>
                <w:bCs/>
                <w:color w:val="FFFFFF"/>
                <w:sz w:val="20"/>
                <w:szCs w:val="20"/>
              </w:rPr>
              <w:t>Measure</w:t>
            </w:r>
          </w:p>
        </w:tc>
        <w:tc>
          <w:tcPr>
            <w:tcW w:w="708" w:type="pct"/>
          </w:tcPr>
          <w:p w14:paraId="432274C2" w14:textId="77777777" w:rsidR="00E93A62" w:rsidRPr="00634F27" w:rsidRDefault="00E93A62" w:rsidP="0099499B">
            <w:pPr>
              <w:keepNext/>
              <w:widowControl w:val="0"/>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b w:val="0"/>
                <w:sz w:val="20"/>
                <w:szCs w:val="20"/>
              </w:rPr>
              <w:t>Quantity Unit</w:t>
            </w:r>
          </w:p>
        </w:tc>
        <w:tc>
          <w:tcPr>
            <w:tcW w:w="905" w:type="pct"/>
          </w:tcPr>
          <w:p w14:paraId="1BE617A9" w14:textId="77777777" w:rsidR="00E93A62" w:rsidRPr="00634F27" w:rsidRDefault="00E93A62" w:rsidP="0099499B">
            <w:pPr>
              <w:keepNext/>
              <w:widowControl w:val="0"/>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b w:val="0"/>
                <w:sz w:val="20"/>
                <w:szCs w:val="20"/>
              </w:rPr>
              <w:t>Installed Quantity</w:t>
            </w:r>
          </w:p>
        </w:tc>
      </w:tr>
      <w:tr w:rsidR="008A17B6" w:rsidRPr="00634F27" w14:paraId="0058B585"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0FE6B2C2" w14:textId="1F18B70A" w:rsidR="00E204B4" w:rsidRPr="00634F27" w:rsidRDefault="00E204B4" w:rsidP="0099499B">
            <w:pPr>
              <w:keepNext/>
              <w:widowControl w:val="0"/>
              <w:spacing w:before="0" w:after="0"/>
              <w:jc w:val="left"/>
              <w:rPr>
                <w:rFonts w:ascii="Arial Narrow" w:hAnsi="Arial Narrow"/>
                <w:b/>
                <w:bCs/>
                <w:color w:val="000000"/>
                <w:sz w:val="20"/>
                <w:szCs w:val="20"/>
              </w:rPr>
            </w:pPr>
            <w:r w:rsidRPr="00634F27">
              <w:rPr>
                <w:rFonts w:ascii="Arial Narrow" w:hAnsi="Arial Narrow"/>
                <w:b/>
                <w:bCs/>
                <w:color w:val="000000"/>
                <w:sz w:val="20"/>
                <w:szCs w:val="20"/>
              </w:rPr>
              <w:t xml:space="preserve">Multi-Family </w:t>
            </w:r>
          </w:p>
        </w:tc>
        <w:tc>
          <w:tcPr>
            <w:tcW w:w="747" w:type="pct"/>
          </w:tcPr>
          <w:p w14:paraId="2064890E" w14:textId="4F6A72B4"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Income Eligible</w:t>
            </w:r>
          </w:p>
        </w:tc>
        <w:tc>
          <w:tcPr>
            <w:tcW w:w="1690" w:type="pct"/>
          </w:tcPr>
          <w:p w14:paraId="4BEAA9FD" w14:textId="16396076"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Attic Insulation</w:t>
            </w:r>
          </w:p>
        </w:tc>
        <w:tc>
          <w:tcPr>
            <w:tcW w:w="708" w:type="pct"/>
            <w:noWrap/>
          </w:tcPr>
          <w:p w14:paraId="048828D4" w14:textId="6753F35D"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Sq Ft</w:t>
            </w:r>
          </w:p>
        </w:tc>
        <w:tc>
          <w:tcPr>
            <w:tcW w:w="905" w:type="pct"/>
            <w:noWrap/>
          </w:tcPr>
          <w:p w14:paraId="7692FF4A" w14:textId="56AD544B"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1,121,745</w:t>
            </w:r>
          </w:p>
        </w:tc>
      </w:tr>
      <w:tr w:rsidR="00AA21EF" w:rsidRPr="00634F27" w14:paraId="3733F7CB"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663857B3" w14:textId="6BD4EFE8" w:rsidR="00E204B4" w:rsidRPr="00634F27" w:rsidRDefault="00E204B4" w:rsidP="0099499B">
            <w:pPr>
              <w:keepNext/>
              <w:widowControl w:val="0"/>
              <w:spacing w:before="0" w:after="0"/>
              <w:jc w:val="left"/>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1A896A90" w14:textId="63048F77"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24C9D3D5" w14:textId="3BB0BA7C"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Assessment/No Savings</w:t>
            </w:r>
          </w:p>
        </w:tc>
        <w:tc>
          <w:tcPr>
            <w:tcW w:w="708" w:type="pct"/>
            <w:noWrap/>
          </w:tcPr>
          <w:p w14:paraId="6DD04AB9" w14:textId="3EC801B4"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6ACF8BD2" w14:textId="14BC1813"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91,578</w:t>
            </w:r>
          </w:p>
        </w:tc>
      </w:tr>
      <w:tr w:rsidR="008A17B6" w:rsidRPr="00634F27" w14:paraId="7A2BD712"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5FB5EE00" w14:textId="584CDA73" w:rsidR="00E204B4" w:rsidRPr="00634F27" w:rsidRDefault="00E204B4" w:rsidP="0099499B">
            <w:pPr>
              <w:keepNext/>
              <w:widowControl w:val="0"/>
              <w:spacing w:before="0" w:after="0"/>
              <w:jc w:val="left"/>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61786C3C" w14:textId="17654BD1"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63DD2BC3" w14:textId="4CADC660"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Pipe Insulation</w:t>
            </w:r>
          </w:p>
        </w:tc>
        <w:tc>
          <w:tcPr>
            <w:tcW w:w="708" w:type="pct"/>
            <w:noWrap/>
          </w:tcPr>
          <w:p w14:paraId="36E4BC3F" w14:textId="37FE06E1"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Ln Ft</w:t>
            </w:r>
          </w:p>
        </w:tc>
        <w:tc>
          <w:tcPr>
            <w:tcW w:w="905" w:type="pct"/>
            <w:noWrap/>
          </w:tcPr>
          <w:p w14:paraId="00167FA7" w14:textId="5D01BEA1"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35,740</w:t>
            </w:r>
          </w:p>
        </w:tc>
      </w:tr>
      <w:tr w:rsidR="00AA21EF" w:rsidRPr="00634F27" w14:paraId="5B0172E9"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7EE6D096" w14:textId="7FC3755A" w:rsidR="00E204B4" w:rsidRPr="00634F27" w:rsidRDefault="00E204B4" w:rsidP="0099499B">
            <w:pPr>
              <w:keepNext/>
              <w:widowControl w:val="0"/>
              <w:spacing w:before="0" w:after="0"/>
              <w:jc w:val="left"/>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7DD0C7D" w14:textId="0879ED0B"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76351D4E" w14:textId="089E4D4B"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Air Sealing</w:t>
            </w:r>
          </w:p>
        </w:tc>
        <w:tc>
          <w:tcPr>
            <w:tcW w:w="708" w:type="pct"/>
            <w:noWrap/>
          </w:tcPr>
          <w:p w14:paraId="6EB229F3" w14:textId="1493076B"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Ln Ft</w:t>
            </w:r>
          </w:p>
        </w:tc>
        <w:tc>
          <w:tcPr>
            <w:tcW w:w="905" w:type="pct"/>
            <w:noWrap/>
          </w:tcPr>
          <w:p w14:paraId="44004FC8" w14:textId="28274F50"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15,762</w:t>
            </w:r>
          </w:p>
        </w:tc>
      </w:tr>
      <w:tr w:rsidR="008A17B6" w:rsidRPr="00634F27" w14:paraId="1E511B7F"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61A24AE1" w14:textId="140F77DB" w:rsidR="00E204B4" w:rsidRPr="00634F27" w:rsidRDefault="00E204B4" w:rsidP="0099499B">
            <w:pPr>
              <w:keepNext/>
              <w:widowControl w:val="0"/>
              <w:spacing w:before="0" w:after="0"/>
              <w:jc w:val="left"/>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2A1F8BB5" w14:textId="3075CBB9"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173F5CCC" w14:textId="1C5DA04E"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Shower Timer (IU)</w:t>
            </w:r>
          </w:p>
        </w:tc>
        <w:tc>
          <w:tcPr>
            <w:tcW w:w="708" w:type="pct"/>
            <w:noWrap/>
          </w:tcPr>
          <w:p w14:paraId="74D7C0DE" w14:textId="58118093"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Each</w:t>
            </w:r>
          </w:p>
        </w:tc>
        <w:tc>
          <w:tcPr>
            <w:tcW w:w="905" w:type="pct"/>
            <w:noWrap/>
          </w:tcPr>
          <w:p w14:paraId="140EFEC9" w14:textId="3930ED7C"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6,005</w:t>
            </w:r>
          </w:p>
        </w:tc>
      </w:tr>
      <w:tr w:rsidR="00AA21EF" w:rsidRPr="00634F27" w14:paraId="2EE182B3"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28988CA3" w14:textId="785CF29B" w:rsidR="00E204B4" w:rsidRPr="00634F27" w:rsidRDefault="00E204B4" w:rsidP="0099499B">
            <w:pPr>
              <w:keepNext/>
              <w:widowControl w:val="0"/>
              <w:spacing w:before="0" w:after="0"/>
              <w:jc w:val="left"/>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F581736" w14:textId="20D41ED2"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717F7630" w14:textId="77797658"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Faucet Aerator - Kitchen (IU)</w:t>
            </w:r>
          </w:p>
        </w:tc>
        <w:tc>
          <w:tcPr>
            <w:tcW w:w="708" w:type="pct"/>
            <w:noWrap/>
          </w:tcPr>
          <w:p w14:paraId="41E60E24" w14:textId="58EDD9DB"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31B95AEA" w14:textId="14490365"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4,674</w:t>
            </w:r>
          </w:p>
        </w:tc>
      </w:tr>
      <w:tr w:rsidR="008A17B6" w:rsidRPr="00634F27" w14:paraId="3BCFF60D"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0768B18A" w14:textId="6DA332CE"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566FBB32" w14:textId="28E0F0C3"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176D529F" w14:textId="288F7002"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Showerhead (IU)</w:t>
            </w:r>
          </w:p>
        </w:tc>
        <w:tc>
          <w:tcPr>
            <w:tcW w:w="708" w:type="pct"/>
            <w:noWrap/>
          </w:tcPr>
          <w:p w14:paraId="58074EFD" w14:textId="2F9D38B4"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2B6E26B7" w14:textId="1E26EDED"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4,271</w:t>
            </w:r>
          </w:p>
        </w:tc>
      </w:tr>
      <w:tr w:rsidR="00D80A0A" w:rsidRPr="00634F27" w14:paraId="3D8545B9"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341F13B6" w14:textId="40AB7296"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2743EF6E" w14:textId="0C57B4D2"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74451F48" w14:textId="651412A0"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Wall Insulation</w:t>
            </w:r>
          </w:p>
        </w:tc>
        <w:tc>
          <w:tcPr>
            <w:tcW w:w="708" w:type="pct"/>
            <w:noWrap/>
          </w:tcPr>
          <w:p w14:paraId="1ACE0292" w14:textId="0F548BD7"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6C4566CA" w14:textId="4E4288B5"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3,934</w:t>
            </w:r>
          </w:p>
        </w:tc>
      </w:tr>
      <w:tr w:rsidR="008A17B6" w:rsidRPr="00634F27" w14:paraId="157DBB23"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3CD0AB3D" w14:textId="24E00D3B"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2C46259E" w14:textId="42686494"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1A1DEBCD" w14:textId="6EC58717"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Faucet Aerator - Bathroom (IU)</w:t>
            </w:r>
          </w:p>
        </w:tc>
        <w:tc>
          <w:tcPr>
            <w:tcW w:w="708" w:type="pct"/>
            <w:noWrap/>
          </w:tcPr>
          <w:p w14:paraId="08EBE34E" w14:textId="639F3899"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5C7BD3EB" w14:textId="57D82C2A"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3,136</w:t>
            </w:r>
          </w:p>
        </w:tc>
      </w:tr>
      <w:tr w:rsidR="00D80A0A" w:rsidRPr="00634F27" w14:paraId="66FD2B9E"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1380DC40" w14:textId="5E554BCD"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518E2F02" w14:textId="0949E2EC"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56AE3C90" w14:textId="31B31FF9"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Exhaust Damper</w:t>
            </w:r>
          </w:p>
        </w:tc>
        <w:tc>
          <w:tcPr>
            <w:tcW w:w="708" w:type="pct"/>
            <w:noWrap/>
          </w:tcPr>
          <w:p w14:paraId="75563C2C" w14:textId="52DA50DE"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084F585A" w14:textId="3E967A08"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3,082</w:t>
            </w:r>
          </w:p>
        </w:tc>
      </w:tr>
      <w:tr w:rsidR="008A17B6" w:rsidRPr="00634F27" w14:paraId="77C63BA5"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197F2BB6" w14:textId="507514B9"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3EBC9A64" w14:textId="36A8E73B"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647BCDC9" w14:textId="4435BA3C"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xml:space="preserve">Covers and Gap Sealers for Room AC </w:t>
            </w:r>
          </w:p>
        </w:tc>
        <w:tc>
          <w:tcPr>
            <w:tcW w:w="708" w:type="pct"/>
            <w:noWrap/>
          </w:tcPr>
          <w:p w14:paraId="7C928197" w14:textId="2FB0162E"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1B827B70" w14:textId="38B6D947"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2,222</w:t>
            </w:r>
          </w:p>
        </w:tc>
      </w:tr>
      <w:tr w:rsidR="00D80A0A" w:rsidRPr="00634F27" w14:paraId="75B503D8"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0AEB1F7B" w14:textId="4DE76B32"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92372F1" w14:textId="42084EE8"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5FFD8FC5" w14:textId="5B7128FD"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Steam Traps</w:t>
            </w:r>
          </w:p>
        </w:tc>
        <w:tc>
          <w:tcPr>
            <w:tcW w:w="708" w:type="pct"/>
            <w:noWrap/>
          </w:tcPr>
          <w:p w14:paraId="1D815B19" w14:textId="35FDBEA0"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0690A275" w14:textId="6BAC5BA8"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2,210</w:t>
            </w:r>
          </w:p>
        </w:tc>
      </w:tr>
      <w:tr w:rsidR="008A17B6" w:rsidRPr="00634F27" w14:paraId="03828FD7"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0A0D2461" w14:textId="1236FC3A"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353945ED" w14:textId="6276FC15"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713C60C6" w14:textId="4FA92C9D"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On Demand DHW Control</w:t>
            </w:r>
          </w:p>
        </w:tc>
        <w:tc>
          <w:tcPr>
            <w:tcW w:w="708" w:type="pct"/>
            <w:noWrap/>
          </w:tcPr>
          <w:p w14:paraId="3459774E" w14:textId="24F757E6"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6742AA0D" w14:textId="0A5F2046"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2,108</w:t>
            </w:r>
          </w:p>
        </w:tc>
      </w:tr>
      <w:tr w:rsidR="00D80A0A" w:rsidRPr="00634F27" w14:paraId="02DF20D4"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42D4D9C9" w14:textId="527893F8"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AB3D413" w14:textId="76D17605"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5FDBD7DC" w14:textId="243438A2"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Steam Pipe Averaging Controls</w:t>
            </w:r>
          </w:p>
        </w:tc>
        <w:tc>
          <w:tcPr>
            <w:tcW w:w="708" w:type="pct"/>
            <w:noWrap/>
          </w:tcPr>
          <w:p w14:paraId="0FF4EF9D" w14:textId="3C4EB4E3"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42990199" w14:textId="312A0E5B"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1,442</w:t>
            </w:r>
          </w:p>
        </w:tc>
      </w:tr>
      <w:tr w:rsidR="008A17B6" w:rsidRPr="00634F27" w14:paraId="0C37E786"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44FB1B1D" w14:textId="523C1B5C"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04C06EB" w14:textId="66F28691"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2FB25EFB" w14:textId="79E7BADB"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Crawl Space Ceiling Insulation</w:t>
            </w:r>
          </w:p>
        </w:tc>
        <w:tc>
          <w:tcPr>
            <w:tcW w:w="708" w:type="pct"/>
            <w:noWrap/>
          </w:tcPr>
          <w:p w14:paraId="68F29587" w14:textId="55384E47"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Sq Ft</w:t>
            </w:r>
          </w:p>
        </w:tc>
        <w:tc>
          <w:tcPr>
            <w:tcW w:w="905" w:type="pct"/>
            <w:noWrap/>
          </w:tcPr>
          <w:p w14:paraId="3D5F4DC9" w14:textId="1E65443D"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1,440</w:t>
            </w:r>
          </w:p>
        </w:tc>
      </w:tr>
      <w:tr w:rsidR="00D80A0A" w:rsidRPr="00634F27" w14:paraId="6FE8D16A"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57B9A871" w14:textId="62E4C32E"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087FC9B3" w14:textId="7D20B70A"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296998EB" w14:textId="0E91E86C"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Programmable Thermostat</w:t>
            </w:r>
          </w:p>
        </w:tc>
        <w:tc>
          <w:tcPr>
            <w:tcW w:w="708" w:type="pct"/>
            <w:noWrap/>
          </w:tcPr>
          <w:p w14:paraId="531C2E63" w14:textId="7FEF4F70"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7B2C5C96" w14:textId="742D5173"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271</w:t>
            </w:r>
          </w:p>
        </w:tc>
      </w:tr>
      <w:tr w:rsidR="008A17B6" w:rsidRPr="00634F27" w14:paraId="4B7E1E0A"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51B6B123" w14:textId="155B7984"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68B67FA0" w14:textId="715181CF"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3C4B1D41" w14:textId="0A4679E8"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Central Water Heater</w:t>
            </w:r>
          </w:p>
        </w:tc>
        <w:tc>
          <w:tcPr>
            <w:tcW w:w="708" w:type="pct"/>
            <w:noWrap/>
          </w:tcPr>
          <w:p w14:paraId="28AE1152" w14:textId="674EB98D"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38DB2DF0" w14:textId="46FBE5BB"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167</w:t>
            </w:r>
          </w:p>
        </w:tc>
      </w:tr>
      <w:tr w:rsidR="00D80A0A" w:rsidRPr="00634F27" w14:paraId="09F5BA38"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405334E8" w14:textId="5B1D5BE4"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532188DD" w14:textId="105B159E"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488C654B" w14:textId="18AD70D6"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Furnace Filter</w:t>
            </w:r>
          </w:p>
        </w:tc>
        <w:tc>
          <w:tcPr>
            <w:tcW w:w="708" w:type="pct"/>
            <w:noWrap/>
          </w:tcPr>
          <w:p w14:paraId="4D16D45F" w14:textId="1F536A67"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7FDE3073" w14:textId="64C95BA5"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160</w:t>
            </w:r>
          </w:p>
        </w:tc>
      </w:tr>
      <w:tr w:rsidR="008A17B6" w:rsidRPr="00634F27" w14:paraId="5EBCF522"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71B3B3C8" w14:textId="1ECF09E6"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1604FC1D" w14:textId="07BB89E2"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5848B322" w14:textId="4073C492"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Boiler Tune Up</w:t>
            </w:r>
          </w:p>
        </w:tc>
        <w:tc>
          <w:tcPr>
            <w:tcW w:w="708" w:type="pct"/>
            <w:noWrap/>
          </w:tcPr>
          <w:p w14:paraId="780D0DF1" w14:textId="6D2C1D78"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27DCDAA7" w14:textId="77256108"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157</w:t>
            </w:r>
          </w:p>
        </w:tc>
      </w:tr>
      <w:tr w:rsidR="00D80A0A" w:rsidRPr="00634F27" w14:paraId="49173A65"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12150999" w14:textId="0E303B89"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4C1DE9CE" w14:textId="6B68B721"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329F58A8" w14:textId="103A430E"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High Efficiency Furnace</w:t>
            </w:r>
          </w:p>
        </w:tc>
        <w:tc>
          <w:tcPr>
            <w:tcW w:w="708" w:type="pct"/>
            <w:noWrap/>
          </w:tcPr>
          <w:p w14:paraId="2618F030" w14:textId="619E0A5C"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MBH</w:t>
            </w:r>
          </w:p>
        </w:tc>
        <w:tc>
          <w:tcPr>
            <w:tcW w:w="905" w:type="pct"/>
            <w:noWrap/>
          </w:tcPr>
          <w:p w14:paraId="25C31C09" w14:textId="336A8A9D"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80</w:t>
            </w:r>
          </w:p>
        </w:tc>
      </w:tr>
      <w:tr w:rsidR="008A17B6" w:rsidRPr="00634F27" w14:paraId="7036464B"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1B280637" w14:textId="0D442C62"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6983376E" w14:textId="0B6769A5"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69F273CA" w14:textId="56CF43D8"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Reprogrammable Thermostat</w:t>
            </w:r>
          </w:p>
        </w:tc>
        <w:tc>
          <w:tcPr>
            <w:tcW w:w="708" w:type="pct"/>
            <w:noWrap/>
          </w:tcPr>
          <w:p w14:paraId="1550FDC1" w14:textId="5C44CD25"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5F2381C5" w14:textId="5D1F3672"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78</w:t>
            </w:r>
          </w:p>
        </w:tc>
      </w:tr>
      <w:tr w:rsidR="00D80A0A" w:rsidRPr="00634F27" w14:paraId="69C2EB9F"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6D33A261" w14:textId="7A10990D"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0E95C3F" w14:textId="69CC8454"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4384C437" w14:textId="5BE364D9"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Tankless Water Heater</w:t>
            </w:r>
          </w:p>
        </w:tc>
        <w:tc>
          <w:tcPr>
            <w:tcW w:w="708" w:type="pct"/>
            <w:noWrap/>
          </w:tcPr>
          <w:p w14:paraId="5768380A" w14:textId="5C239D6D"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543AAB1A" w14:textId="1254128C"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64</w:t>
            </w:r>
          </w:p>
        </w:tc>
      </w:tr>
      <w:tr w:rsidR="008A17B6" w:rsidRPr="00634F27" w14:paraId="141CF913"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75D6112B" w14:textId="3C4390AD"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305D99BB" w14:textId="07122347"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11DF5F32" w14:textId="5CB1E7AB"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DHW Tune Up</w:t>
            </w:r>
          </w:p>
        </w:tc>
        <w:tc>
          <w:tcPr>
            <w:tcW w:w="708" w:type="pct"/>
            <w:noWrap/>
          </w:tcPr>
          <w:p w14:paraId="4153C6D9" w14:textId="26A5BFAE"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460049D3" w14:textId="71E689AD"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49</w:t>
            </w:r>
          </w:p>
        </w:tc>
      </w:tr>
      <w:tr w:rsidR="00D80A0A" w:rsidRPr="00634F27" w14:paraId="6D4BE083"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368C0414" w14:textId="34C6FA61"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34853341" w14:textId="50801E39"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750C2318" w14:textId="1331E064"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High Efficiency Boiler</w:t>
            </w:r>
          </w:p>
        </w:tc>
        <w:tc>
          <w:tcPr>
            <w:tcW w:w="708" w:type="pct"/>
            <w:noWrap/>
          </w:tcPr>
          <w:p w14:paraId="6DAB51CB" w14:textId="391F8C04" w:rsidR="00E204B4" w:rsidRPr="00634F27" w:rsidRDefault="00F3194B"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905" w:type="pct"/>
            <w:noWrap/>
          </w:tcPr>
          <w:p w14:paraId="606DBF2C" w14:textId="7A972C64"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12</w:t>
            </w:r>
          </w:p>
        </w:tc>
      </w:tr>
      <w:tr w:rsidR="008A17B6" w:rsidRPr="00634F27" w14:paraId="38AC07AF"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12F0E027" w14:textId="153A187C"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3DD3F4A3" w14:textId="70CA120E" w:rsidR="00E204B4" w:rsidRPr="00634F27" w:rsidRDefault="00E204B4" w:rsidP="0099499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075CDB19" w14:textId="4A1B1F96" w:rsidR="00E204B4" w:rsidRPr="00634F27" w:rsidRDefault="00E204B4" w:rsidP="0099499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Advanced Thermostat</w:t>
            </w:r>
          </w:p>
        </w:tc>
        <w:tc>
          <w:tcPr>
            <w:tcW w:w="708" w:type="pct"/>
            <w:noWrap/>
          </w:tcPr>
          <w:p w14:paraId="104E054F" w14:textId="0C67401D" w:rsidR="00E204B4" w:rsidRPr="00634F27" w:rsidRDefault="00E204B4" w:rsidP="0099499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1C2E5628" w14:textId="302F7710" w:rsidR="00E204B4" w:rsidRPr="00634F27" w:rsidRDefault="00E204B4" w:rsidP="0099499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11</w:t>
            </w:r>
          </w:p>
        </w:tc>
      </w:tr>
      <w:tr w:rsidR="00D80A0A" w:rsidRPr="00634F27" w14:paraId="1E464967"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3AAFA588" w14:textId="6E398270" w:rsidR="00E204B4" w:rsidRPr="00634F27" w:rsidRDefault="00E204B4" w:rsidP="0099499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F6E2DE4" w14:textId="2F4E012B" w:rsidR="00E204B4" w:rsidRPr="00634F27" w:rsidRDefault="00E204B4" w:rsidP="0099499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40E37BB7" w14:textId="5BC76EBC" w:rsidR="00E204B4" w:rsidRPr="00634F27" w:rsidRDefault="00E204B4" w:rsidP="0099499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Boiler Reset Controls</w:t>
            </w:r>
          </w:p>
        </w:tc>
        <w:tc>
          <w:tcPr>
            <w:tcW w:w="708" w:type="pct"/>
            <w:noWrap/>
          </w:tcPr>
          <w:p w14:paraId="720DE6EE" w14:textId="715771F7" w:rsidR="00E204B4" w:rsidRPr="00634F27" w:rsidRDefault="00E204B4" w:rsidP="0099499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1A61354B" w14:textId="427842DE" w:rsidR="00E204B4" w:rsidRPr="00634F27" w:rsidRDefault="00E204B4" w:rsidP="0099499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5</w:t>
            </w:r>
          </w:p>
        </w:tc>
      </w:tr>
      <w:tr w:rsidR="00F3194B" w:rsidRPr="00634F27" w14:paraId="78F5CA66"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122A362D" w14:textId="6EF9BF11" w:rsidR="00F3194B" w:rsidRPr="00634F27" w:rsidRDefault="00F3194B" w:rsidP="00F3194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786D1A16" w14:textId="7E23E748" w:rsidR="00F3194B" w:rsidRPr="00634F27" w:rsidRDefault="00F3194B" w:rsidP="00F3194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IHWAP</w:t>
            </w:r>
          </w:p>
        </w:tc>
        <w:tc>
          <w:tcPr>
            <w:tcW w:w="1690" w:type="pct"/>
          </w:tcPr>
          <w:p w14:paraId="0C8EB19C" w14:textId="3A8DA1A4" w:rsidR="00F3194B" w:rsidRPr="00634F27" w:rsidRDefault="00F3194B" w:rsidP="00F3194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Assessment/No Savings</w:t>
            </w:r>
          </w:p>
        </w:tc>
        <w:tc>
          <w:tcPr>
            <w:tcW w:w="708" w:type="pct"/>
            <w:noWrap/>
          </w:tcPr>
          <w:p w14:paraId="59406BA3" w14:textId="2AF45F13" w:rsidR="00F3194B" w:rsidRPr="00634F27" w:rsidRDefault="00F3194B" w:rsidP="00F3194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176E2E60" w14:textId="4764C18D" w:rsidR="00F3194B" w:rsidRPr="00634F27" w:rsidRDefault="00F3194B" w:rsidP="00F3194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249</w:t>
            </w:r>
          </w:p>
        </w:tc>
      </w:tr>
      <w:tr w:rsidR="00F3194B" w:rsidRPr="00634F27" w14:paraId="14839906"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0862ADBC" w14:textId="6B52A221" w:rsidR="00F3194B" w:rsidRPr="00634F27" w:rsidRDefault="00F3194B" w:rsidP="00F3194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4CAFB061" w14:textId="5C22BB7B" w:rsidR="00F3194B" w:rsidRPr="00634F27" w:rsidRDefault="00F3194B" w:rsidP="00F3194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0B0E6417" w14:textId="7216A5E9" w:rsidR="00F3194B" w:rsidRPr="00634F27" w:rsidRDefault="00F3194B" w:rsidP="00F3194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Custom</w:t>
            </w:r>
          </w:p>
        </w:tc>
        <w:tc>
          <w:tcPr>
            <w:tcW w:w="708" w:type="pct"/>
            <w:noWrap/>
          </w:tcPr>
          <w:p w14:paraId="42227A95" w14:textId="7F2362FD" w:rsidR="00F3194B" w:rsidRPr="00634F27" w:rsidRDefault="00F3194B" w:rsidP="00F3194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3FC570C2" w14:textId="1B8DBCF0" w:rsidR="00F3194B" w:rsidRPr="00634F27" w:rsidRDefault="00F3194B" w:rsidP="00F3194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95</w:t>
            </w:r>
          </w:p>
        </w:tc>
      </w:tr>
      <w:tr w:rsidR="00F3194B" w:rsidRPr="00634F27" w14:paraId="36331583"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179226CA" w14:textId="49691E6A" w:rsidR="00F3194B" w:rsidRPr="00634F27" w:rsidRDefault="00F3194B" w:rsidP="00F3194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5CE6E248" w14:textId="60C0B23B" w:rsidR="00F3194B" w:rsidRPr="00634F27" w:rsidRDefault="00F3194B" w:rsidP="00F3194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2083C843" w14:textId="401EBE2E" w:rsidR="00F3194B" w:rsidRPr="00634F27" w:rsidRDefault="00F3194B" w:rsidP="00F3194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Showerhead (IU)</w:t>
            </w:r>
          </w:p>
        </w:tc>
        <w:tc>
          <w:tcPr>
            <w:tcW w:w="708" w:type="pct"/>
            <w:noWrap/>
          </w:tcPr>
          <w:p w14:paraId="7AA67F96" w14:textId="29DD1E90" w:rsidR="00F3194B" w:rsidRPr="00634F27" w:rsidRDefault="00F3194B" w:rsidP="00F3194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6079A81C" w14:textId="10A5C51F" w:rsidR="00F3194B" w:rsidRPr="00634F27" w:rsidRDefault="00F3194B" w:rsidP="00F3194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80</w:t>
            </w:r>
          </w:p>
        </w:tc>
      </w:tr>
      <w:tr w:rsidR="00F3194B" w:rsidRPr="00634F27" w14:paraId="5E406FA0" w14:textId="77777777" w:rsidTr="00F3194B">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60CD062C" w14:textId="6BBD0295" w:rsidR="00F3194B" w:rsidRPr="00634F27" w:rsidRDefault="00F3194B" w:rsidP="00F3194B">
            <w:pPr>
              <w:keepNext/>
              <w:widowControl w:val="0"/>
              <w:spacing w:before="0" w:after="0"/>
              <w:rPr>
                <w:rFonts w:ascii="Arial Narrow" w:hAnsi="Arial Narrow"/>
                <w:color w:val="000000"/>
                <w:sz w:val="20"/>
                <w:szCs w:val="20"/>
              </w:rPr>
            </w:pPr>
            <w:r w:rsidRPr="00634F27">
              <w:rPr>
                <w:rFonts w:ascii="Arial Narrow" w:hAnsi="Arial Narrow"/>
                <w:color w:val="000000"/>
                <w:sz w:val="20"/>
                <w:szCs w:val="20"/>
              </w:rPr>
              <w:t> </w:t>
            </w:r>
          </w:p>
        </w:tc>
        <w:tc>
          <w:tcPr>
            <w:tcW w:w="747" w:type="pct"/>
          </w:tcPr>
          <w:p w14:paraId="3472C00B" w14:textId="4D1905A4" w:rsidR="00F3194B" w:rsidRPr="00634F27" w:rsidRDefault="00F3194B" w:rsidP="00F3194B">
            <w:pPr>
              <w:keepNext/>
              <w:widowControl w:val="0"/>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313E3BB7" w14:textId="74FBF3DC" w:rsidR="00F3194B" w:rsidRPr="00634F27" w:rsidRDefault="00F3194B" w:rsidP="00F3194B">
            <w:pPr>
              <w:keepNext/>
              <w:widowControl w:val="0"/>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Faucet Aerator - Bathroom (IU)</w:t>
            </w:r>
          </w:p>
        </w:tc>
        <w:tc>
          <w:tcPr>
            <w:tcW w:w="708" w:type="pct"/>
            <w:noWrap/>
          </w:tcPr>
          <w:p w14:paraId="3B85AD87" w14:textId="77B37606" w:rsidR="00F3194B" w:rsidRPr="00634F27" w:rsidRDefault="00F3194B" w:rsidP="00F3194B">
            <w:pPr>
              <w:keepNext/>
              <w:widowControl w:val="0"/>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125EE9EA" w14:textId="00E1FCE1" w:rsidR="00F3194B" w:rsidRPr="00634F27" w:rsidRDefault="00F3194B" w:rsidP="00F3194B">
            <w:pPr>
              <w:keepNext/>
              <w:widowControl w:val="0"/>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37</w:t>
            </w:r>
          </w:p>
        </w:tc>
      </w:tr>
      <w:tr w:rsidR="00F3194B" w:rsidRPr="00634F27" w14:paraId="3FE3A205" w14:textId="77777777" w:rsidTr="00F3194B">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50" w:type="pct"/>
          </w:tcPr>
          <w:p w14:paraId="6907411D" w14:textId="1617EE7F" w:rsidR="00F3194B" w:rsidRPr="00634F27" w:rsidRDefault="00F3194B" w:rsidP="00F3194B">
            <w:pPr>
              <w:keepNext/>
              <w:widowControl w:val="0"/>
              <w:spacing w:before="0" w:after="0"/>
              <w:rPr>
                <w:rFonts w:ascii="Arial Narrow" w:hAnsi="Arial Narrow"/>
                <w:color w:val="000000"/>
                <w:sz w:val="20"/>
                <w:szCs w:val="20"/>
              </w:rPr>
            </w:pPr>
            <w:r w:rsidRPr="00634F27">
              <w:rPr>
                <w:rFonts w:ascii="Arial Narrow" w:hAnsi="Arial Narrow"/>
                <w:b/>
                <w:bCs/>
                <w:color w:val="000000"/>
                <w:sz w:val="20"/>
                <w:szCs w:val="20"/>
              </w:rPr>
              <w:t> </w:t>
            </w:r>
          </w:p>
        </w:tc>
        <w:tc>
          <w:tcPr>
            <w:tcW w:w="747" w:type="pct"/>
          </w:tcPr>
          <w:p w14:paraId="5659D644" w14:textId="2F252BEB" w:rsidR="00F3194B" w:rsidRPr="00634F27" w:rsidRDefault="00F3194B" w:rsidP="00F3194B">
            <w:pPr>
              <w:keepNext/>
              <w:widowControl w:val="0"/>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olor w:val="000000"/>
                <w:sz w:val="20"/>
                <w:szCs w:val="20"/>
              </w:rPr>
              <w:t> </w:t>
            </w:r>
          </w:p>
        </w:tc>
        <w:tc>
          <w:tcPr>
            <w:tcW w:w="1690" w:type="pct"/>
          </w:tcPr>
          <w:p w14:paraId="4F7DDBA6" w14:textId="6CDE58AD" w:rsidR="00F3194B" w:rsidRPr="00634F27" w:rsidRDefault="00F3194B" w:rsidP="00F3194B">
            <w:pPr>
              <w:keepNext/>
              <w:widowControl w:val="0"/>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Faucet Aerator - Kitchen (IU)</w:t>
            </w:r>
          </w:p>
        </w:tc>
        <w:tc>
          <w:tcPr>
            <w:tcW w:w="708" w:type="pct"/>
            <w:noWrap/>
          </w:tcPr>
          <w:p w14:paraId="2A604D31" w14:textId="053D1FE4" w:rsidR="00F3194B" w:rsidRPr="00634F27" w:rsidRDefault="00F3194B" w:rsidP="00F3194B">
            <w:pPr>
              <w:keepNext/>
              <w:widowControl w:val="0"/>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4B7E1B21" w14:textId="5046843D" w:rsidR="00F3194B" w:rsidRPr="00634F27" w:rsidRDefault="00F3194B" w:rsidP="00F3194B">
            <w:pPr>
              <w:keepNext/>
              <w:widowControl w:val="0"/>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w:t>
            </w:r>
          </w:p>
        </w:tc>
      </w:tr>
    </w:tbl>
    <w:p w14:paraId="1C5FCFA4" w14:textId="77777777" w:rsidR="00E93A62" w:rsidRPr="00F65903" w:rsidRDefault="00E93A62" w:rsidP="00634F27">
      <w:pPr>
        <w:pStyle w:val="Source"/>
        <w:keepNext/>
        <w:keepLines/>
        <w:rPr>
          <w:sz w:val="18"/>
          <w:szCs w:val="18"/>
        </w:rPr>
      </w:pPr>
      <w:r w:rsidRPr="00F65903">
        <w:rPr>
          <w:sz w:val="18"/>
          <w:szCs w:val="18"/>
        </w:rPr>
        <w:t>Source: Peoples Gas tracking data and Guidehouse evaluation team analysis.</w:t>
      </w:r>
    </w:p>
    <w:p w14:paraId="22AD8C6A" w14:textId="77777777" w:rsidR="00E93A62" w:rsidRDefault="00E93A62" w:rsidP="00E93A62"/>
    <w:p w14:paraId="76F07D12" w14:textId="497877FD" w:rsidR="00E93A62" w:rsidRDefault="00E93A62" w:rsidP="00E93A62">
      <w:r>
        <w:t xml:space="preserve">The NSG program had </w:t>
      </w:r>
      <w:r w:rsidR="007A35E4">
        <w:t>16</w:t>
      </w:r>
      <w:r>
        <w:t xml:space="preserve"> participants in </w:t>
      </w:r>
      <w:r w:rsidR="00D90A46">
        <w:t>2024</w:t>
      </w:r>
      <w:r>
        <w:t xml:space="preserve"> and completed</w:t>
      </w:r>
      <w:r w:rsidR="00CB3C64">
        <w:t xml:space="preserve"> </w:t>
      </w:r>
      <w:r w:rsidR="007A35E4">
        <w:t>780</w:t>
      </w:r>
      <w:r w:rsidR="00CB3C64">
        <w:t xml:space="preserve"> </w:t>
      </w:r>
      <w:r>
        <w:t xml:space="preserve">projects as shown in the following table. </w:t>
      </w:r>
    </w:p>
    <w:p w14:paraId="747E4FB3" w14:textId="53AF29EF" w:rsidR="00E93A62" w:rsidRDefault="00675F6C" w:rsidP="004B73FE">
      <w:pPr>
        <w:pStyle w:val="Caption"/>
      </w:pPr>
      <w:bookmarkStart w:id="20" w:name="_Toc61360474"/>
      <w:bookmarkStart w:id="21" w:name="_Toc193349178"/>
      <w:bookmarkStart w:id="22" w:name="_Toc193349212"/>
      <w:bookmarkStart w:id="23" w:name="_Toc193349927"/>
      <w:r>
        <w:lastRenderedPageBreak/>
        <w:t xml:space="preserve">Table </w:t>
      </w:r>
      <w:r w:rsidR="0034721B">
        <w:fldChar w:fldCharType="begin"/>
      </w:r>
      <w:r w:rsidR="0034721B">
        <w:instrText xml:space="preserve"> SEQ Table \* ARABIC </w:instrText>
      </w:r>
      <w:r w:rsidR="0034721B">
        <w:fldChar w:fldCharType="separate"/>
      </w:r>
      <w:r w:rsidR="0034721B">
        <w:rPr>
          <w:noProof/>
        </w:rPr>
        <w:t>3</w:t>
      </w:r>
      <w:r w:rsidR="0034721B">
        <w:rPr>
          <w:noProof/>
        </w:rPr>
        <w:fldChar w:fldCharType="end"/>
      </w:r>
      <w:r>
        <w:t xml:space="preserve">. </w:t>
      </w:r>
      <w:r w:rsidR="00A22BDA">
        <w:t xml:space="preserve">2024 MFIE Program </w:t>
      </w:r>
      <w:r w:rsidR="00E93A62">
        <w:t>Volumetric Summary for NSG</w:t>
      </w:r>
      <w:bookmarkEnd w:id="20"/>
      <w:bookmarkEnd w:id="21"/>
      <w:bookmarkEnd w:id="22"/>
      <w:bookmarkEnd w:id="23"/>
    </w:p>
    <w:tbl>
      <w:tblPr>
        <w:tblStyle w:val="EnergyTable"/>
        <w:tblW w:w="0" w:type="auto"/>
        <w:tblLook w:val="04A0" w:firstRow="1" w:lastRow="0" w:firstColumn="1" w:lastColumn="0" w:noHBand="0" w:noVBand="1"/>
      </w:tblPr>
      <w:tblGrid>
        <w:gridCol w:w="2140"/>
        <w:gridCol w:w="1329"/>
      </w:tblGrid>
      <w:tr w:rsidR="00D72B45" w:rsidRPr="00634F27" w14:paraId="168347F7" w14:textId="77777777" w:rsidTr="00434B54">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2CC47347" w14:textId="77777777" w:rsidR="00D72B45" w:rsidRPr="00634F27" w:rsidRDefault="00D72B45">
            <w:pPr>
              <w:keepNext/>
              <w:keepLines/>
              <w:jc w:val="left"/>
              <w:rPr>
                <w:rFonts w:ascii="Arial Narrow" w:eastAsia="Calibri" w:hAnsi="Arial Narrow"/>
                <w:b w:val="0"/>
                <w:bCs/>
                <w:sz w:val="20"/>
                <w:szCs w:val="20"/>
              </w:rPr>
            </w:pPr>
            <w:r w:rsidRPr="00634F27">
              <w:rPr>
                <w:rFonts w:ascii="Arial Narrow" w:hAnsi="Arial Narrow"/>
                <w:b w:val="0"/>
                <w:bCs/>
                <w:sz w:val="20"/>
                <w:szCs w:val="20"/>
              </w:rPr>
              <w:t>Participation</w:t>
            </w:r>
          </w:p>
        </w:tc>
        <w:tc>
          <w:tcPr>
            <w:tcW w:w="0" w:type="auto"/>
            <w:hideMark/>
          </w:tcPr>
          <w:p w14:paraId="07872EE8" w14:textId="1E36B43D" w:rsidR="00D72B45" w:rsidRPr="00634F27" w:rsidRDefault="00957BD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634F27">
              <w:rPr>
                <w:rFonts w:ascii="Arial Narrow" w:hAnsi="Arial Narrow"/>
                <w:b w:val="0"/>
                <w:bCs/>
                <w:sz w:val="20"/>
                <w:szCs w:val="20"/>
              </w:rPr>
              <w:t>Income Eligible</w:t>
            </w:r>
          </w:p>
        </w:tc>
      </w:tr>
      <w:tr w:rsidR="00D72B45" w:rsidRPr="00634F27" w14:paraId="2D1E2CCF" w14:textId="77777777" w:rsidTr="00434B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noWrap/>
          </w:tcPr>
          <w:p w14:paraId="456C8BF2" w14:textId="3EF922B4" w:rsidR="00D72B45" w:rsidRPr="00634F27" w:rsidRDefault="00D72B45" w:rsidP="00D72B45">
            <w:pPr>
              <w:keepNext/>
              <w:keepLines/>
              <w:jc w:val="left"/>
              <w:rPr>
                <w:rFonts w:ascii="Arial Narrow" w:eastAsia="Calibri" w:hAnsi="Arial Narrow"/>
                <w:color w:val="000000"/>
                <w:sz w:val="20"/>
                <w:szCs w:val="20"/>
              </w:rPr>
            </w:pPr>
            <w:r w:rsidRPr="00634F27">
              <w:rPr>
                <w:rFonts w:ascii="Arial Narrow" w:hAnsi="Arial Narrow" w:cs="Calibri"/>
                <w:color w:val="000000"/>
                <w:sz w:val="20"/>
                <w:szCs w:val="20"/>
              </w:rPr>
              <w:t>Participants *</w:t>
            </w:r>
          </w:p>
        </w:tc>
        <w:tc>
          <w:tcPr>
            <w:tcW w:w="0" w:type="auto"/>
            <w:noWrap/>
          </w:tcPr>
          <w:p w14:paraId="7041AC1C" w14:textId="76B53877" w:rsidR="00D72B45" w:rsidRPr="00634F27" w:rsidRDefault="00D72B45" w:rsidP="00D72B45">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634F27">
              <w:rPr>
                <w:rFonts w:ascii="Arial Narrow" w:hAnsi="Arial Narrow" w:cs="Calibri"/>
                <w:color w:val="000000"/>
                <w:sz w:val="20"/>
                <w:szCs w:val="20"/>
              </w:rPr>
              <w:t>16</w:t>
            </w:r>
          </w:p>
        </w:tc>
      </w:tr>
      <w:tr w:rsidR="00D72B45" w:rsidRPr="00634F27" w14:paraId="28F19009" w14:textId="77777777" w:rsidTr="00434B5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79A9CFF2" w14:textId="4FC0AACC" w:rsidR="00D72B45" w:rsidRPr="00634F27" w:rsidRDefault="00D72B45" w:rsidP="00D72B45">
            <w:pPr>
              <w:keepNext/>
              <w:keepLines/>
              <w:jc w:val="left"/>
              <w:rPr>
                <w:rFonts w:ascii="Arial Narrow" w:eastAsia="Calibri" w:hAnsi="Arial Narrow"/>
                <w:bCs/>
                <w:color w:val="000000"/>
                <w:sz w:val="20"/>
                <w:szCs w:val="20"/>
              </w:rPr>
            </w:pPr>
            <w:r w:rsidRPr="00634F27">
              <w:rPr>
                <w:rFonts w:ascii="Arial Narrow" w:hAnsi="Arial Narrow" w:cs="Calibri"/>
                <w:color w:val="000000"/>
                <w:sz w:val="20"/>
                <w:szCs w:val="20"/>
              </w:rPr>
              <w:t>Installed Projects †</w:t>
            </w:r>
          </w:p>
        </w:tc>
        <w:tc>
          <w:tcPr>
            <w:tcW w:w="0" w:type="auto"/>
            <w:noWrap/>
          </w:tcPr>
          <w:p w14:paraId="029B7373" w14:textId="2D65342B" w:rsidR="00D72B45" w:rsidRPr="00634F27" w:rsidRDefault="00D72B45" w:rsidP="00D72B45">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634F27">
              <w:rPr>
                <w:rFonts w:ascii="Arial Narrow" w:hAnsi="Arial Narrow" w:cs="Calibri"/>
                <w:color w:val="000000"/>
                <w:sz w:val="20"/>
                <w:szCs w:val="20"/>
              </w:rPr>
              <w:t>780</w:t>
            </w:r>
          </w:p>
        </w:tc>
      </w:tr>
      <w:tr w:rsidR="00D72B45" w:rsidRPr="00634F27" w14:paraId="7D3DC692" w14:textId="77777777" w:rsidTr="00434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562F7FD0" w14:textId="75535C97" w:rsidR="00D72B45" w:rsidRPr="00634F27" w:rsidRDefault="00D72B45" w:rsidP="00D72B45">
            <w:pPr>
              <w:keepNext/>
              <w:keepLines/>
              <w:jc w:val="left"/>
              <w:rPr>
                <w:rFonts w:ascii="Arial Narrow" w:hAnsi="Arial Narrow"/>
                <w:color w:val="7030A0"/>
                <w:sz w:val="20"/>
                <w:szCs w:val="20"/>
              </w:rPr>
            </w:pPr>
            <w:r w:rsidRPr="00634F27">
              <w:rPr>
                <w:rFonts w:ascii="Arial Narrow" w:hAnsi="Arial Narrow" w:cs="Calibri"/>
                <w:color w:val="000000"/>
                <w:sz w:val="20"/>
                <w:szCs w:val="20"/>
              </w:rPr>
              <w:t>Measure Types Installed ‡</w:t>
            </w:r>
          </w:p>
        </w:tc>
        <w:tc>
          <w:tcPr>
            <w:tcW w:w="0" w:type="auto"/>
            <w:noWrap/>
          </w:tcPr>
          <w:p w14:paraId="77473789" w14:textId="1A13FA2E" w:rsidR="00D72B45" w:rsidRPr="00634F27" w:rsidRDefault="00D72B45" w:rsidP="00D72B45">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634F27">
              <w:rPr>
                <w:rFonts w:ascii="Arial Narrow" w:hAnsi="Arial Narrow" w:cs="Calibri"/>
                <w:color w:val="000000"/>
                <w:sz w:val="20"/>
                <w:szCs w:val="20"/>
              </w:rPr>
              <w:t>18</w:t>
            </w:r>
          </w:p>
        </w:tc>
      </w:tr>
    </w:tbl>
    <w:p w14:paraId="7E7BE8B7" w14:textId="5CD819D0" w:rsidR="00E93A62" w:rsidRPr="00957BDB" w:rsidRDefault="00957BDB" w:rsidP="00634F27">
      <w:pPr>
        <w:pStyle w:val="StyleSourceFirstline106"/>
        <w:keepNext/>
        <w:keepLines/>
        <w:ind w:left="2880" w:firstLine="0"/>
        <w:rPr>
          <w:rFonts w:cs="Arial"/>
          <w:i w:val="0"/>
          <w:iCs w:val="0"/>
          <w:sz w:val="18"/>
          <w:szCs w:val="18"/>
        </w:rPr>
      </w:pPr>
      <w:r w:rsidRPr="00957BDB">
        <w:rPr>
          <w:rFonts w:cs="Arial"/>
          <w:i w:val="0"/>
          <w:iCs w:val="0"/>
          <w:sz w:val="18"/>
          <w:szCs w:val="18"/>
        </w:rPr>
        <w:t>* Participants are defined as unique Gas Account Numbers.</w:t>
      </w:r>
      <w:r w:rsidRPr="00957BDB">
        <w:rPr>
          <w:rFonts w:cs="Arial"/>
          <w:i w:val="0"/>
          <w:iCs w:val="0"/>
          <w:sz w:val="18"/>
          <w:szCs w:val="18"/>
        </w:rPr>
        <w:br/>
        <w:t>† Installed Projects are defined as unique Work Order IDs.</w:t>
      </w:r>
      <w:r w:rsidRPr="00957BDB">
        <w:rPr>
          <w:rFonts w:cs="Arial"/>
          <w:i w:val="0"/>
          <w:iCs w:val="0"/>
          <w:sz w:val="18"/>
          <w:szCs w:val="18"/>
        </w:rPr>
        <w:br/>
        <w:t xml:space="preserve">‡ Measure Types Installed are the distinct count of </w:t>
      </w:r>
      <w:r>
        <w:rPr>
          <w:rFonts w:cs="Arial"/>
          <w:i w:val="0"/>
          <w:iCs w:val="0"/>
          <w:sz w:val="18"/>
          <w:szCs w:val="18"/>
        </w:rPr>
        <w:t>NSG</w:t>
      </w:r>
      <w:r w:rsidRPr="00957BDB">
        <w:rPr>
          <w:rFonts w:cs="Arial"/>
          <w:i w:val="0"/>
          <w:iCs w:val="0"/>
          <w:sz w:val="18"/>
          <w:szCs w:val="18"/>
        </w:rPr>
        <w:t xml:space="preserve"> measure names </w:t>
      </w:r>
      <w:r w:rsidRPr="00957BDB">
        <w:rPr>
          <w:rFonts w:cs="Arial"/>
          <w:i w:val="0"/>
          <w:iCs w:val="0"/>
          <w:sz w:val="18"/>
          <w:szCs w:val="18"/>
        </w:rPr>
        <w:br/>
      </w:r>
      <w:r w:rsidR="00E93A62" w:rsidRPr="006E0F38">
        <w:rPr>
          <w:rFonts w:cs="Arial"/>
          <w:sz w:val="18"/>
          <w:szCs w:val="18"/>
        </w:rPr>
        <w:t xml:space="preserve">Source: </w:t>
      </w:r>
      <w:bookmarkStart w:id="24" w:name="_Hlk29978029"/>
      <w:r w:rsidR="00E93A62" w:rsidRPr="006E0F38">
        <w:rPr>
          <w:rFonts w:cs="Arial"/>
          <w:sz w:val="18"/>
          <w:szCs w:val="18"/>
        </w:rPr>
        <w:t>North Shore Gas tracking data and Guidehouse evaluation team analysis</w:t>
      </w:r>
      <w:bookmarkEnd w:id="24"/>
      <w:r w:rsidR="00E93A62" w:rsidRPr="006E0F38">
        <w:rPr>
          <w:rFonts w:cs="Arial"/>
          <w:sz w:val="18"/>
          <w:szCs w:val="18"/>
        </w:rPr>
        <w:t>.</w:t>
      </w:r>
    </w:p>
    <w:p w14:paraId="59D4364E" w14:textId="0D4C4E1A" w:rsidR="00E93A62" w:rsidRDefault="006A46FD" w:rsidP="00E93A62">
      <w:r>
        <w:fldChar w:fldCharType="begin"/>
      </w:r>
      <w:r>
        <w:instrText xml:space="preserve"> REF _Ref189739451 \h </w:instrText>
      </w:r>
      <w:r>
        <w:fldChar w:fldCharType="separate"/>
      </w:r>
      <w:r w:rsidR="00434B54">
        <w:t xml:space="preserve">Table </w:t>
      </w:r>
      <w:r w:rsidR="00434B54">
        <w:rPr>
          <w:noProof/>
        </w:rPr>
        <w:t>4</w:t>
      </w:r>
      <w:r>
        <w:fldChar w:fldCharType="end"/>
      </w:r>
      <w:r>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3D342720" w14:textId="77777777" w:rsidR="00E93A62" w:rsidRDefault="00E93A62" w:rsidP="00E93A62"/>
    <w:p w14:paraId="14CDD9D5" w14:textId="4A1F6666" w:rsidR="00E93A62" w:rsidRDefault="001C79FE" w:rsidP="004B73FE">
      <w:pPr>
        <w:pStyle w:val="Caption"/>
      </w:pPr>
      <w:bookmarkStart w:id="25" w:name="_Ref189739451"/>
      <w:bookmarkStart w:id="26" w:name="_Toc61360475"/>
      <w:bookmarkStart w:id="27" w:name="_Toc193349179"/>
      <w:bookmarkStart w:id="28" w:name="_Toc193349213"/>
      <w:bookmarkStart w:id="29" w:name="_Toc193349928"/>
      <w:r>
        <w:t xml:space="preserve">Table </w:t>
      </w:r>
      <w:r w:rsidR="0034721B">
        <w:fldChar w:fldCharType="begin"/>
      </w:r>
      <w:r w:rsidR="0034721B">
        <w:instrText xml:space="preserve"> SEQ Table \* ARABIC </w:instrText>
      </w:r>
      <w:r w:rsidR="0034721B">
        <w:fldChar w:fldCharType="separate"/>
      </w:r>
      <w:r w:rsidR="0034721B">
        <w:rPr>
          <w:noProof/>
        </w:rPr>
        <w:t>4</w:t>
      </w:r>
      <w:r w:rsidR="0034721B">
        <w:rPr>
          <w:noProof/>
        </w:rPr>
        <w:fldChar w:fldCharType="end"/>
      </w:r>
      <w:bookmarkEnd w:id="25"/>
      <w:r>
        <w:t>.</w:t>
      </w:r>
      <w:r w:rsidR="00E93A62">
        <w:t xml:space="preserve"> </w:t>
      </w:r>
      <w:r w:rsidR="00A22BDA">
        <w:t>2024 MFIE Program</w:t>
      </w:r>
      <w:r w:rsidR="00E93A62">
        <w:t xml:space="preserve"> Installed </w:t>
      </w:r>
      <w:r w:rsidR="00E93A62" w:rsidRPr="0084176E">
        <w:t>Measure</w:t>
      </w:r>
      <w:r w:rsidR="00E93A62">
        <w:t xml:space="preserve"> Quantities for NSG</w:t>
      </w:r>
      <w:bookmarkEnd w:id="26"/>
      <w:bookmarkEnd w:id="27"/>
      <w:bookmarkEnd w:id="28"/>
      <w:bookmarkEnd w:id="29"/>
    </w:p>
    <w:tbl>
      <w:tblPr>
        <w:tblStyle w:val="EnergyTable"/>
        <w:tblW w:w="5000" w:type="pct"/>
        <w:tblLook w:val="04A0" w:firstRow="1" w:lastRow="0" w:firstColumn="1" w:lastColumn="0" w:noHBand="0" w:noVBand="1"/>
      </w:tblPr>
      <w:tblGrid>
        <w:gridCol w:w="1779"/>
        <w:gridCol w:w="1398"/>
        <w:gridCol w:w="3164"/>
        <w:gridCol w:w="1325"/>
        <w:gridCol w:w="1694"/>
      </w:tblGrid>
      <w:tr w:rsidR="00E93A62" w:rsidRPr="00634F27" w14:paraId="2841E72D" w14:textId="77777777" w:rsidTr="00F31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382A86BD" w14:textId="77777777" w:rsidR="00E93A62" w:rsidRPr="00634F27" w:rsidRDefault="00E93A62" w:rsidP="00137601">
            <w:pPr>
              <w:keepNext/>
              <w:keepLines/>
              <w:spacing w:before="0" w:after="0"/>
              <w:jc w:val="left"/>
              <w:rPr>
                <w:rFonts w:ascii="Arial Narrow" w:hAnsi="Arial Narrow" w:cs="Arial"/>
                <w:b w:val="0"/>
                <w:bCs/>
                <w:color w:val="FFFFFF"/>
                <w:sz w:val="20"/>
                <w:szCs w:val="20"/>
              </w:rPr>
            </w:pPr>
            <w:r w:rsidRPr="00634F27">
              <w:rPr>
                <w:rFonts w:ascii="Arial Narrow" w:hAnsi="Arial Narrow" w:cs="Arial"/>
                <w:b w:val="0"/>
                <w:bCs/>
                <w:color w:val="FFFFFF"/>
                <w:sz w:val="20"/>
                <w:szCs w:val="20"/>
              </w:rPr>
              <w:t>Program Category</w:t>
            </w:r>
          </w:p>
        </w:tc>
        <w:tc>
          <w:tcPr>
            <w:tcW w:w="747" w:type="pct"/>
          </w:tcPr>
          <w:p w14:paraId="527FC9A4" w14:textId="77777777" w:rsidR="00E93A62" w:rsidRPr="00634F27" w:rsidRDefault="00E93A62" w:rsidP="00137601">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cs="Arial"/>
                <w:b w:val="0"/>
                <w:bCs/>
                <w:color w:val="FFFFFF"/>
                <w:sz w:val="20"/>
                <w:szCs w:val="20"/>
              </w:rPr>
              <w:t>Program Path</w:t>
            </w:r>
          </w:p>
        </w:tc>
        <w:tc>
          <w:tcPr>
            <w:tcW w:w="1690" w:type="pct"/>
            <w:hideMark/>
          </w:tcPr>
          <w:p w14:paraId="0B676F46" w14:textId="77777777" w:rsidR="00E93A62" w:rsidRPr="00634F27" w:rsidRDefault="00E93A62" w:rsidP="00137601">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cs="Arial"/>
                <w:b w:val="0"/>
                <w:bCs/>
                <w:color w:val="FFFFFF"/>
                <w:sz w:val="20"/>
                <w:szCs w:val="20"/>
              </w:rPr>
              <w:t>Measure</w:t>
            </w:r>
          </w:p>
        </w:tc>
        <w:tc>
          <w:tcPr>
            <w:tcW w:w="708" w:type="pct"/>
          </w:tcPr>
          <w:p w14:paraId="1A2489FA" w14:textId="77777777" w:rsidR="00E93A62" w:rsidRPr="00634F27" w:rsidRDefault="00E93A62" w:rsidP="00137601">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b w:val="0"/>
                <w:sz w:val="20"/>
                <w:szCs w:val="20"/>
              </w:rPr>
              <w:t>Quantity Unit</w:t>
            </w:r>
          </w:p>
        </w:tc>
        <w:tc>
          <w:tcPr>
            <w:tcW w:w="905" w:type="pct"/>
          </w:tcPr>
          <w:p w14:paraId="06CE027B" w14:textId="77777777" w:rsidR="00E93A62" w:rsidRPr="00634F27" w:rsidRDefault="00E93A62" w:rsidP="00137601">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634F27">
              <w:rPr>
                <w:rFonts w:ascii="Arial Narrow" w:hAnsi="Arial Narrow"/>
                <w:b w:val="0"/>
                <w:sz w:val="20"/>
                <w:szCs w:val="20"/>
              </w:rPr>
              <w:t>Installed Quantity</w:t>
            </w:r>
          </w:p>
        </w:tc>
      </w:tr>
      <w:tr w:rsidR="00764B35" w:rsidRPr="00634F27" w14:paraId="15CB2B64" w14:textId="77777777" w:rsidTr="00F31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034E6F8F" w14:textId="2ACD7BD3" w:rsidR="00764B35" w:rsidRPr="00634F27" w:rsidRDefault="00764B35" w:rsidP="00137601">
            <w:pPr>
              <w:keepNext/>
              <w:keepLines/>
              <w:spacing w:before="0" w:after="0"/>
              <w:jc w:val="left"/>
              <w:rPr>
                <w:rFonts w:ascii="Arial Narrow" w:hAnsi="Arial Narrow"/>
                <w:b/>
                <w:bCs/>
                <w:color w:val="000000"/>
                <w:sz w:val="20"/>
                <w:szCs w:val="20"/>
              </w:rPr>
            </w:pPr>
            <w:r w:rsidRPr="00634F27">
              <w:rPr>
                <w:rFonts w:ascii="Arial Narrow" w:hAnsi="Arial Narrow" w:cs="Calibri"/>
                <w:b/>
                <w:bCs/>
                <w:color w:val="000000"/>
                <w:sz w:val="20"/>
                <w:szCs w:val="20"/>
              </w:rPr>
              <w:t>Multi-Family</w:t>
            </w:r>
          </w:p>
        </w:tc>
        <w:tc>
          <w:tcPr>
            <w:tcW w:w="747" w:type="pct"/>
          </w:tcPr>
          <w:p w14:paraId="731A7BFD" w14:textId="2814082C"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Income Eligible</w:t>
            </w:r>
          </w:p>
        </w:tc>
        <w:tc>
          <w:tcPr>
            <w:tcW w:w="1690" w:type="pct"/>
          </w:tcPr>
          <w:p w14:paraId="5A139E35" w14:textId="3607AE4F"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Air Sealing</w:t>
            </w:r>
          </w:p>
        </w:tc>
        <w:tc>
          <w:tcPr>
            <w:tcW w:w="708" w:type="pct"/>
            <w:noWrap/>
          </w:tcPr>
          <w:p w14:paraId="3DA94D6B" w14:textId="03A09160" w:rsidR="00764B35" w:rsidRPr="00634F27" w:rsidRDefault="00764B35" w:rsidP="0013760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Ln Ft</w:t>
            </w:r>
          </w:p>
        </w:tc>
        <w:tc>
          <w:tcPr>
            <w:tcW w:w="905" w:type="pct"/>
            <w:noWrap/>
          </w:tcPr>
          <w:p w14:paraId="230BC682" w14:textId="099F648A" w:rsidR="00764B35" w:rsidRPr="00634F27" w:rsidRDefault="00764B35" w:rsidP="0013760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135,431</w:t>
            </w:r>
          </w:p>
        </w:tc>
      </w:tr>
      <w:tr w:rsidR="00764B35" w:rsidRPr="00634F27" w14:paraId="69623418" w14:textId="77777777" w:rsidTr="00F319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2E4C5DB7" w14:textId="20CC9654" w:rsidR="00764B35" w:rsidRPr="00634F27" w:rsidRDefault="00764B35" w:rsidP="00137601">
            <w:pPr>
              <w:keepNext/>
              <w:keepLines/>
              <w:spacing w:before="0" w:after="0"/>
              <w:jc w:val="left"/>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42B40CC6" w14:textId="63AFCDD5"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105AD2DC" w14:textId="40EEDB7E"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Assessment/No Savings</w:t>
            </w:r>
          </w:p>
        </w:tc>
        <w:tc>
          <w:tcPr>
            <w:tcW w:w="708" w:type="pct"/>
            <w:noWrap/>
          </w:tcPr>
          <w:p w14:paraId="07580DFA" w14:textId="623EEADF" w:rsidR="00764B35" w:rsidRPr="00634F27" w:rsidRDefault="00764B35" w:rsidP="0013760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581CF14E" w14:textId="07A02F53" w:rsidR="00764B35" w:rsidRPr="00634F27" w:rsidRDefault="00764B35" w:rsidP="0013760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19,385</w:t>
            </w:r>
          </w:p>
        </w:tc>
      </w:tr>
      <w:tr w:rsidR="00764B35" w:rsidRPr="00634F27" w14:paraId="1679515B" w14:textId="77777777" w:rsidTr="00F31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77757919" w14:textId="100F65DA" w:rsidR="00764B35" w:rsidRPr="00634F27" w:rsidRDefault="00764B35" w:rsidP="00137601">
            <w:pPr>
              <w:keepNext/>
              <w:keepLines/>
              <w:spacing w:before="0" w:after="0"/>
              <w:jc w:val="left"/>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70B3A200" w14:textId="39C305DB" w:rsidR="00764B35" w:rsidRPr="00634F27" w:rsidRDefault="00764B35" w:rsidP="00137601">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365AC5D3" w14:textId="7F8EA90B"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Attic Insulation</w:t>
            </w:r>
          </w:p>
        </w:tc>
        <w:tc>
          <w:tcPr>
            <w:tcW w:w="708" w:type="pct"/>
            <w:noWrap/>
          </w:tcPr>
          <w:p w14:paraId="5363F1D0" w14:textId="2D484FE6" w:rsidR="00764B35" w:rsidRPr="00634F27" w:rsidRDefault="00764B35" w:rsidP="0013760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Sq Ft</w:t>
            </w:r>
          </w:p>
        </w:tc>
        <w:tc>
          <w:tcPr>
            <w:tcW w:w="905" w:type="pct"/>
            <w:noWrap/>
          </w:tcPr>
          <w:p w14:paraId="3C40A150" w14:textId="600723E8" w:rsidR="00764B35" w:rsidRPr="00634F27" w:rsidRDefault="00764B35" w:rsidP="0013760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12,864</w:t>
            </w:r>
          </w:p>
        </w:tc>
      </w:tr>
      <w:tr w:rsidR="00764B35" w:rsidRPr="00634F27" w14:paraId="4419648E" w14:textId="77777777" w:rsidTr="00F319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4732DAFD" w14:textId="4B1418C8" w:rsidR="00764B35" w:rsidRPr="00634F27" w:rsidRDefault="00764B35" w:rsidP="00137601">
            <w:pPr>
              <w:keepNext/>
              <w:keepLines/>
              <w:spacing w:before="0" w:after="0"/>
              <w:jc w:val="left"/>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0507E7F7" w14:textId="5D078A7E"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1B5AB038" w14:textId="59427E62"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Shower Timer (IU)</w:t>
            </w:r>
          </w:p>
        </w:tc>
        <w:tc>
          <w:tcPr>
            <w:tcW w:w="708" w:type="pct"/>
            <w:noWrap/>
          </w:tcPr>
          <w:p w14:paraId="012724BF" w14:textId="39C08770" w:rsidR="00764B35" w:rsidRPr="00634F27" w:rsidRDefault="00764B35" w:rsidP="0013760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Each</w:t>
            </w:r>
          </w:p>
        </w:tc>
        <w:tc>
          <w:tcPr>
            <w:tcW w:w="905" w:type="pct"/>
            <w:noWrap/>
          </w:tcPr>
          <w:p w14:paraId="55B9630A" w14:textId="0E86D413" w:rsidR="00764B35" w:rsidRPr="00634F27" w:rsidRDefault="00764B35" w:rsidP="0013760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634</w:t>
            </w:r>
          </w:p>
        </w:tc>
      </w:tr>
      <w:tr w:rsidR="00764B35" w:rsidRPr="00634F27" w14:paraId="3D625A38" w14:textId="77777777" w:rsidTr="00F31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1D336C70" w14:textId="13957962" w:rsidR="00764B35" w:rsidRPr="00634F27" w:rsidRDefault="00764B35" w:rsidP="00137601">
            <w:pPr>
              <w:keepNext/>
              <w:keepLines/>
              <w:spacing w:before="0" w:after="0"/>
              <w:jc w:val="left"/>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58D3B7CA" w14:textId="685E7094"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4D3E9593" w14:textId="5C6850BA"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Faucet Aerator - Kitchen (IU)</w:t>
            </w:r>
          </w:p>
        </w:tc>
        <w:tc>
          <w:tcPr>
            <w:tcW w:w="708" w:type="pct"/>
            <w:noWrap/>
          </w:tcPr>
          <w:p w14:paraId="74FD1665" w14:textId="4A0EBC5F" w:rsidR="00764B35" w:rsidRPr="00634F27" w:rsidRDefault="00764B35" w:rsidP="0013760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2C511368" w14:textId="42371804" w:rsidR="00764B35" w:rsidRPr="00634F27" w:rsidRDefault="00764B35" w:rsidP="0013760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466</w:t>
            </w:r>
          </w:p>
        </w:tc>
      </w:tr>
      <w:tr w:rsidR="00764B35" w:rsidRPr="00634F27" w14:paraId="7887A356" w14:textId="77777777" w:rsidTr="00F319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012BDD3B" w14:textId="2EBD5CB0" w:rsidR="00764B35" w:rsidRPr="00634F27" w:rsidRDefault="00764B35" w:rsidP="00137601">
            <w:pPr>
              <w:keepNext/>
              <w:keepLines/>
              <w:spacing w:before="0" w:after="0"/>
              <w:jc w:val="left"/>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0AD2CD78" w14:textId="3199A5ED" w:rsidR="00764B35" w:rsidRPr="00634F27" w:rsidRDefault="00764B35" w:rsidP="00137601">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54212E70" w14:textId="7FF28ED2"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xml:space="preserve">Covers and Gap Sealers for Room AC </w:t>
            </w:r>
          </w:p>
        </w:tc>
        <w:tc>
          <w:tcPr>
            <w:tcW w:w="708" w:type="pct"/>
            <w:noWrap/>
          </w:tcPr>
          <w:p w14:paraId="17FF6CB9" w14:textId="0CE07ACD" w:rsidR="00764B35" w:rsidRPr="00634F27" w:rsidRDefault="00764B35" w:rsidP="0013760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3CFAB1E6" w14:textId="46171CE0" w:rsidR="00764B35" w:rsidRPr="00634F27" w:rsidRDefault="00764B35" w:rsidP="0013760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400</w:t>
            </w:r>
          </w:p>
        </w:tc>
      </w:tr>
      <w:tr w:rsidR="00764B35" w:rsidRPr="00634F27" w14:paraId="732CC7E6" w14:textId="77777777" w:rsidTr="00F31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530E01B1" w14:textId="421C45C6" w:rsidR="00764B35" w:rsidRPr="00634F27" w:rsidRDefault="00764B35" w:rsidP="00137601">
            <w:pPr>
              <w:keepNext/>
              <w:keepLines/>
              <w:spacing w:before="0" w:after="0"/>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5B63C741" w14:textId="51AD81F0" w:rsidR="00764B35" w:rsidRPr="00634F27" w:rsidRDefault="00764B35" w:rsidP="00137601">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1DDFEE4B" w14:textId="59D8D3D5"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Faucet Aerator - Bathroom (IU)</w:t>
            </w:r>
          </w:p>
        </w:tc>
        <w:tc>
          <w:tcPr>
            <w:tcW w:w="708" w:type="pct"/>
            <w:noWrap/>
          </w:tcPr>
          <w:p w14:paraId="32C57961" w14:textId="2F27C926" w:rsidR="00764B35" w:rsidRPr="00634F27" w:rsidRDefault="00764B35" w:rsidP="0013760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5CCE58AD" w14:textId="0E6AD883" w:rsidR="00764B35" w:rsidRPr="00634F27" w:rsidRDefault="00764B35" w:rsidP="0013760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332</w:t>
            </w:r>
          </w:p>
        </w:tc>
      </w:tr>
      <w:tr w:rsidR="00764B35" w:rsidRPr="00634F27" w14:paraId="4129D1F3" w14:textId="77777777" w:rsidTr="00F319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17FDC7B4" w14:textId="272BC7F3" w:rsidR="00764B35" w:rsidRPr="00634F27" w:rsidRDefault="00764B35" w:rsidP="00137601">
            <w:pPr>
              <w:keepNext/>
              <w:keepLines/>
              <w:spacing w:before="0" w:after="0"/>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7DE315AF" w14:textId="55A28D78" w:rsidR="00764B35" w:rsidRPr="00634F27" w:rsidRDefault="00764B35" w:rsidP="00137601">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0BC3DDDA" w14:textId="20237BB1"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Showerhead (IU)</w:t>
            </w:r>
          </w:p>
        </w:tc>
        <w:tc>
          <w:tcPr>
            <w:tcW w:w="708" w:type="pct"/>
            <w:noWrap/>
          </w:tcPr>
          <w:p w14:paraId="7422B0A9" w14:textId="00034F84" w:rsidR="00764B35" w:rsidRPr="00634F27" w:rsidRDefault="00764B35" w:rsidP="0013760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71E033A2" w14:textId="2F232C19" w:rsidR="00764B35" w:rsidRPr="00634F27" w:rsidRDefault="00764B35" w:rsidP="0013760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254</w:t>
            </w:r>
          </w:p>
        </w:tc>
      </w:tr>
      <w:tr w:rsidR="00764B35" w:rsidRPr="00634F27" w14:paraId="04CF72F6" w14:textId="77777777" w:rsidTr="00F31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7C683A1B" w14:textId="228DB639" w:rsidR="00764B35" w:rsidRPr="00634F27" w:rsidRDefault="00764B35" w:rsidP="00137601">
            <w:pPr>
              <w:keepNext/>
              <w:keepLines/>
              <w:spacing w:before="0" w:after="0"/>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458A0E0D" w14:textId="31947B94" w:rsidR="00764B35" w:rsidRPr="00634F27" w:rsidRDefault="00764B35" w:rsidP="00137601">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5C49E675" w14:textId="33B770CB"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On Demand DHW Control</w:t>
            </w:r>
          </w:p>
        </w:tc>
        <w:tc>
          <w:tcPr>
            <w:tcW w:w="708" w:type="pct"/>
            <w:noWrap/>
          </w:tcPr>
          <w:p w14:paraId="1A1AF943" w14:textId="7C916707" w:rsidR="00764B35" w:rsidRPr="00634F27" w:rsidRDefault="00764B35" w:rsidP="0013760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17D94241" w14:textId="02388F0E" w:rsidR="00764B35" w:rsidRPr="00634F27" w:rsidRDefault="00764B35" w:rsidP="0013760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112</w:t>
            </w:r>
          </w:p>
        </w:tc>
      </w:tr>
      <w:tr w:rsidR="00764B35" w:rsidRPr="00634F27" w14:paraId="1D8CFDB6" w14:textId="77777777" w:rsidTr="00F319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2579F573" w14:textId="2A2AF9C1" w:rsidR="00764B35" w:rsidRPr="00634F27" w:rsidRDefault="00764B35" w:rsidP="00137601">
            <w:pPr>
              <w:keepNext/>
              <w:keepLines/>
              <w:spacing w:before="0" w:after="0"/>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52CA0B74" w14:textId="4DBC322F" w:rsidR="00764B35" w:rsidRPr="00634F27" w:rsidRDefault="00764B35" w:rsidP="00137601">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2C263057" w14:textId="53C87D59"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Programmable Thermostat</w:t>
            </w:r>
          </w:p>
        </w:tc>
        <w:tc>
          <w:tcPr>
            <w:tcW w:w="708" w:type="pct"/>
            <w:noWrap/>
          </w:tcPr>
          <w:p w14:paraId="50195338" w14:textId="65F423F5" w:rsidR="00764B35" w:rsidRPr="00634F27" w:rsidRDefault="00764B35" w:rsidP="0013760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769A6E79" w14:textId="4156C125" w:rsidR="00764B35" w:rsidRPr="00634F27" w:rsidRDefault="00764B35" w:rsidP="0013760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67</w:t>
            </w:r>
          </w:p>
        </w:tc>
      </w:tr>
      <w:tr w:rsidR="00764B35" w:rsidRPr="00634F27" w14:paraId="32FEAD6E" w14:textId="77777777" w:rsidTr="00F31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44EDFC5E" w14:textId="03B62DBC" w:rsidR="00764B35" w:rsidRPr="00634F27" w:rsidRDefault="00764B35" w:rsidP="00137601">
            <w:pPr>
              <w:keepNext/>
              <w:keepLines/>
              <w:spacing w:before="0" w:after="0"/>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78F78666" w14:textId="7F0524FD" w:rsidR="00764B35" w:rsidRPr="00634F27" w:rsidRDefault="00764B35" w:rsidP="00137601">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4AEBF89B" w14:textId="06A65B94"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Pipe Insulation</w:t>
            </w:r>
          </w:p>
        </w:tc>
        <w:tc>
          <w:tcPr>
            <w:tcW w:w="708" w:type="pct"/>
            <w:noWrap/>
          </w:tcPr>
          <w:p w14:paraId="59AD2E65" w14:textId="13FFA02C" w:rsidR="00764B35" w:rsidRPr="00634F27" w:rsidRDefault="00764B35" w:rsidP="0013760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Ln Ft</w:t>
            </w:r>
          </w:p>
        </w:tc>
        <w:tc>
          <w:tcPr>
            <w:tcW w:w="905" w:type="pct"/>
            <w:noWrap/>
          </w:tcPr>
          <w:p w14:paraId="63D9BB98" w14:textId="1B147FAC" w:rsidR="00764B35" w:rsidRPr="00634F27" w:rsidRDefault="00764B35" w:rsidP="0013760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50</w:t>
            </w:r>
          </w:p>
        </w:tc>
      </w:tr>
      <w:tr w:rsidR="00764B35" w:rsidRPr="00634F27" w14:paraId="30DF405A" w14:textId="77777777" w:rsidTr="00F319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6F502E6C" w14:textId="7FDE0CDC" w:rsidR="00764B35" w:rsidRPr="00634F27" w:rsidRDefault="00764B35" w:rsidP="00137601">
            <w:pPr>
              <w:keepNext/>
              <w:keepLines/>
              <w:spacing w:before="0" w:after="0"/>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7211E0CA" w14:textId="04A04D29" w:rsidR="00764B35" w:rsidRPr="00634F27" w:rsidRDefault="00764B35" w:rsidP="00137601">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32E99374" w14:textId="548934B3" w:rsidR="00764B35" w:rsidRPr="00634F27" w:rsidRDefault="00764B35" w:rsidP="0013760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DHW Tune Up</w:t>
            </w:r>
          </w:p>
        </w:tc>
        <w:tc>
          <w:tcPr>
            <w:tcW w:w="708" w:type="pct"/>
            <w:noWrap/>
          </w:tcPr>
          <w:p w14:paraId="45CA9C89" w14:textId="576AB636" w:rsidR="00764B35" w:rsidRPr="00634F27" w:rsidRDefault="00764B35" w:rsidP="0013760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08E413FB" w14:textId="42CF0B5E" w:rsidR="00764B35" w:rsidRPr="00634F27" w:rsidRDefault="00764B35" w:rsidP="0013760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12</w:t>
            </w:r>
          </w:p>
        </w:tc>
      </w:tr>
      <w:tr w:rsidR="00764B35" w:rsidRPr="00634F27" w14:paraId="5772C397" w14:textId="77777777" w:rsidTr="00F31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Pr>
          <w:p w14:paraId="24362D03" w14:textId="1B3C3FEA" w:rsidR="00764B35" w:rsidRPr="00634F27" w:rsidRDefault="00764B35" w:rsidP="00137601">
            <w:pPr>
              <w:keepNext/>
              <w:keepLines/>
              <w:spacing w:before="0" w:after="0"/>
              <w:rPr>
                <w:rFonts w:ascii="Arial Narrow" w:hAnsi="Arial Narrow"/>
                <w:color w:val="000000"/>
                <w:sz w:val="20"/>
                <w:szCs w:val="20"/>
              </w:rPr>
            </w:pPr>
            <w:r w:rsidRPr="00634F27">
              <w:rPr>
                <w:rFonts w:ascii="Arial Narrow" w:hAnsi="Arial Narrow" w:cs="Calibri"/>
                <w:color w:val="000000"/>
                <w:sz w:val="20"/>
                <w:szCs w:val="20"/>
              </w:rPr>
              <w:t> </w:t>
            </w:r>
          </w:p>
        </w:tc>
        <w:tc>
          <w:tcPr>
            <w:tcW w:w="747" w:type="pct"/>
          </w:tcPr>
          <w:p w14:paraId="4D698BDA" w14:textId="716CB711" w:rsidR="00764B35" w:rsidRPr="00634F27" w:rsidRDefault="00764B35" w:rsidP="00137601">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 </w:t>
            </w:r>
          </w:p>
        </w:tc>
        <w:tc>
          <w:tcPr>
            <w:tcW w:w="1690" w:type="pct"/>
          </w:tcPr>
          <w:p w14:paraId="65271A23" w14:textId="752D53B9" w:rsidR="00764B35" w:rsidRPr="00634F27" w:rsidRDefault="00764B35" w:rsidP="0013760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Boiler Tune Up</w:t>
            </w:r>
          </w:p>
        </w:tc>
        <w:tc>
          <w:tcPr>
            <w:tcW w:w="708" w:type="pct"/>
            <w:noWrap/>
          </w:tcPr>
          <w:p w14:paraId="282298CB" w14:textId="647AD916" w:rsidR="00764B35" w:rsidRPr="00634F27" w:rsidRDefault="00764B35" w:rsidP="0013760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Unit</w:t>
            </w:r>
          </w:p>
        </w:tc>
        <w:tc>
          <w:tcPr>
            <w:tcW w:w="905" w:type="pct"/>
            <w:noWrap/>
          </w:tcPr>
          <w:p w14:paraId="524C62AF" w14:textId="53796BD1" w:rsidR="00764B35" w:rsidRPr="00634F27" w:rsidRDefault="00764B35" w:rsidP="0013760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34F27">
              <w:rPr>
                <w:rFonts w:ascii="Arial Narrow" w:hAnsi="Arial Narrow" w:cs="Calibri"/>
                <w:color w:val="000000"/>
                <w:sz w:val="20"/>
                <w:szCs w:val="20"/>
              </w:rPr>
              <w:t>2</w:t>
            </w:r>
          </w:p>
        </w:tc>
      </w:tr>
    </w:tbl>
    <w:p w14:paraId="069211D5" w14:textId="1CB8433D" w:rsidR="00E93A62" w:rsidRDefault="00E93A62" w:rsidP="00F00209">
      <w:pPr>
        <w:pStyle w:val="Source"/>
        <w:spacing w:before="120"/>
        <w:rPr>
          <w:rFonts w:cs="Arial"/>
          <w:sz w:val="18"/>
          <w:szCs w:val="18"/>
        </w:rPr>
      </w:pPr>
      <w:r w:rsidRPr="00F65903">
        <w:rPr>
          <w:sz w:val="18"/>
          <w:szCs w:val="18"/>
        </w:rPr>
        <w:t xml:space="preserve">Source: </w:t>
      </w:r>
      <w:r w:rsidR="00CA196F" w:rsidRPr="00F65903">
        <w:rPr>
          <w:rFonts w:cs="Arial"/>
          <w:sz w:val="18"/>
          <w:szCs w:val="18"/>
        </w:rPr>
        <w:t>North Shore Gas tracking data and Guidehouse evaluation team analysis</w:t>
      </w:r>
    </w:p>
    <w:p w14:paraId="676D938E" w14:textId="77777777" w:rsidR="00F00209" w:rsidRPr="00F65903" w:rsidRDefault="00F00209" w:rsidP="00F00209"/>
    <w:p w14:paraId="3B40370A" w14:textId="7A79DF83" w:rsidR="004F0F97" w:rsidRDefault="000F321A" w:rsidP="0096076F">
      <w:pPr>
        <w:pStyle w:val="Heading2"/>
      </w:pPr>
      <w:bookmarkStart w:id="30" w:name="_Toc193349166"/>
      <w:bookmarkStart w:id="31" w:name="_Toc193349914"/>
      <w:r>
        <w:t>Program Savings Detail</w:t>
      </w:r>
      <w:bookmarkEnd w:id="30"/>
      <w:bookmarkEnd w:id="31"/>
    </w:p>
    <w:p w14:paraId="65B48898" w14:textId="154519D2" w:rsidR="00E93A62" w:rsidRDefault="00AA2B3B" w:rsidP="00E93A62">
      <w:r>
        <w:fldChar w:fldCharType="begin"/>
      </w:r>
      <w:r>
        <w:instrText xml:space="preserve"> REF _Ref189739479 \h </w:instrText>
      </w:r>
      <w:r>
        <w:fldChar w:fldCharType="separate"/>
      </w:r>
      <w:r w:rsidR="00434B54">
        <w:t xml:space="preserve">Table </w:t>
      </w:r>
      <w:r w:rsidR="00434B54">
        <w:rPr>
          <w:noProof/>
        </w:rPr>
        <w:t>5</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PGL</w:t>
      </w:r>
      <w:r w:rsidR="001E504A">
        <w:t xml:space="preserve"> MFIE</w:t>
      </w:r>
      <w:r w:rsidR="0079490A">
        <w:t xml:space="preserve"> </w:t>
      </w:r>
      <w:r w:rsidR="00E93A62">
        <w:t>P</w:t>
      </w:r>
      <w:r w:rsidR="00E93A62" w:rsidRPr="00A90B62">
        <w:t>rogram</w:t>
      </w:r>
      <w:r w:rsidR="00E93A62">
        <w:t xml:space="preserve"> achieved</w:t>
      </w:r>
      <w:r w:rsidR="007838D8">
        <w:t xml:space="preserve"> by the Income Eligible and IHWAP paths</w:t>
      </w:r>
      <w:r w:rsidR="00E93A62">
        <w:t xml:space="preserve"> in </w:t>
      </w:r>
      <w:r w:rsidR="00D90A46">
        <w:t>2024</w:t>
      </w:r>
      <w:r w:rsidR="00E93A62">
        <w:t>.</w:t>
      </w:r>
    </w:p>
    <w:p w14:paraId="085C8D5D" w14:textId="32E2EF8F" w:rsidR="00E93A62" w:rsidRDefault="001C79FE" w:rsidP="004B73FE">
      <w:pPr>
        <w:pStyle w:val="Caption"/>
      </w:pPr>
      <w:bookmarkStart w:id="32" w:name="_Ref189739479"/>
      <w:bookmarkStart w:id="33" w:name="_Toc397011684"/>
      <w:bookmarkStart w:id="34" w:name="_Toc397011694"/>
      <w:bookmarkStart w:id="35" w:name="_Toc398541809"/>
      <w:bookmarkStart w:id="36" w:name="_Toc398541922"/>
      <w:bookmarkStart w:id="37" w:name="_Toc398546654"/>
      <w:bookmarkStart w:id="38" w:name="_Toc423009516"/>
      <w:bookmarkStart w:id="39" w:name="_Toc426278634"/>
      <w:bookmarkStart w:id="40" w:name="_Toc61360476"/>
      <w:bookmarkStart w:id="41" w:name="_Toc193349180"/>
      <w:bookmarkStart w:id="42" w:name="_Toc193349214"/>
      <w:bookmarkStart w:id="43" w:name="_Toc193349929"/>
      <w:r>
        <w:lastRenderedPageBreak/>
        <w:t xml:space="preserve">Table </w:t>
      </w:r>
      <w:r w:rsidR="0034721B">
        <w:fldChar w:fldCharType="begin"/>
      </w:r>
      <w:r w:rsidR="0034721B">
        <w:instrText xml:space="preserve"> SEQ Table \* ARABIC </w:instrText>
      </w:r>
      <w:r w:rsidR="0034721B">
        <w:fldChar w:fldCharType="separate"/>
      </w:r>
      <w:r w:rsidR="0034721B">
        <w:rPr>
          <w:noProof/>
        </w:rPr>
        <w:t>5</w:t>
      </w:r>
      <w:r w:rsidR="0034721B">
        <w:rPr>
          <w:noProof/>
        </w:rPr>
        <w:fldChar w:fldCharType="end"/>
      </w:r>
      <w:bookmarkEnd w:id="32"/>
      <w:r w:rsidR="00E93A62">
        <w:t xml:space="preserve">. </w:t>
      </w:r>
      <w:r w:rsidR="00A22BDA">
        <w:t>2024 MFIE Program</w:t>
      </w:r>
      <w:r w:rsidR="00E93A62">
        <w:t xml:space="preserve"> Annual Energy Savings Summary</w:t>
      </w:r>
      <w:bookmarkEnd w:id="33"/>
      <w:bookmarkEnd w:id="34"/>
      <w:bookmarkEnd w:id="35"/>
      <w:bookmarkEnd w:id="36"/>
      <w:bookmarkEnd w:id="37"/>
      <w:bookmarkEnd w:id="38"/>
      <w:bookmarkEnd w:id="39"/>
      <w:r w:rsidR="00E93A62">
        <w:t xml:space="preserve"> for PGL</w:t>
      </w:r>
      <w:bookmarkEnd w:id="40"/>
      <w:bookmarkEnd w:id="41"/>
      <w:bookmarkEnd w:id="42"/>
      <w:bookmarkEnd w:id="43"/>
    </w:p>
    <w:tbl>
      <w:tblPr>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18"/>
        <w:gridCol w:w="910"/>
        <w:gridCol w:w="1496"/>
        <w:gridCol w:w="996"/>
        <w:gridCol w:w="1468"/>
        <w:gridCol w:w="654"/>
        <w:gridCol w:w="1410"/>
        <w:gridCol w:w="1408"/>
      </w:tblGrid>
      <w:tr w:rsidR="000323EF" w:rsidRPr="00634F27" w14:paraId="08C32596" w14:textId="77777777" w:rsidTr="0000532A">
        <w:trPr>
          <w:trHeight w:val="300"/>
          <w:tblHeader/>
        </w:trPr>
        <w:tc>
          <w:tcPr>
            <w:tcW w:w="544" w:type="pct"/>
            <w:tcBorders>
              <w:top w:val="nil"/>
              <w:left w:val="nil"/>
              <w:bottom w:val="single" w:sz="12" w:space="0" w:color="95D600"/>
              <w:right w:val="nil"/>
            </w:tcBorders>
            <w:shd w:val="clear" w:color="auto" w:fill="036479" w:themeFill="accent3"/>
            <w:vAlign w:val="center"/>
          </w:tcPr>
          <w:p w14:paraId="5F35C685" w14:textId="570A6DCF" w:rsidR="000323EF" w:rsidRPr="00634F27" w:rsidRDefault="000323EF" w:rsidP="008B2437">
            <w:pPr>
              <w:keepNext/>
              <w:rPr>
                <w:rFonts w:ascii="Arial Narrow" w:eastAsia="Arial Narrow" w:hAnsi="Arial Narrow" w:cs="Arial Narrow"/>
                <w:color w:val="FFFFFF" w:themeColor="background1"/>
                <w:sz w:val="20"/>
                <w:szCs w:val="20"/>
              </w:rPr>
            </w:pPr>
            <w:r w:rsidRPr="00634F27">
              <w:rPr>
                <w:rFonts w:ascii="Arial Narrow" w:eastAsia="Arial Narrow" w:hAnsi="Arial Narrow" w:cs="Arial Narrow"/>
                <w:color w:val="FFFFFF" w:themeColor="background1"/>
                <w:sz w:val="20"/>
                <w:szCs w:val="20"/>
              </w:rPr>
              <w:t>Program Category</w:t>
            </w:r>
          </w:p>
        </w:tc>
        <w:tc>
          <w:tcPr>
            <w:tcW w:w="486" w:type="pct"/>
            <w:tcBorders>
              <w:top w:val="nil"/>
              <w:left w:val="nil"/>
              <w:bottom w:val="single" w:sz="12" w:space="0" w:color="95D600"/>
              <w:right w:val="nil"/>
            </w:tcBorders>
            <w:shd w:val="clear" w:color="auto" w:fill="036479" w:themeFill="accent3"/>
            <w:vAlign w:val="center"/>
          </w:tcPr>
          <w:p w14:paraId="60E88FA6" w14:textId="7DC2F1EA" w:rsidR="000323EF" w:rsidRPr="00634F27" w:rsidRDefault="000323EF" w:rsidP="008B2437">
            <w:pPr>
              <w:keepNext/>
              <w:rPr>
                <w:rFonts w:ascii="Arial Narrow" w:eastAsia="Arial Narrow" w:hAnsi="Arial Narrow" w:cs="Arial Narrow"/>
                <w:color w:val="FFFFFF" w:themeColor="background1"/>
                <w:sz w:val="20"/>
                <w:szCs w:val="20"/>
              </w:rPr>
            </w:pPr>
            <w:r w:rsidRPr="00634F27">
              <w:rPr>
                <w:rFonts w:ascii="Arial Narrow" w:eastAsia="Arial Narrow" w:hAnsi="Arial Narrow" w:cs="Arial Narrow"/>
                <w:color w:val="FFFFFF" w:themeColor="background1"/>
                <w:sz w:val="20"/>
                <w:szCs w:val="20"/>
              </w:rPr>
              <w:t>Program Path</w:t>
            </w:r>
          </w:p>
        </w:tc>
        <w:tc>
          <w:tcPr>
            <w:tcW w:w="799" w:type="pct"/>
            <w:tcBorders>
              <w:top w:val="nil"/>
              <w:left w:val="nil"/>
              <w:bottom w:val="single" w:sz="12" w:space="0" w:color="95D600"/>
              <w:right w:val="nil"/>
            </w:tcBorders>
            <w:shd w:val="clear" w:color="auto" w:fill="036479" w:themeFill="accent3"/>
            <w:vAlign w:val="center"/>
          </w:tcPr>
          <w:p w14:paraId="7EC2DC33" w14:textId="4F530B9B" w:rsidR="000323EF" w:rsidRPr="00634F27" w:rsidRDefault="000323EF" w:rsidP="0000532A">
            <w:pPr>
              <w:keepNext/>
              <w:jc w:val="right"/>
              <w:rPr>
                <w:rFonts w:ascii="Arial Narrow" w:eastAsia="Arial Narrow" w:hAnsi="Arial Narrow" w:cs="Arial Narrow"/>
                <w:color w:val="FFFFFF" w:themeColor="background1"/>
                <w:sz w:val="20"/>
                <w:szCs w:val="20"/>
              </w:rPr>
            </w:pPr>
            <w:r w:rsidRPr="00634F27">
              <w:rPr>
                <w:rFonts w:ascii="Arial Narrow" w:eastAsia="Arial Narrow" w:hAnsi="Arial Narrow" w:cs="Arial Narrow"/>
                <w:color w:val="FFFFFF" w:themeColor="background1"/>
                <w:sz w:val="20"/>
                <w:szCs w:val="20"/>
              </w:rPr>
              <w:t>Ex Ante Gross Savings (Therms)</w:t>
            </w:r>
          </w:p>
        </w:tc>
        <w:tc>
          <w:tcPr>
            <w:tcW w:w="532" w:type="pct"/>
            <w:tcBorders>
              <w:top w:val="nil"/>
              <w:left w:val="nil"/>
              <w:bottom w:val="single" w:sz="12" w:space="0" w:color="95D600"/>
              <w:right w:val="nil"/>
            </w:tcBorders>
            <w:shd w:val="clear" w:color="auto" w:fill="036479" w:themeFill="accent3"/>
            <w:vAlign w:val="center"/>
          </w:tcPr>
          <w:p w14:paraId="2A4A9648" w14:textId="52D12B8C" w:rsidR="000323EF" w:rsidRPr="00634F27" w:rsidRDefault="000323EF" w:rsidP="0000532A">
            <w:pPr>
              <w:keepNext/>
              <w:jc w:val="right"/>
              <w:rPr>
                <w:rFonts w:ascii="Arial Narrow" w:eastAsia="Arial Narrow" w:hAnsi="Arial Narrow" w:cs="Arial Narrow"/>
                <w:color w:val="FFFFFF" w:themeColor="background1"/>
                <w:sz w:val="20"/>
                <w:szCs w:val="20"/>
              </w:rPr>
            </w:pPr>
            <w:r w:rsidRPr="00634F27">
              <w:rPr>
                <w:rFonts w:ascii="Arial Narrow" w:eastAsia="Arial Narrow" w:hAnsi="Arial Narrow" w:cs="Arial Narrow"/>
                <w:color w:val="FFFFFF" w:themeColor="background1"/>
                <w:sz w:val="20"/>
                <w:szCs w:val="20"/>
              </w:rPr>
              <w:t>Verified Gross RR*</w:t>
            </w:r>
          </w:p>
        </w:tc>
        <w:tc>
          <w:tcPr>
            <w:tcW w:w="784" w:type="pct"/>
            <w:tcBorders>
              <w:top w:val="nil"/>
              <w:left w:val="nil"/>
              <w:bottom w:val="single" w:sz="12" w:space="0" w:color="95D600"/>
              <w:right w:val="nil"/>
            </w:tcBorders>
            <w:shd w:val="clear" w:color="auto" w:fill="036479" w:themeFill="accent3"/>
            <w:vAlign w:val="center"/>
          </w:tcPr>
          <w:p w14:paraId="498F7725" w14:textId="5EBE1A38" w:rsidR="000323EF" w:rsidRPr="00634F27" w:rsidRDefault="000323EF" w:rsidP="0000532A">
            <w:pPr>
              <w:keepNext/>
              <w:jc w:val="right"/>
              <w:rPr>
                <w:rFonts w:ascii="Arial Narrow" w:eastAsia="Arial Narrow" w:hAnsi="Arial Narrow" w:cs="Arial Narrow"/>
                <w:color w:val="FFFFFF" w:themeColor="background1"/>
                <w:sz w:val="20"/>
                <w:szCs w:val="20"/>
              </w:rPr>
            </w:pPr>
            <w:r w:rsidRPr="00634F27">
              <w:rPr>
                <w:rFonts w:ascii="Arial Narrow" w:eastAsia="Arial Narrow" w:hAnsi="Arial Narrow" w:cs="Arial Narrow"/>
                <w:color w:val="FFFFFF" w:themeColor="background1"/>
                <w:sz w:val="20"/>
                <w:szCs w:val="20"/>
              </w:rPr>
              <w:t>Verified Gross Savings (Therms</w:t>
            </w:r>
          </w:p>
        </w:tc>
        <w:tc>
          <w:tcPr>
            <w:tcW w:w="349" w:type="pct"/>
            <w:tcBorders>
              <w:top w:val="nil"/>
              <w:left w:val="nil"/>
              <w:bottom w:val="single" w:sz="12" w:space="0" w:color="95D600"/>
              <w:right w:val="nil"/>
            </w:tcBorders>
            <w:shd w:val="clear" w:color="auto" w:fill="036479" w:themeFill="accent3"/>
            <w:vAlign w:val="center"/>
          </w:tcPr>
          <w:p w14:paraId="1DE0330C" w14:textId="0D40F761" w:rsidR="000323EF" w:rsidRPr="00634F27" w:rsidRDefault="000323EF" w:rsidP="0000532A">
            <w:pPr>
              <w:keepNext/>
              <w:jc w:val="right"/>
              <w:rPr>
                <w:rFonts w:ascii="Arial Narrow" w:eastAsia="Calibri" w:hAnsi="Arial Narrow" w:cs="Calibri"/>
                <w:color w:val="FFFFFF" w:themeColor="background1"/>
                <w:sz w:val="20"/>
                <w:szCs w:val="20"/>
              </w:rPr>
            </w:pPr>
            <w:r w:rsidRPr="00634F27">
              <w:rPr>
                <w:rFonts w:ascii="Arial Narrow" w:eastAsia="Arial Narrow" w:hAnsi="Arial Narrow" w:cs="Arial Narrow"/>
                <w:color w:val="FFFFFF" w:themeColor="background1"/>
                <w:sz w:val="20"/>
                <w:szCs w:val="20"/>
              </w:rPr>
              <w:t>NTG</w:t>
            </w:r>
            <w:r w:rsidRPr="00634F27">
              <w:rPr>
                <w:rFonts w:ascii="Arial Narrow" w:eastAsia="Calibri" w:hAnsi="Arial Narrow" w:cs="Calibri"/>
                <w:color w:val="FFFFFF" w:themeColor="background1"/>
                <w:sz w:val="20"/>
                <w:szCs w:val="20"/>
              </w:rPr>
              <w:t>†</w:t>
            </w:r>
          </w:p>
        </w:tc>
        <w:tc>
          <w:tcPr>
            <w:tcW w:w="753" w:type="pct"/>
            <w:tcBorders>
              <w:top w:val="nil"/>
              <w:left w:val="nil"/>
              <w:bottom w:val="single" w:sz="12" w:space="0" w:color="95D600"/>
              <w:right w:val="nil"/>
            </w:tcBorders>
            <w:shd w:val="clear" w:color="auto" w:fill="036479" w:themeFill="accent3"/>
            <w:vAlign w:val="center"/>
          </w:tcPr>
          <w:p w14:paraId="25A39E59" w14:textId="093B6E01" w:rsidR="000323EF" w:rsidRPr="00634F27" w:rsidRDefault="000323EF" w:rsidP="0000532A">
            <w:pPr>
              <w:keepNext/>
              <w:jc w:val="right"/>
              <w:rPr>
                <w:rFonts w:ascii="Arial Narrow" w:eastAsia="Arial Narrow" w:hAnsi="Arial Narrow" w:cs="Arial Narrow"/>
                <w:color w:val="FFFFFF" w:themeColor="background1"/>
                <w:sz w:val="20"/>
                <w:szCs w:val="20"/>
              </w:rPr>
            </w:pPr>
            <w:r w:rsidRPr="004B5D8D">
              <w:rPr>
                <w:rFonts w:ascii="Arial Narrow" w:hAnsi="Arial Narrow" w:cs="Calibri"/>
                <w:color w:val="FFFFFF"/>
                <w:sz w:val="20"/>
              </w:rPr>
              <w:t xml:space="preserve"> NSPO </w:t>
            </w:r>
          </w:p>
        </w:tc>
        <w:tc>
          <w:tcPr>
            <w:tcW w:w="752" w:type="pct"/>
            <w:tcBorders>
              <w:top w:val="nil"/>
              <w:left w:val="nil"/>
              <w:bottom w:val="single" w:sz="12" w:space="0" w:color="95D600"/>
              <w:right w:val="nil"/>
            </w:tcBorders>
            <w:shd w:val="clear" w:color="auto" w:fill="036479" w:themeFill="accent3"/>
            <w:vAlign w:val="center"/>
          </w:tcPr>
          <w:p w14:paraId="34D8BF3E" w14:textId="76473AB1" w:rsidR="000323EF" w:rsidRPr="00634F27" w:rsidRDefault="000323EF" w:rsidP="0000532A">
            <w:pPr>
              <w:keepNext/>
              <w:jc w:val="right"/>
              <w:rPr>
                <w:rFonts w:ascii="Arial Narrow" w:eastAsia="Arial Narrow" w:hAnsi="Arial Narrow" w:cs="Arial Narrow"/>
                <w:color w:val="FFFFFF" w:themeColor="background1"/>
                <w:sz w:val="20"/>
                <w:szCs w:val="20"/>
              </w:rPr>
            </w:pPr>
            <w:r w:rsidRPr="00634F27">
              <w:rPr>
                <w:rFonts w:ascii="Arial Narrow" w:eastAsia="Arial Narrow" w:hAnsi="Arial Narrow" w:cs="Arial Narrow"/>
                <w:color w:val="FFFFFF" w:themeColor="background1"/>
                <w:sz w:val="20"/>
                <w:szCs w:val="20"/>
              </w:rPr>
              <w:t>Verified Net Savings (Therms)</w:t>
            </w:r>
          </w:p>
        </w:tc>
      </w:tr>
      <w:tr w:rsidR="000323EF" w:rsidRPr="00634F27" w14:paraId="4C600101" w14:textId="77777777" w:rsidTr="0000532A">
        <w:trPr>
          <w:trHeight w:val="288"/>
        </w:trPr>
        <w:tc>
          <w:tcPr>
            <w:tcW w:w="544" w:type="pct"/>
            <w:tcBorders>
              <w:top w:val="single" w:sz="12" w:space="0" w:color="95D600"/>
              <w:left w:val="nil"/>
              <w:bottom w:val="single" w:sz="6" w:space="0" w:color="B3EFFD" w:themeColor="accent3" w:themeTint="33"/>
              <w:right w:val="nil"/>
            </w:tcBorders>
            <w:vAlign w:val="center"/>
          </w:tcPr>
          <w:p w14:paraId="10DF2D1D" w14:textId="04DDC819" w:rsidR="000323EF" w:rsidRPr="00634F27" w:rsidRDefault="000323EF" w:rsidP="008B2437">
            <w:pPr>
              <w:keepNext/>
              <w:rPr>
                <w:rFonts w:ascii="Arial Narrow" w:eastAsia="Arial Narrow" w:hAnsi="Arial Narrow" w:cs="Arial Narrow"/>
                <w:b/>
                <w:bCs/>
                <w:color w:val="000000" w:themeColor="text1"/>
                <w:sz w:val="20"/>
                <w:szCs w:val="20"/>
              </w:rPr>
            </w:pPr>
            <w:r w:rsidRPr="00634F27">
              <w:rPr>
                <w:rFonts w:ascii="Arial Narrow" w:hAnsi="Arial Narrow" w:cs="Calibri"/>
                <w:b/>
                <w:bCs/>
                <w:color w:val="000000"/>
                <w:sz w:val="20"/>
                <w:szCs w:val="20"/>
              </w:rPr>
              <w:t>Multi-Family</w:t>
            </w:r>
          </w:p>
        </w:tc>
        <w:tc>
          <w:tcPr>
            <w:tcW w:w="486" w:type="pct"/>
            <w:tcBorders>
              <w:top w:val="single" w:sz="12" w:space="0" w:color="95D600"/>
              <w:left w:val="nil"/>
              <w:bottom w:val="single" w:sz="6" w:space="0" w:color="B3EFFD" w:themeColor="accent3" w:themeTint="33"/>
              <w:right w:val="nil"/>
            </w:tcBorders>
            <w:shd w:val="clear" w:color="auto" w:fill="FFFFFF" w:themeFill="background1"/>
            <w:vAlign w:val="center"/>
          </w:tcPr>
          <w:p w14:paraId="0E626436" w14:textId="28644B07" w:rsidR="000323EF" w:rsidRPr="00634F27" w:rsidRDefault="000323EF" w:rsidP="008B2437">
            <w:pPr>
              <w:keepNext/>
              <w:rPr>
                <w:rFonts w:ascii="Arial Narrow" w:eastAsia="Arial Narrow" w:hAnsi="Arial Narrow" w:cs="Arial Narrow"/>
                <w:color w:val="000000" w:themeColor="text1"/>
                <w:sz w:val="20"/>
                <w:szCs w:val="20"/>
              </w:rPr>
            </w:pPr>
            <w:r w:rsidRPr="00634F27">
              <w:rPr>
                <w:rFonts w:ascii="Arial Narrow" w:hAnsi="Arial Narrow" w:cs="Calibri"/>
                <w:color w:val="000000"/>
                <w:sz w:val="20"/>
                <w:szCs w:val="20"/>
              </w:rPr>
              <w:t>Income Eligible</w:t>
            </w:r>
          </w:p>
        </w:tc>
        <w:tc>
          <w:tcPr>
            <w:tcW w:w="799" w:type="pct"/>
            <w:tcBorders>
              <w:top w:val="single" w:sz="12" w:space="0" w:color="95D600"/>
              <w:left w:val="nil"/>
              <w:bottom w:val="single" w:sz="6" w:space="0" w:color="B3EFFD" w:themeColor="accent3" w:themeTint="33"/>
              <w:right w:val="nil"/>
            </w:tcBorders>
            <w:vAlign w:val="center"/>
          </w:tcPr>
          <w:p w14:paraId="77043487" w14:textId="493999D4" w:rsidR="000323EF" w:rsidRPr="00634F27" w:rsidRDefault="000323EF" w:rsidP="0000532A">
            <w:pPr>
              <w:keepNext/>
              <w:jc w:val="right"/>
              <w:rPr>
                <w:rFonts w:ascii="Arial Narrow" w:eastAsia="Arial Narrow" w:hAnsi="Arial Narrow" w:cs="Arial Narrow"/>
                <w:color w:val="000000" w:themeColor="text1"/>
                <w:sz w:val="20"/>
                <w:szCs w:val="20"/>
              </w:rPr>
            </w:pPr>
            <w:r w:rsidRPr="00634F27">
              <w:rPr>
                <w:rFonts w:ascii="Arial Narrow" w:hAnsi="Arial Narrow" w:cs="Calibri"/>
                <w:color w:val="000000"/>
                <w:sz w:val="20"/>
                <w:szCs w:val="20"/>
              </w:rPr>
              <w:t>1,785,173</w:t>
            </w:r>
          </w:p>
        </w:tc>
        <w:tc>
          <w:tcPr>
            <w:tcW w:w="532" w:type="pct"/>
            <w:tcBorders>
              <w:top w:val="single" w:sz="12" w:space="0" w:color="95D600"/>
              <w:left w:val="nil"/>
              <w:bottom w:val="single" w:sz="6" w:space="0" w:color="B3EFFD" w:themeColor="accent3" w:themeTint="33"/>
              <w:right w:val="nil"/>
            </w:tcBorders>
            <w:vAlign w:val="center"/>
          </w:tcPr>
          <w:p w14:paraId="61E8C4D5" w14:textId="2C70E39F" w:rsidR="000323EF" w:rsidRPr="00634F27" w:rsidRDefault="000323EF" w:rsidP="0000532A">
            <w:pPr>
              <w:keepNext/>
              <w:jc w:val="right"/>
              <w:rPr>
                <w:rFonts w:ascii="Arial Narrow" w:eastAsia="Arial Narrow" w:hAnsi="Arial Narrow" w:cs="Arial Narrow"/>
                <w:color w:val="000000" w:themeColor="text1"/>
                <w:sz w:val="20"/>
                <w:szCs w:val="20"/>
              </w:rPr>
            </w:pPr>
            <w:r w:rsidRPr="00634F27">
              <w:rPr>
                <w:rFonts w:ascii="Arial Narrow" w:hAnsi="Arial Narrow" w:cs="Calibri"/>
                <w:color w:val="000000"/>
                <w:sz w:val="20"/>
                <w:szCs w:val="20"/>
              </w:rPr>
              <w:t>100%</w:t>
            </w:r>
          </w:p>
        </w:tc>
        <w:tc>
          <w:tcPr>
            <w:tcW w:w="784" w:type="pct"/>
            <w:tcBorders>
              <w:top w:val="single" w:sz="12" w:space="0" w:color="95D600"/>
              <w:left w:val="nil"/>
              <w:bottom w:val="single" w:sz="6" w:space="0" w:color="B3EFFD" w:themeColor="accent3" w:themeTint="33"/>
              <w:right w:val="nil"/>
            </w:tcBorders>
            <w:vAlign w:val="center"/>
          </w:tcPr>
          <w:p w14:paraId="13D53A5E" w14:textId="449DAEE3" w:rsidR="000323EF" w:rsidRPr="00634F27" w:rsidRDefault="000323EF" w:rsidP="0000532A">
            <w:pPr>
              <w:keepNext/>
              <w:jc w:val="right"/>
              <w:rPr>
                <w:rFonts w:ascii="Arial Narrow" w:eastAsia="Arial Narrow" w:hAnsi="Arial Narrow" w:cs="Arial Narrow"/>
                <w:color w:val="000000" w:themeColor="text1"/>
                <w:sz w:val="20"/>
                <w:szCs w:val="20"/>
              </w:rPr>
            </w:pPr>
            <w:r w:rsidRPr="00634F27">
              <w:rPr>
                <w:rFonts w:ascii="Arial Narrow" w:hAnsi="Arial Narrow" w:cs="Calibri"/>
                <w:color w:val="000000"/>
                <w:sz w:val="20"/>
                <w:szCs w:val="20"/>
              </w:rPr>
              <w:t>1,785,948</w:t>
            </w:r>
          </w:p>
        </w:tc>
        <w:tc>
          <w:tcPr>
            <w:tcW w:w="349" w:type="pct"/>
            <w:tcBorders>
              <w:top w:val="single" w:sz="12" w:space="0" w:color="95D600"/>
              <w:left w:val="nil"/>
              <w:bottom w:val="single" w:sz="6" w:space="0" w:color="B3EFFD" w:themeColor="accent3" w:themeTint="33"/>
              <w:right w:val="nil"/>
            </w:tcBorders>
            <w:vAlign w:val="center"/>
          </w:tcPr>
          <w:p w14:paraId="0FD97220" w14:textId="0A820F95" w:rsidR="000323EF" w:rsidRPr="00634F27" w:rsidRDefault="000323EF" w:rsidP="0000532A">
            <w:pPr>
              <w:keepNext/>
              <w:jc w:val="right"/>
              <w:rPr>
                <w:rFonts w:ascii="Arial Narrow" w:eastAsia="Arial Narrow" w:hAnsi="Arial Narrow" w:cs="Arial Narrow"/>
                <w:color w:val="000000" w:themeColor="text1"/>
                <w:sz w:val="20"/>
                <w:szCs w:val="20"/>
              </w:rPr>
            </w:pPr>
            <w:r w:rsidRPr="00634F27">
              <w:rPr>
                <w:rFonts w:ascii="Arial Narrow" w:hAnsi="Arial Narrow" w:cs="Calibri"/>
                <w:color w:val="000000"/>
                <w:sz w:val="20"/>
                <w:szCs w:val="20"/>
              </w:rPr>
              <w:t>1.00</w:t>
            </w:r>
          </w:p>
        </w:tc>
        <w:tc>
          <w:tcPr>
            <w:tcW w:w="753" w:type="pct"/>
            <w:tcBorders>
              <w:top w:val="single" w:sz="12" w:space="0" w:color="95D600"/>
              <w:left w:val="nil"/>
              <w:bottom w:val="single" w:sz="6" w:space="0" w:color="B3EFFD" w:themeColor="accent3" w:themeTint="33"/>
              <w:right w:val="nil"/>
            </w:tcBorders>
            <w:vAlign w:val="center"/>
          </w:tcPr>
          <w:p w14:paraId="1E2DA600" w14:textId="1811B1B6" w:rsidR="000323EF" w:rsidRPr="00634F27" w:rsidRDefault="00A25C1F" w:rsidP="0000532A">
            <w:pPr>
              <w:keepNext/>
              <w:jc w:val="right"/>
              <w:rPr>
                <w:rFonts w:ascii="Arial Narrow" w:hAnsi="Arial Narrow" w:cs="Calibri"/>
                <w:color w:val="000000"/>
                <w:sz w:val="20"/>
                <w:szCs w:val="20"/>
              </w:rPr>
            </w:pPr>
            <w:r>
              <w:rPr>
                <w:rFonts w:ascii="Arial Narrow" w:hAnsi="Arial Narrow" w:cs="Calibri"/>
                <w:color w:val="000000"/>
                <w:sz w:val="20"/>
                <w:szCs w:val="20"/>
              </w:rPr>
              <w:t>N/A</w:t>
            </w:r>
          </w:p>
        </w:tc>
        <w:tc>
          <w:tcPr>
            <w:tcW w:w="752" w:type="pct"/>
            <w:tcBorders>
              <w:top w:val="single" w:sz="12" w:space="0" w:color="95D600"/>
              <w:left w:val="nil"/>
              <w:bottom w:val="single" w:sz="6" w:space="0" w:color="B3EFFD" w:themeColor="accent3" w:themeTint="33"/>
              <w:right w:val="nil"/>
            </w:tcBorders>
            <w:vAlign w:val="center"/>
          </w:tcPr>
          <w:p w14:paraId="3143C142" w14:textId="0F5DD7D4" w:rsidR="000323EF" w:rsidRPr="00634F27" w:rsidRDefault="000323EF" w:rsidP="0000532A">
            <w:pPr>
              <w:keepNext/>
              <w:jc w:val="right"/>
              <w:rPr>
                <w:rFonts w:ascii="Arial Narrow" w:eastAsia="Arial Narrow" w:hAnsi="Arial Narrow" w:cs="Arial Narrow"/>
                <w:color w:val="000000" w:themeColor="text1"/>
                <w:sz w:val="20"/>
                <w:szCs w:val="20"/>
              </w:rPr>
            </w:pPr>
            <w:r w:rsidRPr="00634F27">
              <w:rPr>
                <w:rFonts w:ascii="Arial Narrow" w:hAnsi="Arial Narrow" w:cs="Calibri"/>
                <w:color w:val="000000"/>
                <w:sz w:val="20"/>
                <w:szCs w:val="20"/>
              </w:rPr>
              <w:t>1,785,948</w:t>
            </w:r>
          </w:p>
        </w:tc>
      </w:tr>
      <w:tr w:rsidR="000323EF" w:rsidRPr="00634F27" w14:paraId="211A4ACC" w14:textId="77777777" w:rsidTr="0000532A">
        <w:trPr>
          <w:trHeight w:val="288"/>
        </w:trPr>
        <w:tc>
          <w:tcPr>
            <w:tcW w:w="54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35CE493" w14:textId="43DF0DC1" w:rsidR="000323EF" w:rsidRPr="00634F27" w:rsidRDefault="000323EF" w:rsidP="008B2437">
            <w:pPr>
              <w:keepNext/>
              <w:rPr>
                <w:rFonts w:ascii="Arial Narrow" w:eastAsia="Arial" w:hAnsi="Arial Narrow" w:cs="Arial"/>
                <w:color w:val="000000" w:themeColor="text1"/>
                <w:sz w:val="20"/>
                <w:szCs w:val="20"/>
              </w:rPr>
            </w:pPr>
            <w:r w:rsidRPr="00634F27">
              <w:rPr>
                <w:rFonts w:ascii="Arial Narrow" w:hAnsi="Arial Narrow" w:cs="Calibri"/>
                <w:b/>
                <w:bCs/>
                <w:color w:val="000000"/>
                <w:sz w:val="20"/>
                <w:szCs w:val="20"/>
              </w:rPr>
              <w:t> </w:t>
            </w:r>
          </w:p>
        </w:tc>
        <w:tc>
          <w:tcPr>
            <w:tcW w:w="486" w:type="pct"/>
            <w:tcBorders>
              <w:top w:val="single" w:sz="6" w:space="0" w:color="B3EFFD" w:themeColor="accent3" w:themeTint="33"/>
              <w:left w:val="nil"/>
              <w:bottom w:val="single" w:sz="6" w:space="0" w:color="B3EFFD" w:themeColor="accent3" w:themeTint="33"/>
              <w:right w:val="nil"/>
            </w:tcBorders>
            <w:vAlign w:val="center"/>
          </w:tcPr>
          <w:p w14:paraId="2152A65B" w14:textId="5886AF18" w:rsidR="000323EF" w:rsidRPr="00634F27" w:rsidRDefault="000323EF" w:rsidP="008B2437">
            <w:pPr>
              <w:keepNext/>
              <w:rPr>
                <w:rFonts w:ascii="Arial Narrow" w:eastAsia="Arial Narrow" w:hAnsi="Arial Narrow" w:cs="Arial Narrow"/>
                <w:color w:val="000000" w:themeColor="text1"/>
                <w:sz w:val="20"/>
                <w:szCs w:val="20"/>
              </w:rPr>
            </w:pPr>
            <w:r w:rsidRPr="00634F27">
              <w:rPr>
                <w:rFonts w:ascii="Arial Narrow" w:hAnsi="Arial Narrow" w:cs="Calibri"/>
                <w:color w:val="000000"/>
                <w:sz w:val="20"/>
                <w:szCs w:val="20"/>
              </w:rPr>
              <w:t>IHWAP</w:t>
            </w:r>
          </w:p>
        </w:tc>
        <w:tc>
          <w:tcPr>
            <w:tcW w:w="799"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10C20C8" w14:textId="233BB224"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color w:val="000000"/>
                <w:sz w:val="20"/>
                <w:szCs w:val="20"/>
              </w:rPr>
              <w:t>5,804</w:t>
            </w:r>
          </w:p>
        </w:tc>
        <w:tc>
          <w:tcPr>
            <w:tcW w:w="532"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4CF23054" w14:textId="63366DE7"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color w:val="000000"/>
                <w:sz w:val="20"/>
                <w:szCs w:val="20"/>
              </w:rPr>
              <w:t>100%</w:t>
            </w:r>
          </w:p>
        </w:tc>
        <w:tc>
          <w:tcPr>
            <w:tcW w:w="78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72D9740" w14:textId="2DD4ED7F"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color w:val="000000"/>
                <w:sz w:val="20"/>
                <w:szCs w:val="20"/>
              </w:rPr>
              <w:t>5,804</w:t>
            </w:r>
          </w:p>
        </w:tc>
        <w:tc>
          <w:tcPr>
            <w:tcW w:w="349"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FED1DC9" w14:textId="31267395"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color w:val="000000"/>
                <w:sz w:val="20"/>
                <w:szCs w:val="20"/>
              </w:rPr>
              <w:t>1.00</w:t>
            </w:r>
          </w:p>
        </w:tc>
        <w:tc>
          <w:tcPr>
            <w:tcW w:w="753"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DD136B4" w14:textId="23B8646B" w:rsidR="000323EF" w:rsidRPr="00634F27" w:rsidRDefault="00A25C1F" w:rsidP="0000532A">
            <w:pPr>
              <w:keepNext/>
              <w:jc w:val="right"/>
              <w:rPr>
                <w:rFonts w:ascii="Arial Narrow" w:hAnsi="Arial Narrow" w:cs="Calibri"/>
                <w:color w:val="000000"/>
                <w:sz w:val="20"/>
                <w:szCs w:val="20"/>
              </w:rPr>
            </w:pPr>
            <w:r>
              <w:rPr>
                <w:rFonts w:ascii="Arial Narrow" w:hAnsi="Arial Narrow" w:cs="Calibri"/>
                <w:color w:val="000000"/>
                <w:sz w:val="20"/>
                <w:szCs w:val="20"/>
              </w:rPr>
              <w:t>N/A</w:t>
            </w:r>
          </w:p>
        </w:tc>
        <w:tc>
          <w:tcPr>
            <w:tcW w:w="752"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F6FCB11" w14:textId="2FC6EF25"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color w:val="000000"/>
                <w:sz w:val="20"/>
                <w:szCs w:val="20"/>
              </w:rPr>
              <w:t>5,804</w:t>
            </w:r>
          </w:p>
        </w:tc>
      </w:tr>
      <w:tr w:rsidR="000323EF" w:rsidRPr="00634F27" w14:paraId="198B8CE3" w14:textId="77777777" w:rsidTr="0000532A">
        <w:trPr>
          <w:trHeight w:val="288"/>
        </w:trPr>
        <w:tc>
          <w:tcPr>
            <w:tcW w:w="1030" w:type="pct"/>
            <w:gridSpan w:val="2"/>
            <w:tcBorders>
              <w:top w:val="single" w:sz="6" w:space="0" w:color="B3EFFD" w:themeColor="accent3" w:themeTint="33"/>
              <w:left w:val="nil"/>
              <w:bottom w:val="single" w:sz="6" w:space="0" w:color="036479" w:themeColor="accent3"/>
              <w:right w:val="nil"/>
            </w:tcBorders>
            <w:vAlign w:val="center"/>
          </w:tcPr>
          <w:p w14:paraId="057B10D8" w14:textId="47F7CF17" w:rsidR="000323EF" w:rsidRPr="00634F27" w:rsidRDefault="000323EF" w:rsidP="008B2437">
            <w:pPr>
              <w:keepNext/>
              <w:rPr>
                <w:rFonts w:ascii="Arial Narrow" w:eastAsia="Arial Narrow" w:hAnsi="Arial Narrow" w:cs="Arial Narrow"/>
                <w:color w:val="000000" w:themeColor="text1"/>
                <w:sz w:val="20"/>
                <w:szCs w:val="20"/>
              </w:rPr>
            </w:pPr>
            <w:r w:rsidRPr="00634F27">
              <w:rPr>
                <w:rFonts w:ascii="Arial Narrow" w:eastAsia="Arial Narrow" w:hAnsi="Arial Narrow" w:cs="Arial Narrow"/>
                <w:b/>
                <w:bCs/>
                <w:color w:val="000000" w:themeColor="text1"/>
                <w:sz w:val="20"/>
                <w:szCs w:val="20"/>
              </w:rPr>
              <w:t xml:space="preserve">Total </w:t>
            </w:r>
          </w:p>
        </w:tc>
        <w:tc>
          <w:tcPr>
            <w:tcW w:w="799" w:type="pct"/>
            <w:tcBorders>
              <w:top w:val="single" w:sz="6" w:space="0" w:color="B3EFFD" w:themeColor="accent3" w:themeTint="33"/>
              <w:left w:val="nil"/>
              <w:bottom w:val="single" w:sz="6" w:space="0" w:color="036479" w:themeColor="accent3"/>
              <w:right w:val="nil"/>
            </w:tcBorders>
            <w:vAlign w:val="center"/>
          </w:tcPr>
          <w:p w14:paraId="6C188274" w14:textId="12EEEF77"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b/>
                <w:bCs/>
                <w:color w:val="000000"/>
                <w:sz w:val="20"/>
                <w:szCs w:val="20"/>
              </w:rPr>
              <w:t>1,790,976</w:t>
            </w:r>
          </w:p>
        </w:tc>
        <w:tc>
          <w:tcPr>
            <w:tcW w:w="532" w:type="pct"/>
            <w:tcBorders>
              <w:top w:val="single" w:sz="6" w:space="0" w:color="B3EFFD" w:themeColor="accent3" w:themeTint="33"/>
              <w:left w:val="nil"/>
              <w:bottom w:val="single" w:sz="6" w:space="0" w:color="036479" w:themeColor="accent3"/>
              <w:right w:val="nil"/>
            </w:tcBorders>
            <w:vAlign w:val="center"/>
          </w:tcPr>
          <w:p w14:paraId="3D2D82FF" w14:textId="289B6FE4"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b/>
                <w:bCs/>
                <w:color w:val="000000"/>
                <w:sz w:val="20"/>
                <w:szCs w:val="20"/>
              </w:rPr>
              <w:t>100%</w:t>
            </w:r>
          </w:p>
        </w:tc>
        <w:tc>
          <w:tcPr>
            <w:tcW w:w="784" w:type="pct"/>
            <w:tcBorders>
              <w:top w:val="single" w:sz="6" w:space="0" w:color="B3EFFD" w:themeColor="accent3" w:themeTint="33"/>
              <w:left w:val="nil"/>
              <w:bottom w:val="single" w:sz="6" w:space="0" w:color="036479" w:themeColor="accent3"/>
              <w:right w:val="nil"/>
            </w:tcBorders>
            <w:vAlign w:val="center"/>
          </w:tcPr>
          <w:p w14:paraId="18E1BAF9" w14:textId="125F41B9"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b/>
                <w:bCs/>
                <w:color w:val="000000"/>
                <w:sz w:val="20"/>
                <w:szCs w:val="20"/>
              </w:rPr>
              <w:t>1,791,752</w:t>
            </w:r>
          </w:p>
        </w:tc>
        <w:tc>
          <w:tcPr>
            <w:tcW w:w="349" w:type="pct"/>
            <w:tcBorders>
              <w:top w:val="single" w:sz="6" w:space="0" w:color="B3EFFD" w:themeColor="accent3" w:themeTint="33"/>
              <w:left w:val="nil"/>
              <w:bottom w:val="single" w:sz="6" w:space="0" w:color="036479" w:themeColor="accent3"/>
              <w:right w:val="nil"/>
            </w:tcBorders>
            <w:vAlign w:val="center"/>
          </w:tcPr>
          <w:p w14:paraId="1907C123" w14:textId="38014C1C"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b/>
                <w:bCs/>
                <w:color w:val="000000"/>
                <w:sz w:val="20"/>
                <w:szCs w:val="20"/>
              </w:rPr>
              <w:t>1.00</w:t>
            </w:r>
          </w:p>
        </w:tc>
        <w:tc>
          <w:tcPr>
            <w:tcW w:w="753" w:type="pct"/>
            <w:tcBorders>
              <w:top w:val="single" w:sz="6" w:space="0" w:color="B3EFFD" w:themeColor="accent3" w:themeTint="33"/>
              <w:left w:val="nil"/>
              <w:bottom w:val="single" w:sz="6" w:space="0" w:color="036479" w:themeColor="accent3"/>
              <w:right w:val="nil"/>
            </w:tcBorders>
            <w:vAlign w:val="center"/>
          </w:tcPr>
          <w:p w14:paraId="55DCF89F" w14:textId="52C709C7" w:rsidR="000323EF" w:rsidRPr="00634F27" w:rsidRDefault="00A25C1F" w:rsidP="0000532A">
            <w:pPr>
              <w:keepNext/>
              <w:jc w:val="right"/>
              <w:rPr>
                <w:rFonts w:ascii="Arial Narrow" w:hAnsi="Arial Narrow" w:cs="Calibri"/>
                <w:b/>
                <w:bCs/>
                <w:color w:val="000000"/>
                <w:sz w:val="20"/>
                <w:szCs w:val="20"/>
              </w:rPr>
            </w:pPr>
            <w:r>
              <w:rPr>
                <w:rFonts w:ascii="Arial Narrow" w:hAnsi="Arial Narrow" w:cs="Calibri"/>
                <w:b/>
                <w:bCs/>
                <w:color w:val="000000"/>
                <w:sz w:val="20"/>
                <w:szCs w:val="20"/>
              </w:rPr>
              <w:t>N/A</w:t>
            </w:r>
          </w:p>
        </w:tc>
        <w:tc>
          <w:tcPr>
            <w:tcW w:w="752" w:type="pct"/>
            <w:tcBorders>
              <w:top w:val="single" w:sz="6" w:space="0" w:color="B3EFFD" w:themeColor="accent3" w:themeTint="33"/>
              <w:left w:val="nil"/>
              <w:bottom w:val="single" w:sz="6" w:space="0" w:color="036479" w:themeColor="accent3"/>
              <w:right w:val="nil"/>
            </w:tcBorders>
            <w:vAlign w:val="center"/>
          </w:tcPr>
          <w:p w14:paraId="5FE7972D" w14:textId="3D53E09F" w:rsidR="000323EF" w:rsidRPr="00634F27" w:rsidRDefault="000323EF" w:rsidP="0000532A">
            <w:pPr>
              <w:keepNext/>
              <w:jc w:val="right"/>
              <w:rPr>
                <w:rFonts w:ascii="Arial Narrow" w:eastAsia="Arial" w:hAnsi="Arial Narrow" w:cs="Arial"/>
                <w:color w:val="000000" w:themeColor="text1"/>
                <w:sz w:val="20"/>
                <w:szCs w:val="20"/>
              </w:rPr>
            </w:pPr>
            <w:r w:rsidRPr="00634F27">
              <w:rPr>
                <w:rFonts w:ascii="Arial Narrow" w:hAnsi="Arial Narrow" w:cs="Calibri"/>
                <w:b/>
                <w:bCs/>
                <w:color w:val="000000"/>
                <w:sz w:val="20"/>
                <w:szCs w:val="20"/>
              </w:rPr>
              <w:t>1,791,752</w:t>
            </w:r>
          </w:p>
        </w:tc>
      </w:tr>
    </w:tbl>
    <w:p w14:paraId="3D75F438" w14:textId="77777777" w:rsidR="00F41BCE" w:rsidRDefault="00E93A62" w:rsidP="00F41BCE">
      <w:pPr>
        <w:pStyle w:val="GraphFootnote"/>
        <w:keepLines/>
        <w:rPr>
          <w:rFonts w:eastAsia="Arial Narrow" w:cs="Arial Narrow"/>
          <w:color w:val="000000" w:themeColor="text1"/>
          <w:szCs w:val="18"/>
        </w:rPr>
      </w:pPr>
      <w:bookmarkStart w:id="44" w:name="_Hlk500574807"/>
      <w:r w:rsidRPr="00F41BCE">
        <w:rPr>
          <w:rFonts w:eastAsia="Arial Narrow" w:cs="Arial Narrow"/>
          <w:color w:val="000000" w:themeColor="text1"/>
          <w:szCs w:val="18"/>
        </w:rPr>
        <w:t>* Realization Rate (RR) is the ratio of verified gross savings to ex ante gross savings, based on evaluation research findings.</w:t>
      </w:r>
      <w:bookmarkEnd w:id="44"/>
    </w:p>
    <w:p w14:paraId="1DC3EF45" w14:textId="418154C7" w:rsidR="00CE25F2" w:rsidRDefault="7F8615D4" w:rsidP="00CE25F2">
      <w:pPr>
        <w:pStyle w:val="GraphFootnote"/>
        <w:keepLines/>
        <w:rPr>
          <w:rFonts w:eastAsia="Arial Narrow" w:cs="Arial Narrow"/>
          <w:color w:val="000000" w:themeColor="text1"/>
          <w:szCs w:val="18"/>
        </w:rPr>
      </w:pPr>
      <w:r w:rsidRPr="69F43F8D">
        <w:rPr>
          <w:rFonts w:eastAsia="Arial Narrow" w:cs="Arial Narrow"/>
          <w:color w:val="000000" w:themeColor="text1"/>
          <w:szCs w:val="18"/>
        </w:rPr>
        <w:t xml:space="preserve">† NTG, Net to Gross is the deemed value available on the SAG website: </w:t>
      </w:r>
      <w:hyperlink r:id="rId21">
        <w:r w:rsidRPr="69F43F8D">
          <w:rPr>
            <w:rStyle w:val="Hyperlink"/>
            <w:rFonts w:eastAsia="Arial Narrow" w:cs="Arial Narrow"/>
            <w:color w:val="000000" w:themeColor="text1"/>
            <w:szCs w:val="18"/>
          </w:rPr>
          <w:t>https://www.ilsag.info/evaluator-ntg-recommendations-for-2024/</w:t>
        </w:r>
      </w:hyperlink>
      <w:r w:rsidRPr="69F43F8D">
        <w:rPr>
          <w:rFonts w:eastAsia="Arial Narrow" w:cs="Arial Narrow"/>
          <w:color w:val="000000" w:themeColor="text1"/>
          <w:szCs w:val="18"/>
        </w:rPr>
        <w:t xml:space="preserve">. </w:t>
      </w:r>
    </w:p>
    <w:p w14:paraId="25B96CFA" w14:textId="018CA5FD" w:rsidR="00954F5A" w:rsidRDefault="00954F5A" w:rsidP="00CE25F2">
      <w:pPr>
        <w:pStyle w:val="GraphFootnote"/>
        <w:keepLines/>
        <w:rPr>
          <w:szCs w:val="18"/>
        </w:rPr>
      </w:pPr>
      <w:r w:rsidRPr="1B6EEEC9">
        <w:rPr>
          <w:szCs w:val="18"/>
        </w:rPr>
        <w:t xml:space="preserve">‡ </w:t>
      </w:r>
      <w:r w:rsidR="008C15CC">
        <w:rPr>
          <w:szCs w:val="18"/>
        </w:rPr>
        <w:t>N</w:t>
      </w:r>
      <w:r w:rsidRPr="1B6EEEC9">
        <w:rPr>
          <w:szCs w:val="18"/>
        </w:rPr>
        <w:t>on-participant spillover (NPSO) factor of 1.0</w:t>
      </w:r>
      <w:r>
        <w:rPr>
          <w:szCs w:val="18"/>
        </w:rPr>
        <w:t>83</w:t>
      </w:r>
      <w:r w:rsidR="008C15CC">
        <w:rPr>
          <w:szCs w:val="18"/>
        </w:rPr>
        <w:t xml:space="preserve"> does not </w:t>
      </w:r>
      <w:r w:rsidR="00CE25F2">
        <w:rPr>
          <w:szCs w:val="18"/>
        </w:rPr>
        <w:t>apply to this program.</w:t>
      </w:r>
    </w:p>
    <w:p w14:paraId="3F8094C3" w14:textId="16BD8913" w:rsidR="7F8615D4" w:rsidRPr="00A9737A" w:rsidRDefault="7F8615D4" w:rsidP="008B2437">
      <w:pPr>
        <w:pStyle w:val="Source"/>
        <w:rPr>
          <w:rFonts w:eastAsia="Arial Narrow" w:cs="Arial Narrow"/>
        </w:rPr>
      </w:pPr>
      <w:r w:rsidRPr="00A9737A">
        <w:rPr>
          <w:rFonts w:eastAsia="Arial"/>
        </w:rPr>
        <w:t>Source: Evaluation team analysis.</w:t>
      </w:r>
    </w:p>
    <w:p w14:paraId="0D2972F1" w14:textId="2CF8134D" w:rsidR="69F43F8D" w:rsidRPr="008B2437" w:rsidRDefault="69F43F8D" w:rsidP="008B2437"/>
    <w:p w14:paraId="5A8BAD4D" w14:textId="28A3E398" w:rsidR="00E93A62" w:rsidRDefault="00AA2B3B" w:rsidP="00E93A62">
      <w:r>
        <w:fldChar w:fldCharType="begin"/>
      </w:r>
      <w:r>
        <w:instrText xml:space="preserve"> REF _Ref189739510 \h </w:instrText>
      </w:r>
      <w:r>
        <w:fldChar w:fldCharType="separate"/>
      </w:r>
      <w:r w:rsidR="00434B54">
        <w:t xml:space="preserve">Table </w:t>
      </w:r>
      <w:r w:rsidR="00434B54">
        <w:rPr>
          <w:noProof/>
        </w:rPr>
        <w:t>6</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NSG </w:t>
      </w:r>
      <w:r w:rsidR="00E84FAF">
        <w:t>MFIE</w:t>
      </w:r>
      <w:r w:rsidR="00E93A62">
        <w:t xml:space="preserve"> P</w:t>
      </w:r>
      <w:r w:rsidR="00E93A62" w:rsidRPr="00A90B62">
        <w:t>rogram</w:t>
      </w:r>
      <w:r w:rsidR="00E93A62">
        <w:t xml:space="preserve"> achieved in </w:t>
      </w:r>
      <w:r w:rsidR="00D90A46">
        <w:t>2024</w:t>
      </w:r>
      <w:r w:rsidR="00E93A62">
        <w:t>.</w:t>
      </w:r>
    </w:p>
    <w:p w14:paraId="5DD569F0" w14:textId="02F39277" w:rsidR="00E93A62" w:rsidRDefault="001C79FE" w:rsidP="004B73FE">
      <w:pPr>
        <w:pStyle w:val="Caption"/>
      </w:pPr>
      <w:bookmarkStart w:id="45" w:name="_Ref189739510"/>
      <w:bookmarkStart w:id="46" w:name="_Toc61360477"/>
      <w:bookmarkStart w:id="47" w:name="_Toc193349181"/>
      <w:bookmarkStart w:id="48" w:name="_Toc193349215"/>
      <w:bookmarkStart w:id="49" w:name="_Toc193349930"/>
      <w:r>
        <w:t xml:space="preserve">Table </w:t>
      </w:r>
      <w:r w:rsidR="0034721B">
        <w:fldChar w:fldCharType="begin"/>
      </w:r>
      <w:r w:rsidR="0034721B">
        <w:instrText xml:space="preserve"> SEQ Table \* ARABIC </w:instrText>
      </w:r>
      <w:r w:rsidR="0034721B">
        <w:fldChar w:fldCharType="separate"/>
      </w:r>
      <w:r w:rsidR="0034721B">
        <w:rPr>
          <w:noProof/>
        </w:rPr>
        <w:t>6</w:t>
      </w:r>
      <w:r w:rsidR="0034721B">
        <w:rPr>
          <w:noProof/>
        </w:rPr>
        <w:fldChar w:fldCharType="end"/>
      </w:r>
      <w:bookmarkEnd w:id="45"/>
      <w:r w:rsidR="00E93A62">
        <w:t xml:space="preserve">. </w:t>
      </w:r>
      <w:r w:rsidR="00A22BDA">
        <w:t>2024 MFIE Program</w:t>
      </w:r>
      <w:r w:rsidR="00E93A62">
        <w:t xml:space="preserve"> Annual Energy Savings Summary for NSG</w:t>
      </w:r>
      <w:bookmarkEnd w:id="46"/>
      <w:bookmarkEnd w:id="47"/>
      <w:bookmarkEnd w:id="48"/>
      <w:bookmarkEnd w:id="49"/>
    </w:p>
    <w:tbl>
      <w:tblPr>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22"/>
        <w:gridCol w:w="908"/>
        <w:gridCol w:w="1488"/>
        <w:gridCol w:w="1000"/>
        <w:gridCol w:w="1434"/>
        <w:gridCol w:w="708"/>
        <w:gridCol w:w="1400"/>
        <w:gridCol w:w="1400"/>
      </w:tblGrid>
      <w:tr w:rsidR="00A25C1F" w:rsidRPr="00B262AF" w14:paraId="2FDCD0EC" w14:textId="77777777" w:rsidTr="00CE25F2">
        <w:trPr>
          <w:trHeight w:val="300"/>
        </w:trPr>
        <w:tc>
          <w:tcPr>
            <w:tcW w:w="546" w:type="pct"/>
            <w:tcBorders>
              <w:top w:val="nil"/>
              <w:left w:val="nil"/>
              <w:bottom w:val="single" w:sz="12" w:space="0" w:color="95D600"/>
              <w:right w:val="nil"/>
            </w:tcBorders>
            <w:shd w:val="clear" w:color="auto" w:fill="036479" w:themeFill="accent3"/>
            <w:vAlign w:val="center"/>
          </w:tcPr>
          <w:p w14:paraId="516D6BF0" w14:textId="61AE9685" w:rsidR="00A25C1F" w:rsidRPr="0091000E" w:rsidRDefault="00A25C1F" w:rsidP="00A25C1F">
            <w:pPr>
              <w:rPr>
                <w:rFonts w:ascii="Arial Narrow" w:eastAsia="Arial Narrow" w:hAnsi="Arial Narrow" w:cs="Arial Narrow"/>
                <w:color w:val="FFFFFF" w:themeColor="background1"/>
                <w:sz w:val="20"/>
                <w:szCs w:val="20"/>
              </w:rPr>
            </w:pPr>
            <w:r w:rsidRPr="0091000E">
              <w:rPr>
                <w:rFonts w:ascii="Arial Narrow" w:eastAsia="Arial Narrow" w:hAnsi="Arial Narrow" w:cs="Arial Narrow"/>
                <w:color w:val="FFFFFF" w:themeColor="background1"/>
                <w:sz w:val="20"/>
                <w:szCs w:val="20"/>
              </w:rPr>
              <w:t>Program Category</w:t>
            </w:r>
          </w:p>
        </w:tc>
        <w:tc>
          <w:tcPr>
            <w:tcW w:w="485" w:type="pct"/>
            <w:tcBorders>
              <w:top w:val="nil"/>
              <w:left w:val="nil"/>
              <w:bottom w:val="single" w:sz="12" w:space="0" w:color="95D600"/>
              <w:right w:val="nil"/>
            </w:tcBorders>
            <w:shd w:val="clear" w:color="auto" w:fill="036479" w:themeFill="accent3"/>
            <w:vAlign w:val="center"/>
          </w:tcPr>
          <w:p w14:paraId="6C7118D9" w14:textId="48C64345" w:rsidR="00A25C1F" w:rsidRPr="0091000E" w:rsidRDefault="00A25C1F" w:rsidP="00A25C1F">
            <w:pPr>
              <w:rPr>
                <w:rFonts w:ascii="Arial Narrow" w:eastAsia="Arial Narrow" w:hAnsi="Arial Narrow" w:cs="Arial Narrow"/>
                <w:color w:val="FFFFFF" w:themeColor="background1"/>
                <w:sz w:val="20"/>
                <w:szCs w:val="20"/>
              </w:rPr>
            </w:pPr>
            <w:r w:rsidRPr="0091000E">
              <w:rPr>
                <w:rFonts w:ascii="Arial Narrow" w:eastAsia="Arial Narrow" w:hAnsi="Arial Narrow" w:cs="Arial Narrow"/>
                <w:color w:val="FFFFFF" w:themeColor="background1"/>
                <w:sz w:val="20"/>
                <w:szCs w:val="20"/>
              </w:rPr>
              <w:t>Program Path</w:t>
            </w:r>
          </w:p>
        </w:tc>
        <w:tc>
          <w:tcPr>
            <w:tcW w:w="795" w:type="pct"/>
            <w:tcBorders>
              <w:top w:val="nil"/>
              <w:left w:val="nil"/>
              <w:bottom w:val="single" w:sz="12" w:space="0" w:color="95D600"/>
              <w:right w:val="nil"/>
            </w:tcBorders>
            <w:shd w:val="clear" w:color="auto" w:fill="036479" w:themeFill="accent3"/>
            <w:vAlign w:val="center"/>
          </w:tcPr>
          <w:p w14:paraId="2A7841BA" w14:textId="65A04925" w:rsidR="00A25C1F" w:rsidRPr="0091000E" w:rsidRDefault="00A25C1F" w:rsidP="00A25C1F">
            <w:pPr>
              <w:jc w:val="right"/>
              <w:rPr>
                <w:rFonts w:ascii="Arial Narrow" w:eastAsia="Arial Narrow" w:hAnsi="Arial Narrow" w:cs="Arial Narrow"/>
                <w:color w:val="FFFFFF" w:themeColor="background1"/>
                <w:sz w:val="20"/>
                <w:szCs w:val="20"/>
              </w:rPr>
            </w:pPr>
            <w:r w:rsidRPr="0091000E">
              <w:rPr>
                <w:rFonts w:ascii="Arial Narrow" w:eastAsia="Arial Narrow" w:hAnsi="Arial Narrow" w:cs="Arial Narrow"/>
                <w:color w:val="FFFFFF" w:themeColor="background1"/>
                <w:sz w:val="20"/>
                <w:szCs w:val="20"/>
              </w:rPr>
              <w:t>Ex Ante Gross Savings (Therms)</w:t>
            </w:r>
          </w:p>
        </w:tc>
        <w:tc>
          <w:tcPr>
            <w:tcW w:w="534" w:type="pct"/>
            <w:tcBorders>
              <w:top w:val="nil"/>
              <w:left w:val="nil"/>
              <w:bottom w:val="single" w:sz="12" w:space="0" w:color="95D600"/>
              <w:right w:val="nil"/>
            </w:tcBorders>
            <w:shd w:val="clear" w:color="auto" w:fill="036479" w:themeFill="accent3"/>
            <w:vAlign w:val="center"/>
          </w:tcPr>
          <w:p w14:paraId="165044A1" w14:textId="655A3D98" w:rsidR="00A25C1F" w:rsidRPr="0091000E" w:rsidRDefault="00A25C1F" w:rsidP="00A25C1F">
            <w:pPr>
              <w:jc w:val="right"/>
              <w:rPr>
                <w:rFonts w:ascii="Arial Narrow" w:eastAsia="Arial Narrow" w:hAnsi="Arial Narrow" w:cs="Arial Narrow"/>
                <w:color w:val="FFFFFF" w:themeColor="background1"/>
                <w:sz w:val="20"/>
                <w:szCs w:val="20"/>
              </w:rPr>
            </w:pPr>
            <w:r w:rsidRPr="0091000E">
              <w:rPr>
                <w:rFonts w:ascii="Arial Narrow" w:eastAsia="Arial Narrow" w:hAnsi="Arial Narrow" w:cs="Arial Narrow"/>
                <w:color w:val="FFFFFF" w:themeColor="background1"/>
                <w:sz w:val="20"/>
                <w:szCs w:val="20"/>
              </w:rPr>
              <w:t>Verified Gross RR*</w:t>
            </w:r>
          </w:p>
        </w:tc>
        <w:tc>
          <w:tcPr>
            <w:tcW w:w="766" w:type="pct"/>
            <w:tcBorders>
              <w:top w:val="nil"/>
              <w:left w:val="nil"/>
              <w:bottom w:val="single" w:sz="12" w:space="0" w:color="95D600"/>
              <w:right w:val="nil"/>
            </w:tcBorders>
            <w:shd w:val="clear" w:color="auto" w:fill="036479" w:themeFill="accent3"/>
            <w:vAlign w:val="center"/>
          </w:tcPr>
          <w:p w14:paraId="16EA2970" w14:textId="5010B1DF" w:rsidR="00A25C1F" w:rsidRPr="0091000E" w:rsidRDefault="00A25C1F" w:rsidP="00A25C1F">
            <w:pPr>
              <w:jc w:val="right"/>
              <w:rPr>
                <w:rFonts w:ascii="Arial Narrow" w:eastAsia="Arial Narrow" w:hAnsi="Arial Narrow" w:cs="Arial Narrow"/>
                <w:color w:val="FFFFFF" w:themeColor="background1"/>
                <w:sz w:val="20"/>
                <w:szCs w:val="20"/>
              </w:rPr>
            </w:pPr>
            <w:r w:rsidRPr="0091000E">
              <w:rPr>
                <w:rFonts w:ascii="Arial Narrow" w:eastAsia="Arial Narrow" w:hAnsi="Arial Narrow" w:cs="Arial Narrow"/>
                <w:color w:val="FFFFFF" w:themeColor="background1"/>
                <w:sz w:val="20"/>
                <w:szCs w:val="20"/>
              </w:rPr>
              <w:t>Verified Gross Savings (Therms</w:t>
            </w:r>
          </w:p>
        </w:tc>
        <w:tc>
          <w:tcPr>
            <w:tcW w:w="378" w:type="pct"/>
            <w:tcBorders>
              <w:top w:val="nil"/>
              <w:left w:val="nil"/>
              <w:bottom w:val="single" w:sz="12" w:space="0" w:color="95D600"/>
              <w:right w:val="nil"/>
            </w:tcBorders>
            <w:shd w:val="clear" w:color="auto" w:fill="036479" w:themeFill="accent3"/>
            <w:vAlign w:val="center"/>
          </w:tcPr>
          <w:p w14:paraId="7073B993" w14:textId="28C45BCD" w:rsidR="00A25C1F" w:rsidRPr="0091000E" w:rsidRDefault="00A25C1F" w:rsidP="00A25C1F">
            <w:pPr>
              <w:jc w:val="right"/>
              <w:rPr>
                <w:rFonts w:ascii="Calibri" w:eastAsia="Calibri" w:hAnsi="Calibri" w:cs="Calibri"/>
                <w:color w:val="FFFFFF" w:themeColor="background1"/>
                <w:sz w:val="20"/>
                <w:szCs w:val="20"/>
              </w:rPr>
            </w:pPr>
            <w:r w:rsidRPr="0091000E">
              <w:rPr>
                <w:rFonts w:ascii="Arial Narrow" w:eastAsia="Arial Narrow" w:hAnsi="Arial Narrow" w:cs="Arial Narrow"/>
                <w:color w:val="FFFFFF" w:themeColor="background1"/>
                <w:sz w:val="20"/>
                <w:szCs w:val="20"/>
              </w:rPr>
              <w:t>NTG</w:t>
            </w:r>
            <w:r w:rsidRPr="0091000E">
              <w:rPr>
                <w:rFonts w:ascii="Calibri" w:eastAsia="Calibri" w:hAnsi="Calibri" w:cs="Calibri"/>
                <w:color w:val="FFFFFF" w:themeColor="background1"/>
                <w:sz w:val="20"/>
                <w:szCs w:val="20"/>
              </w:rPr>
              <w:t>†</w:t>
            </w:r>
          </w:p>
        </w:tc>
        <w:tc>
          <w:tcPr>
            <w:tcW w:w="748" w:type="pct"/>
            <w:tcBorders>
              <w:top w:val="nil"/>
              <w:left w:val="nil"/>
              <w:bottom w:val="single" w:sz="12" w:space="0" w:color="95D600"/>
              <w:right w:val="nil"/>
            </w:tcBorders>
            <w:shd w:val="clear" w:color="auto" w:fill="036479" w:themeFill="accent3"/>
            <w:vAlign w:val="center"/>
          </w:tcPr>
          <w:p w14:paraId="35BFE57B" w14:textId="0BC882B3" w:rsidR="00A25C1F" w:rsidRPr="0091000E" w:rsidRDefault="00A25C1F" w:rsidP="00A25C1F">
            <w:pPr>
              <w:jc w:val="right"/>
              <w:rPr>
                <w:rFonts w:ascii="Arial Narrow" w:eastAsia="Arial Narrow" w:hAnsi="Arial Narrow" w:cs="Arial Narrow"/>
                <w:color w:val="FFFFFF" w:themeColor="background1"/>
                <w:sz w:val="20"/>
                <w:szCs w:val="20"/>
              </w:rPr>
            </w:pPr>
            <w:r w:rsidRPr="0091000E">
              <w:rPr>
                <w:rFonts w:ascii="Arial Narrow" w:hAnsi="Arial Narrow" w:cs="Calibri"/>
                <w:color w:val="FFFFFF"/>
                <w:sz w:val="20"/>
                <w:szCs w:val="20"/>
              </w:rPr>
              <w:t xml:space="preserve"> NSPO </w:t>
            </w:r>
          </w:p>
        </w:tc>
        <w:tc>
          <w:tcPr>
            <w:tcW w:w="748" w:type="pct"/>
            <w:tcBorders>
              <w:top w:val="nil"/>
              <w:left w:val="nil"/>
              <w:bottom w:val="single" w:sz="12" w:space="0" w:color="95D600"/>
              <w:right w:val="nil"/>
            </w:tcBorders>
            <w:shd w:val="clear" w:color="auto" w:fill="036479" w:themeFill="accent3"/>
            <w:vAlign w:val="center"/>
          </w:tcPr>
          <w:p w14:paraId="41558400" w14:textId="6516C63C" w:rsidR="00A25C1F" w:rsidRPr="0091000E" w:rsidRDefault="00A25C1F" w:rsidP="00A25C1F">
            <w:pPr>
              <w:jc w:val="right"/>
              <w:rPr>
                <w:rFonts w:ascii="Arial Narrow" w:eastAsia="Arial Narrow" w:hAnsi="Arial Narrow" w:cs="Arial Narrow"/>
                <w:color w:val="FFFFFF" w:themeColor="background1"/>
                <w:sz w:val="20"/>
                <w:szCs w:val="20"/>
              </w:rPr>
            </w:pPr>
            <w:r w:rsidRPr="0091000E">
              <w:rPr>
                <w:rFonts w:ascii="Arial Narrow" w:eastAsia="Arial Narrow" w:hAnsi="Arial Narrow" w:cs="Arial Narrow"/>
                <w:color w:val="FFFFFF" w:themeColor="background1"/>
                <w:sz w:val="20"/>
                <w:szCs w:val="20"/>
              </w:rPr>
              <w:t>Verified Net Savings (Therms)</w:t>
            </w:r>
          </w:p>
        </w:tc>
      </w:tr>
      <w:tr w:rsidR="00A25C1F" w:rsidRPr="00B262AF" w14:paraId="4E39B96E" w14:textId="77777777" w:rsidTr="00CE25F2">
        <w:trPr>
          <w:trHeight w:val="300"/>
        </w:trPr>
        <w:tc>
          <w:tcPr>
            <w:tcW w:w="546" w:type="pct"/>
            <w:tcBorders>
              <w:top w:val="single" w:sz="12" w:space="0" w:color="95D600"/>
              <w:left w:val="nil"/>
              <w:bottom w:val="single" w:sz="4" w:space="0" w:color="auto"/>
              <w:right w:val="nil"/>
            </w:tcBorders>
            <w:vAlign w:val="center"/>
          </w:tcPr>
          <w:p w14:paraId="41D7D05B" w14:textId="5915B15E" w:rsidR="00A25C1F" w:rsidRPr="0091000E" w:rsidRDefault="00A25C1F" w:rsidP="00A25C1F">
            <w:pPr>
              <w:rPr>
                <w:rFonts w:ascii="Arial Narrow" w:eastAsia="Arial Narrow" w:hAnsi="Arial Narrow" w:cs="Arial Narrow"/>
                <w:b/>
                <w:bCs/>
                <w:color w:val="000000" w:themeColor="text1"/>
                <w:sz w:val="20"/>
                <w:szCs w:val="20"/>
              </w:rPr>
            </w:pPr>
            <w:r w:rsidRPr="0091000E">
              <w:rPr>
                <w:rFonts w:ascii="Arial Narrow" w:hAnsi="Arial Narrow" w:cs="Calibri"/>
                <w:b/>
                <w:bCs/>
                <w:color w:val="000000"/>
                <w:sz w:val="20"/>
                <w:szCs w:val="20"/>
              </w:rPr>
              <w:t xml:space="preserve">Multi-Family </w:t>
            </w:r>
          </w:p>
        </w:tc>
        <w:tc>
          <w:tcPr>
            <w:tcW w:w="485" w:type="pct"/>
            <w:tcBorders>
              <w:top w:val="single" w:sz="12" w:space="0" w:color="95D600"/>
              <w:left w:val="nil"/>
              <w:bottom w:val="single" w:sz="4" w:space="0" w:color="auto"/>
              <w:right w:val="nil"/>
            </w:tcBorders>
            <w:shd w:val="clear" w:color="auto" w:fill="FFFFFF" w:themeFill="background1"/>
            <w:vAlign w:val="center"/>
          </w:tcPr>
          <w:p w14:paraId="4C57015A" w14:textId="3B44C7A3" w:rsidR="00A25C1F" w:rsidRPr="0091000E" w:rsidRDefault="00A25C1F" w:rsidP="00A25C1F">
            <w:pPr>
              <w:rPr>
                <w:rFonts w:ascii="Arial Narrow" w:eastAsia="Arial Narrow" w:hAnsi="Arial Narrow" w:cs="Arial Narrow"/>
                <w:b/>
                <w:bCs/>
                <w:color w:val="000000" w:themeColor="text1"/>
                <w:sz w:val="20"/>
                <w:szCs w:val="20"/>
              </w:rPr>
            </w:pPr>
            <w:r w:rsidRPr="0091000E">
              <w:rPr>
                <w:rFonts w:ascii="Arial Narrow" w:hAnsi="Arial Narrow" w:cs="Calibri"/>
                <w:b/>
                <w:bCs/>
                <w:color w:val="000000"/>
                <w:sz w:val="20"/>
                <w:szCs w:val="20"/>
              </w:rPr>
              <w:t>Income Eligible</w:t>
            </w:r>
          </w:p>
        </w:tc>
        <w:tc>
          <w:tcPr>
            <w:tcW w:w="795" w:type="pct"/>
            <w:tcBorders>
              <w:top w:val="single" w:sz="12" w:space="0" w:color="95D600"/>
              <w:left w:val="nil"/>
              <w:bottom w:val="single" w:sz="4" w:space="0" w:color="auto"/>
              <w:right w:val="nil"/>
            </w:tcBorders>
            <w:vAlign w:val="center"/>
          </w:tcPr>
          <w:p w14:paraId="2B15A79C" w14:textId="5F5E0028" w:rsidR="00A25C1F" w:rsidRPr="0091000E" w:rsidRDefault="00A25C1F" w:rsidP="00CE25F2">
            <w:pPr>
              <w:jc w:val="right"/>
              <w:rPr>
                <w:rFonts w:ascii="Arial Narrow" w:eastAsia="Arial Narrow" w:hAnsi="Arial Narrow" w:cs="Arial Narrow"/>
                <w:b/>
                <w:bCs/>
                <w:color w:val="000000" w:themeColor="text1"/>
                <w:sz w:val="20"/>
                <w:szCs w:val="20"/>
              </w:rPr>
            </w:pPr>
            <w:r w:rsidRPr="0091000E">
              <w:rPr>
                <w:rFonts w:ascii="Arial Narrow" w:hAnsi="Arial Narrow" w:cs="Calibri"/>
                <w:b/>
                <w:bCs/>
                <w:color w:val="000000"/>
                <w:sz w:val="20"/>
                <w:szCs w:val="20"/>
              </w:rPr>
              <w:t>82,212</w:t>
            </w:r>
          </w:p>
        </w:tc>
        <w:tc>
          <w:tcPr>
            <w:tcW w:w="534" w:type="pct"/>
            <w:tcBorders>
              <w:top w:val="single" w:sz="12" w:space="0" w:color="95D600"/>
              <w:left w:val="nil"/>
              <w:bottom w:val="single" w:sz="4" w:space="0" w:color="auto"/>
              <w:right w:val="nil"/>
            </w:tcBorders>
            <w:vAlign w:val="center"/>
          </w:tcPr>
          <w:p w14:paraId="11AC0628" w14:textId="626A513F" w:rsidR="00A25C1F" w:rsidRPr="0091000E" w:rsidRDefault="00A25C1F" w:rsidP="00CE25F2">
            <w:pPr>
              <w:jc w:val="right"/>
              <w:rPr>
                <w:rFonts w:ascii="Arial Narrow" w:eastAsia="Arial Narrow" w:hAnsi="Arial Narrow" w:cs="Arial Narrow"/>
                <w:b/>
                <w:bCs/>
                <w:color w:val="000000" w:themeColor="text1"/>
                <w:sz w:val="20"/>
                <w:szCs w:val="20"/>
              </w:rPr>
            </w:pPr>
            <w:r w:rsidRPr="0091000E">
              <w:rPr>
                <w:rFonts w:ascii="Arial Narrow" w:hAnsi="Arial Narrow" w:cs="Calibri"/>
                <w:b/>
                <w:bCs/>
                <w:color w:val="000000"/>
                <w:sz w:val="20"/>
                <w:szCs w:val="20"/>
              </w:rPr>
              <w:t>100%</w:t>
            </w:r>
          </w:p>
        </w:tc>
        <w:tc>
          <w:tcPr>
            <w:tcW w:w="766" w:type="pct"/>
            <w:tcBorders>
              <w:top w:val="single" w:sz="12" w:space="0" w:color="95D600"/>
              <w:left w:val="nil"/>
              <w:bottom w:val="single" w:sz="4" w:space="0" w:color="auto"/>
              <w:right w:val="nil"/>
            </w:tcBorders>
            <w:vAlign w:val="center"/>
          </w:tcPr>
          <w:p w14:paraId="03C1EF37" w14:textId="05EDEDE0" w:rsidR="00A25C1F" w:rsidRPr="0091000E" w:rsidRDefault="00A25C1F" w:rsidP="00CE25F2">
            <w:pPr>
              <w:jc w:val="right"/>
              <w:rPr>
                <w:rFonts w:ascii="Arial Narrow" w:eastAsia="Arial Narrow" w:hAnsi="Arial Narrow" w:cs="Arial Narrow"/>
                <w:b/>
                <w:bCs/>
                <w:color w:val="000000" w:themeColor="text1"/>
                <w:sz w:val="20"/>
                <w:szCs w:val="20"/>
              </w:rPr>
            </w:pPr>
            <w:r w:rsidRPr="0091000E">
              <w:rPr>
                <w:rFonts w:ascii="Arial Narrow" w:hAnsi="Arial Narrow" w:cs="Calibri"/>
                <w:b/>
                <w:bCs/>
                <w:color w:val="000000"/>
                <w:sz w:val="20"/>
                <w:szCs w:val="20"/>
              </w:rPr>
              <w:t>82,211</w:t>
            </w:r>
          </w:p>
        </w:tc>
        <w:tc>
          <w:tcPr>
            <w:tcW w:w="378" w:type="pct"/>
            <w:tcBorders>
              <w:top w:val="single" w:sz="12" w:space="0" w:color="95D600"/>
              <w:left w:val="nil"/>
              <w:bottom w:val="single" w:sz="4" w:space="0" w:color="auto"/>
              <w:right w:val="nil"/>
            </w:tcBorders>
            <w:vAlign w:val="center"/>
          </w:tcPr>
          <w:p w14:paraId="46FE5454" w14:textId="7AAB9393" w:rsidR="00A25C1F" w:rsidRPr="0091000E" w:rsidRDefault="00A25C1F" w:rsidP="00CE25F2">
            <w:pPr>
              <w:jc w:val="right"/>
              <w:rPr>
                <w:rFonts w:ascii="Arial Narrow" w:eastAsia="Arial Narrow" w:hAnsi="Arial Narrow" w:cs="Arial Narrow"/>
                <w:b/>
                <w:bCs/>
                <w:color w:val="000000" w:themeColor="text1"/>
                <w:sz w:val="20"/>
                <w:szCs w:val="20"/>
              </w:rPr>
            </w:pPr>
            <w:r w:rsidRPr="0091000E">
              <w:rPr>
                <w:rFonts w:ascii="Arial Narrow" w:hAnsi="Arial Narrow" w:cs="Calibri"/>
                <w:b/>
                <w:bCs/>
                <w:color w:val="000000"/>
                <w:sz w:val="20"/>
                <w:szCs w:val="20"/>
              </w:rPr>
              <w:t>1.00</w:t>
            </w:r>
          </w:p>
        </w:tc>
        <w:tc>
          <w:tcPr>
            <w:tcW w:w="748" w:type="pct"/>
            <w:tcBorders>
              <w:top w:val="single" w:sz="12" w:space="0" w:color="95D600"/>
              <w:left w:val="nil"/>
              <w:bottom w:val="single" w:sz="4" w:space="0" w:color="auto"/>
              <w:right w:val="nil"/>
            </w:tcBorders>
            <w:vAlign w:val="center"/>
          </w:tcPr>
          <w:p w14:paraId="794EC998" w14:textId="5C2A0D39" w:rsidR="00A25C1F" w:rsidRPr="0091000E" w:rsidRDefault="00A25C1F" w:rsidP="00CE25F2">
            <w:pPr>
              <w:jc w:val="right"/>
              <w:rPr>
                <w:rFonts w:ascii="Arial Narrow" w:hAnsi="Arial Narrow" w:cs="Calibri"/>
                <w:b/>
                <w:bCs/>
                <w:color w:val="000000"/>
                <w:sz w:val="20"/>
                <w:szCs w:val="20"/>
              </w:rPr>
            </w:pPr>
            <w:r w:rsidRPr="0091000E">
              <w:rPr>
                <w:rFonts w:ascii="Arial Narrow" w:hAnsi="Arial Narrow" w:cs="Calibri"/>
                <w:b/>
                <w:bCs/>
                <w:color w:val="000000"/>
                <w:sz w:val="20"/>
                <w:szCs w:val="20"/>
              </w:rPr>
              <w:t>N/A</w:t>
            </w:r>
          </w:p>
        </w:tc>
        <w:tc>
          <w:tcPr>
            <w:tcW w:w="748" w:type="pct"/>
            <w:tcBorders>
              <w:top w:val="single" w:sz="12" w:space="0" w:color="95D600"/>
              <w:left w:val="nil"/>
              <w:bottom w:val="single" w:sz="4" w:space="0" w:color="auto"/>
              <w:right w:val="nil"/>
            </w:tcBorders>
            <w:vAlign w:val="center"/>
          </w:tcPr>
          <w:p w14:paraId="3AD7C087" w14:textId="385D95F6" w:rsidR="00A25C1F" w:rsidRPr="0091000E" w:rsidRDefault="00A25C1F" w:rsidP="00CE25F2">
            <w:pPr>
              <w:jc w:val="right"/>
              <w:rPr>
                <w:rFonts w:ascii="Arial Narrow" w:eastAsia="Arial Narrow" w:hAnsi="Arial Narrow" w:cs="Arial Narrow"/>
                <w:b/>
                <w:bCs/>
                <w:color w:val="000000" w:themeColor="text1"/>
                <w:sz w:val="20"/>
                <w:szCs w:val="20"/>
              </w:rPr>
            </w:pPr>
            <w:r w:rsidRPr="0091000E">
              <w:rPr>
                <w:rFonts w:ascii="Arial Narrow" w:hAnsi="Arial Narrow" w:cs="Calibri"/>
                <w:b/>
                <w:bCs/>
                <w:color w:val="000000"/>
                <w:sz w:val="20"/>
                <w:szCs w:val="20"/>
              </w:rPr>
              <w:t>82,211</w:t>
            </w:r>
          </w:p>
        </w:tc>
      </w:tr>
    </w:tbl>
    <w:p w14:paraId="2D523AB4" w14:textId="0F1F1E93" w:rsidR="00E93A62" w:rsidRPr="00F3194B" w:rsidRDefault="00F3194B" w:rsidP="00F3194B">
      <w:pPr>
        <w:pStyle w:val="GraphFootnote"/>
        <w:keepLines/>
        <w:rPr>
          <w:rFonts w:eastAsia="Arial Narrow" w:cs="Arial Narrow"/>
          <w:color w:val="000000" w:themeColor="text1"/>
          <w:szCs w:val="18"/>
        </w:rPr>
      </w:pPr>
      <w:r w:rsidRPr="00F41BCE">
        <w:rPr>
          <w:rFonts w:eastAsia="Arial Narrow" w:cs="Arial Narrow"/>
          <w:color w:val="000000" w:themeColor="text1"/>
          <w:szCs w:val="18"/>
        </w:rPr>
        <w:t>* Realization Rate (RR) is the ratio of verified gross savings to ex ante gross savings, based on evaluation research findings.</w:t>
      </w:r>
      <w:r>
        <w:rPr>
          <w:rFonts w:eastAsia="Arial Narrow" w:cs="Arial Narrow"/>
          <w:color w:val="000000" w:themeColor="text1"/>
          <w:szCs w:val="18"/>
        </w:rPr>
        <w:br/>
      </w:r>
      <w:r w:rsidRPr="69F43F8D">
        <w:rPr>
          <w:rFonts w:eastAsia="Arial Narrow" w:cs="Arial Narrow"/>
          <w:color w:val="000000" w:themeColor="text1"/>
          <w:szCs w:val="18"/>
        </w:rPr>
        <w:t xml:space="preserve">† NTG, Net to Gross is the deemed value available on the SAG website: </w:t>
      </w:r>
      <w:hyperlink r:id="rId22">
        <w:r w:rsidRPr="69F43F8D">
          <w:rPr>
            <w:rStyle w:val="Hyperlink"/>
            <w:rFonts w:eastAsia="Arial Narrow" w:cs="Arial Narrow"/>
            <w:color w:val="000000" w:themeColor="text1"/>
            <w:szCs w:val="18"/>
          </w:rPr>
          <w:t>https://www.ilsag.info/evaluator-ntg-recommendations-for-2024/</w:t>
        </w:r>
      </w:hyperlink>
      <w:r w:rsidRPr="69F43F8D">
        <w:rPr>
          <w:rFonts w:eastAsia="Arial Narrow" w:cs="Arial Narrow"/>
          <w:color w:val="000000" w:themeColor="text1"/>
          <w:szCs w:val="18"/>
        </w:rPr>
        <w:t xml:space="preserve">. </w:t>
      </w:r>
      <w:r>
        <w:rPr>
          <w:rFonts w:eastAsia="Arial Narrow" w:cs="Arial Narrow"/>
          <w:color w:val="000000" w:themeColor="text1"/>
          <w:szCs w:val="18"/>
        </w:rPr>
        <w:br/>
      </w:r>
      <w:r w:rsidR="00E93A62" w:rsidRPr="00F3194B">
        <w:rPr>
          <w:rFonts w:ascii="Arial" w:eastAsia="Arial" w:hAnsi="Arial"/>
          <w:i/>
          <w:color w:val="000000" w:themeColor="text1"/>
          <w:sz w:val="16"/>
        </w:rPr>
        <w:t xml:space="preserve">Source: </w:t>
      </w:r>
      <w:r w:rsidR="00CA196F" w:rsidRPr="00F3194B">
        <w:rPr>
          <w:rFonts w:ascii="Arial" w:eastAsia="Arial" w:hAnsi="Arial"/>
          <w:i/>
          <w:color w:val="000000" w:themeColor="text1"/>
          <w:sz w:val="16"/>
        </w:rPr>
        <w:t>E</w:t>
      </w:r>
      <w:r w:rsidR="00E93A62" w:rsidRPr="00F3194B">
        <w:rPr>
          <w:rFonts w:ascii="Arial" w:eastAsia="Arial" w:hAnsi="Arial"/>
          <w:i/>
          <w:color w:val="000000" w:themeColor="text1"/>
          <w:sz w:val="16"/>
        </w:rPr>
        <w:t>valuation team analysis.</w:t>
      </w:r>
    </w:p>
    <w:p w14:paraId="4E8C007B" w14:textId="77777777" w:rsidR="008B2437" w:rsidRPr="00F65903" w:rsidRDefault="008B2437" w:rsidP="008B2437"/>
    <w:p w14:paraId="61C740B2" w14:textId="3B3889AB" w:rsidR="001B2B93" w:rsidRDefault="00F20206" w:rsidP="004A6C16">
      <w:pPr>
        <w:pStyle w:val="Heading2"/>
      </w:pPr>
      <w:bookmarkStart w:id="50" w:name="_Toc193349167"/>
      <w:bookmarkStart w:id="51" w:name="_Toc193349915"/>
      <w:r>
        <w:t>Program Savings by Measure</w:t>
      </w:r>
      <w:bookmarkEnd w:id="50"/>
      <w:bookmarkEnd w:id="51"/>
    </w:p>
    <w:p w14:paraId="544DBBE0" w14:textId="61C1E6BC" w:rsidR="00E93A62" w:rsidRPr="00EF06D2" w:rsidRDefault="00E93A62" w:rsidP="00E93A62">
      <w:bookmarkStart w:id="52" w:name="_Toc398546640"/>
      <w:bookmarkStart w:id="53" w:name="_Toc423009489"/>
      <w:bookmarkStart w:id="54" w:name="_Toc459627231"/>
      <w:bookmarkStart w:id="55" w:name="_Toc61360800"/>
      <w:bookmarkEnd w:id="4"/>
      <w:bookmarkEnd w:id="5"/>
      <w:r w:rsidRPr="00EF06D2">
        <w:t xml:space="preserve">The PGL </w:t>
      </w:r>
      <w:r w:rsidR="00EF06D2" w:rsidRPr="00EF06D2">
        <w:t xml:space="preserve">MFIE </w:t>
      </w:r>
      <w:r w:rsidRPr="00EF06D2">
        <w:t xml:space="preserve">program includes </w:t>
      </w:r>
      <w:r w:rsidR="00EF06D2" w:rsidRPr="00EF06D2">
        <w:t>26</w:t>
      </w:r>
      <w:r w:rsidRPr="00EF06D2">
        <w:t xml:space="preserve"> measures as shown in</w:t>
      </w:r>
      <w:r w:rsidR="00EF06D2" w:rsidRPr="00EF06D2">
        <w:t xml:space="preserve"> </w:t>
      </w:r>
      <w:r w:rsidR="00EF06D2" w:rsidRPr="00EF06D2">
        <w:fldChar w:fldCharType="begin"/>
      </w:r>
      <w:r w:rsidR="00EF06D2" w:rsidRPr="00EF06D2">
        <w:instrText xml:space="preserve"> REF _Ref192848239 \h </w:instrText>
      </w:r>
      <w:r w:rsidR="00EF06D2" w:rsidRPr="00EF06D2">
        <w:fldChar w:fldCharType="separate"/>
      </w:r>
      <w:r w:rsidR="00434B54">
        <w:t xml:space="preserve">Table </w:t>
      </w:r>
      <w:r w:rsidR="00434B54">
        <w:rPr>
          <w:noProof/>
        </w:rPr>
        <w:t>7</w:t>
      </w:r>
      <w:r w:rsidR="00EF06D2" w:rsidRPr="00EF06D2">
        <w:fldChar w:fldCharType="end"/>
      </w:r>
      <w:r w:rsidRPr="00EF06D2">
        <w:t xml:space="preserve">. </w:t>
      </w:r>
      <w:r w:rsidR="00EF06D2" w:rsidRPr="00EF06D2">
        <w:t>Attic insulation and steam trap measures</w:t>
      </w:r>
      <w:r w:rsidRPr="00EF06D2">
        <w:t xml:space="preserve"> contributed the most savings. </w:t>
      </w:r>
    </w:p>
    <w:p w14:paraId="46EE5327" w14:textId="263CBC20" w:rsidR="00E93A62" w:rsidRDefault="001C79FE" w:rsidP="004B73FE">
      <w:pPr>
        <w:pStyle w:val="Caption"/>
      </w:pPr>
      <w:bookmarkStart w:id="56" w:name="_Ref192848239"/>
      <w:bookmarkStart w:id="57" w:name="_Toc398546655"/>
      <w:bookmarkStart w:id="58" w:name="_Toc423009517"/>
      <w:bookmarkStart w:id="59" w:name="_Toc426278635"/>
      <w:bookmarkStart w:id="60" w:name="_Toc61360478"/>
      <w:bookmarkStart w:id="61" w:name="_Toc193349182"/>
      <w:bookmarkStart w:id="62" w:name="_Toc193349216"/>
      <w:bookmarkStart w:id="63" w:name="_Toc193349931"/>
      <w:bookmarkStart w:id="64" w:name="_Hlk29910940"/>
      <w:r>
        <w:t xml:space="preserve">Table </w:t>
      </w:r>
      <w:r w:rsidR="0034721B">
        <w:fldChar w:fldCharType="begin"/>
      </w:r>
      <w:r w:rsidR="0034721B">
        <w:instrText xml:space="preserve"> SEQ Table \* ARABIC </w:instrText>
      </w:r>
      <w:r w:rsidR="0034721B">
        <w:fldChar w:fldCharType="separate"/>
      </w:r>
      <w:r w:rsidR="0034721B">
        <w:rPr>
          <w:noProof/>
        </w:rPr>
        <w:t>7</w:t>
      </w:r>
      <w:r w:rsidR="0034721B">
        <w:rPr>
          <w:noProof/>
        </w:rPr>
        <w:fldChar w:fldCharType="end"/>
      </w:r>
      <w:bookmarkEnd w:id="56"/>
      <w:r>
        <w:t>.</w:t>
      </w:r>
      <w:r w:rsidR="00F33383">
        <w:t xml:space="preserve"> </w:t>
      </w:r>
      <w:r w:rsidR="00A22BDA">
        <w:t>2024 MFIE Program</w:t>
      </w:r>
      <w:r w:rsidR="00E93A62" w:rsidRPr="00A90B62">
        <w:t xml:space="preserve"> </w:t>
      </w:r>
      <w:r w:rsidR="00E93A62">
        <w:t>Annual Energy Savings by Measure</w:t>
      </w:r>
      <w:bookmarkEnd w:id="57"/>
      <w:bookmarkEnd w:id="58"/>
      <w:bookmarkEnd w:id="59"/>
      <w:r w:rsidR="00E93A62">
        <w:t xml:space="preserve"> for PGL</w:t>
      </w:r>
      <w:bookmarkEnd w:id="60"/>
      <w:bookmarkEnd w:id="61"/>
      <w:bookmarkEnd w:id="62"/>
      <w:bookmarkEnd w:id="63"/>
    </w:p>
    <w:tbl>
      <w:tblPr>
        <w:tblW w:w="5000" w:type="pct"/>
        <w:tblCellMar>
          <w:top w:w="15" w:type="dxa"/>
          <w:bottom w:w="15" w:type="dxa"/>
        </w:tblCellMar>
        <w:tblLook w:val="04A0" w:firstRow="1" w:lastRow="0" w:firstColumn="1" w:lastColumn="0" w:noHBand="0" w:noVBand="1"/>
      </w:tblPr>
      <w:tblGrid>
        <w:gridCol w:w="1026"/>
        <w:gridCol w:w="947"/>
        <w:gridCol w:w="1823"/>
        <w:gridCol w:w="1318"/>
        <w:gridCol w:w="955"/>
        <w:gridCol w:w="1314"/>
        <w:gridCol w:w="708"/>
        <w:gridCol w:w="1269"/>
      </w:tblGrid>
      <w:tr w:rsidR="00434B54" w:rsidRPr="00B262AF" w14:paraId="6A194894" w14:textId="77777777" w:rsidTr="0095541F">
        <w:trPr>
          <w:tblHeader/>
        </w:trPr>
        <w:tc>
          <w:tcPr>
            <w:tcW w:w="548" w:type="pct"/>
            <w:tcBorders>
              <w:top w:val="nil"/>
              <w:left w:val="nil"/>
              <w:bottom w:val="single" w:sz="12" w:space="0" w:color="95D600"/>
              <w:right w:val="nil"/>
            </w:tcBorders>
            <w:shd w:val="clear" w:color="000000" w:fill="036479"/>
            <w:vAlign w:val="center"/>
            <w:hideMark/>
          </w:tcPr>
          <w:p w14:paraId="61E3A656" w14:textId="77777777" w:rsidR="007F231F" w:rsidRPr="0091000E" w:rsidRDefault="007F231F" w:rsidP="008B2437">
            <w:pPr>
              <w:spacing w:before="0" w:after="0"/>
              <w:rPr>
                <w:rFonts w:ascii="Arial Narrow" w:hAnsi="Arial Narrow" w:cs="Calibri"/>
                <w:color w:val="FFFFFF"/>
                <w:sz w:val="20"/>
                <w:szCs w:val="20"/>
              </w:rPr>
            </w:pPr>
            <w:r w:rsidRPr="0091000E">
              <w:rPr>
                <w:rFonts w:ascii="Arial Narrow" w:hAnsi="Arial Narrow" w:cs="Calibri"/>
                <w:color w:val="FFFFFF"/>
                <w:sz w:val="20"/>
                <w:szCs w:val="20"/>
              </w:rPr>
              <w:t>Program Category</w:t>
            </w:r>
          </w:p>
        </w:tc>
        <w:tc>
          <w:tcPr>
            <w:tcW w:w="506" w:type="pct"/>
            <w:tcBorders>
              <w:top w:val="nil"/>
              <w:left w:val="nil"/>
              <w:bottom w:val="single" w:sz="12" w:space="0" w:color="95D600"/>
              <w:right w:val="nil"/>
            </w:tcBorders>
            <w:shd w:val="clear" w:color="000000" w:fill="036479"/>
            <w:vAlign w:val="center"/>
            <w:hideMark/>
          </w:tcPr>
          <w:p w14:paraId="75711591" w14:textId="77777777" w:rsidR="007F231F" w:rsidRPr="0091000E" w:rsidRDefault="007F231F" w:rsidP="008B2437">
            <w:pPr>
              <w:spacing w:before="0" w:after="0"/>
              <w:rPr>
                <w:rFonts w:ascii="Arial Narrow" w:hAnsi="Arial Narrow" w:cs="Calibri"/>
                <w:color w:val="FFFFFF"/>
                <w:sz w:val="20"/>
                <w:szCs w:val="20"/>
              </w:rPr>
            </w:pPr>
            <w:r w:rsidRPr="0091000E">
              <w:rPr>
                <w:rFonts w:ascii="Arial Narrow" w:hAnsi="Arial Narrow" w:cs="Calibri"/>
                <w:color w:val="FFFFFF"/>
                <w:sz w:val="20"/>
                <w:szCs w:val="20"/>
              </w:rPr>
              <w:t>Program Path</w:t>
            </w:r>
          </w:p>
        </w:tc>
        <w:tc>
          <w:tcPr>
            <w:tcW w:w="974" w:type="pct"/>
            <w:tcBorders>
              <w:top w:val="nil"/>
              <w:left w:val="nil"/>
              <w:bottom w:val="single" w:sz="12" w:space="0" w:color="95D600"/>
              <w:right w:val="nil"/>
            </w:tcBorders>
            <w:shd w:val="clear" w:color="000000" w:fill="036479"/>
            <w:vAlign w:val="center"/>
          </w:tcPr>
          <w:p w14:paraId="38B58133" w14:textId="6FD03067" w:rsidR="007F231F" w:rsidRPr="0091000E" w:rsidRDefault="007F231F" w:rsidP="008B2437">
            <w:pPr>
              <w:spacing w:before="0" w:after="0"/>
              <w:rPr>
                <w:rFonts w:ascii="Arial Narrow" w:hAnsi="Arial Narrow" w:cs="Calibri"/>
                <w:color w:val="FFFFFF"/>
                <w:sz w:val="20"/>
                <w:szCs w:val="20"/>
              </w:rPr>
            </w:pPr>
            <w:r w:rsidRPr="0091000E">
              <w:rPr>
                <w:rFonts w:ascii="Arial Narrow" w:hAnsi="Arial Narrow" w:cs="Calibri"/>
                <w:color w:val="FFFFFF"/>
                <w:sz w:val="20"/>
                <w:szCs w:val="20"/>
              </w:rPr>
              <w:t>Savings Category</w:t>
            </w:r>
          </w:p>
        </w:tc>
        <w:tc>
          <w:tcPr>
            <w:tcW w:w="704" w:type="pct"/>
            <w:tcBorders>
              <w:top w:val="nil"/>
              <w:left w:val="nil"/>
              <w:bottom w:val="single" w:sz="12" w:space="0" w:color="95D600"/>
              <w:right w:val="nil"/>
            </w:tcBorders>
            <w:shd w:val="clear" w:color="000000" w:fill="036479"/>
            <w:vAlign w:val="center"/>
            <w:hideMark/>
          </w:tcPr>
          <w:p w14:paraId="0E556433" w14:textId="3847E1FD" w:rsidR="007F231F" w:rsidRPr="0091000E" w:rsidRDefault="007F231F" w:rsidP="000A4B1E">
            <w:pPr>
              <w:spacing w:before="0" w:after="0"/>
              <w:jc w:val="right"/>
              <w:rPr>
                <w:rFonts w:ascii="Arial Narrow" w:hAnsi="Arial Narrow" w:cs="Calibri"/>
                <w:color w:val="FFFFFF"/>
                <w:sz w:val="20"/>
                <w:szCs w:val="20"/>
              </w:rPr>
            </w:pPr>
            <w:r w:rsidRPr="0091000E">
              <w:rPr>
                <w:rFonts w:ascii="Arial Narrow" w:hAnsi="Arial Narrow" w:cs="Calibri"/>
                <w:color w:val="FFFFFF"/>
                <w:sz w:val="20"/>
                <w:szCs w:val="20"/>
              </w:rPr>
              <w:t>Ex Ante Gross Savings (Therms)</w:t>
            </w:r>
          </w:p>
        </w:tc>
        <w:tc>
          <w:tcPr>
            <w:tcW w:w="510" w:type="pct"/>
            <w:tcBorders>
              <w:top w:val="nil"/>
              <w:left w:val="nil"/>
              <w:bottom w:val="single" w:sz="12" w:space="0" w:color="95D600"/>
              <w:right w:val="nil"/>
            </w:tcBorders>
            <w:shd w:val="clear" w:color="000000" w:fill="036479"/>
            <w:vAlign w:val="center"/>
            <w:hideMark/>
          </w:tcPr>
          <w:p w14:paraId="7CF1AA34" w14:textId="77777777" w:rsidR="007F231F" w:rsidRPr="0091000E" w:rsidRDefault="007F231F" w:rsidP="000A4B1E">
            <w:pPr>
              <w:spacing w:before="0" w:after="0"/>
              <w:jc w:val="right"/>
              <w:rPr>
                <w:rFonts w:ascii="Arial Narrow" w:hAnsi="Arial Narrow" w:cs="Calibri"/>
                <w:color w:val="FFFFFF"/>
                <w:sz w:val="20"/>
                <w:szCs w:val="20"/>
              </w:rPr>
            </w:pPr>
            <w:r w:rsidRPr="0091000E">
              <w:rPr>
                <w:rFonts w:ascii="Arial Narrow" w:hAnsi="Arial Narrow" w:cs="Calibri"/>
                <w:color w:val="FFFFFF"/>
                <w:sz w:val="20"/>
                <w:szCs w:val="20"/>
              </w:rPr>
              <w:t>Verified Gross RR*</w:t>
            </w:r>
          </w:p>
        </w:tc>
        <w:tc>
          <w:tcPr>
            <w:tcW w:w="702" w:type="pct"/>
            <w:tcBorders>
              <w:top w:val="nil"/>
              <w:left w:val="nil"/>
              <w:bottom w:val="single" w:sz="12" w:space="0" w:color="95D600"/>
              <w:right w:val="nil"/>
            </w:tcBorders>
            <w:shd w:val="clear" w:color="000000" w:fill="036479"/>
            <w:vAlign w:val="center"/>
            <w:hideMark/>
          </w:tcPr>
          <w:p w14:paraId="5E1B7723" w14:textId="77777777" w:rsidR="007F231F" w:rsidRPr="0091000E" w:rsidRDefault="007F231F" w:rsidP="000A4B1E">
            <w:pPr>
              <w:spacing w:before="0" w:after="0"/>
              <w:jc w:val="right"/>
              <w:rPr>
                <w:rFonts w:ascii="Arial Narrow" w:hAnsi="Arial Narrow" w:cs="Calibri"/>
                <w:color w:val="FFFFFF"/>
                <w:sz w:val="20"/>
                <w:szCs w:val="20"/>
              </w:rPr>
            </w:pPr>
            <w:r w:rsidRPr="0091000E">
              <w:rPr>
                <w:rFonts w:ascii="Arial Narrow" w:hAnsi="Arial Narrow" w:cs="Calibri"/>
                <w:color w:val="FFFFFF"/>
                <w:sz w:val="20"/>
                <w:szCs w:val="20"/>
              </w:rPr>
              <w:t>Verified Gross Savings (Therms)</w:t>
            </w:r>
          </w:p>
        </w:tc>
        <w:tc>
          <w:tcPr>
            <w:tcW w:w="378" w:type="pct"/>
            <w:tcBorders>
              <w:top w:val="nil"/>
              <w:left w:val="nil"/>
              <w:bottom w:val="single" w:sz="12" w:space="0" w:color="95D600"/>
              <w:right w:val="nil"/>
            </w:tcBorders>
            <w:shd w:val="clear" w:color="000000" w:fill="036479"/>
            <w:vAlign w:val="center"/>
            <w:hideMark/>
          </w:tcPr>
          <w:p w14:paraId="5EB6696E" w14:textId="77777777" w:rsidR="007F231F" w:rsidRPr="0091000E" w:rsidRDefault="007F231F" w:rsidP="000A4B1E">
            <w:pPr>
              <w:spacing w:before="0" w:after="0"/>
              <w:jc w:val="right"/>
              <w:rPr>
                <w:rFonts w:ascii="Arial Narrow" w:hAnsi="Arial Narrow" w:cs="Calibri"/>
                <w:color w:val="FFFFFF"/>
                <w:sz w:val="20"/>
                <w:szCs w:val="20"/>
              </w:rPr>
            </w:pPr>
            <w:r w:rsidRPr="0091000E">
              <w:rPr>
                <w:rFonts w:ascii="Arial Narrow" w:hAnsi="Arial Narrow" w:cs="Calibri"/>
                <w:color w:val="FFFFFF"/>
                <w:sz w:val="20"/>
                <w:szCs w:val="20"/>
              </w:rPr>
              <w:t>NTG</w:t>
            </w:r>
            <w:r w:rsidRPr="0091000E">
              <w:rPr>
                <w:rFonts w:ascii="Calibri" w:hAnsi="Calibri" w:cs="Calibri"/>
                <w:color w:val="FFFFFF"/>
                <w:sz w:val="20"/>
                <w:szCs w:val="20"/>
              </w:rPr>
              <w:t>†</w:t>
            </w:r>
          </w:p>
        </w:tc>
        <w:tc>
          <w:tcPr>
            <w:tcW w:w="678" w:type="pct"/>
            <w:tcBorders>
              <w:top w:val="nil"/>
              <w:left w:val="nil"/>
              <w:bottom w:val="single" w:sz="12" w:space="0" w:color="95D600"/>
              <w:right w:val="nil"/>
            </w:tcBorders>
            <w:shd w:val="clear" w:color="000000" w:fill="036479"/>
            <w:vAlign w:val="center"/>
            <w:hideMark/>
          </w:tcPr>
          <w:p w14:paraId="33EEC571" w14:textId="77777777" w:rsidR="007F231F" w:rsidRPr="0091000E" w:rsidRDefault="007F231F" w:rsidP="000A4B1E">
            <w:pPr>
              <w:spacing w:before="0" w:after="0"/>
              <w:jc w:val="right"/>
              <w:rPr>
                <w:rFonts w:ascii="Arial Narrow" w:hAnsi="Arial Narrow" w:cs="Calibri"/>
                <w:color w:val="FFFFFF"/>
                <w:sz w:val="20"/>
                <w:szCs w:val="20"/>
              </w:rPr>
            </w:pPr>
            <w:r w:rsidRPr="0091000E">
              <w:rPr>
                <w:rFonts w:ascii="Arial Narrow" w:hAnsi="Arial Narrow" w:cs="Calibri"/>
                <w:color w:val="FFFFFF"/>
                <w:sz w:val="20"/>
                <w:szCs w:val="20"/>
              </w:rPr>
              <w:t>Verified Net Savings (Therms)</w:t>
            </w:r>
          </w:p>
        </w:tc>
      </w:tr>
      <w:tr w:rsidR="004B0B3E" w:rsidRPr="00B262AF" w14:paraId="3A57F70E" w14:textId="77777777" w:rsidTr="0095541F">
        <w:tc>
          <w:tcPr>
            <w:tcW w:w="548" w:type="pct"/>
            <w:tcBorders>
              <w:top w:val="nil"/>
              <w:left w:val="nil"/>
              <w:bottom w:val="single" w:sz="8" w:space="0" w:color="B3EFFD"/>
              <w:right w:val="nil"/>
            </w:tcBorders>
            <w:vAlign w:val="center"/>
          </w:tcPr>
          <w:p w14:paraId="67024F5F" w14:textId="2CE8180A" w:rsidR="00B3395A" w:rsidRPr="0091000E" w:rsidRDefault="00B3395A" w:rsidP="008B2437">
            <w:pPr>
              <w:spacing w:before="0" w:after="0"/>
              <w:rPr>
                <w:rFonts w:ascii="Arial Narrow" w:hAnsi="Arial Narrow" w:cs="Calibri"/>
                <w:b/>
                <w:bCs/>
                <w:color w:val="000000"/>
                <w:sz w:val="20"/>
                <w:szCs w:val="20"/>
              </w:rPr>
            </w:pPr>
            <w:r w:rsidRPr="0091000E">
              <w:rPr>
                <w:rFonts w:ascii="Arial Narrow" w:hAnsi="Arial Narrow" w:cs="Calibri"/>
                <w:b/>
                <w:bCs/>
                <w:color w:val="000000"/>
                <w:sz w:val="20"/>
                <w:szCs w:val="20"/>
              </w:rPr>
              <w:t>Multi-Family</w:t>
            </w:r>
          </w:p>
        </w:tc>
        <w:tc>
          <w:tcPr>
            <w:tcW w:w="506" w:type="pct"/>
            <w:tcBorders>
              <w:top w:val="nil"/>
              <w:left w:val="nil"/>
              <w:bottom w:val="single" w:sz="8" w:space="0" w:color="B3EFFD"/>
              <w:right w:val="nil"/>
            </w:tcBorders>
            <w:shd w:val="clear" w:color="000000" w:fill="FFFFFF"/>
            <w:vAlign w:val="center"/>
          </w:tcPr>
          <w:p w14:paraId="5EABE825" w14:textId="0598CCB5"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Income Eligible</w:t>
            </w:r>
          </w:p>
        </w:tc>
        <w:tc>
          <w:tcPr>
            <w:tcW w:w="974" w:type="pct"/>
            <w:tcBorders>
              <w:top w:val="nil"/>
              <w:left w:val="nil"/>
              <w:bottom w:val="single" w:sz="8" w:space="0" w:color="B3EFFD"/>
              <w:right w:val="nil"/>
            </w:tcBorders>
            <w:vAlign w:val="center"/>
          </w:tcPr>
          <w:p w14:paraId="1314B7AA" w14:textId="51F1EEDB"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Attic Insulation</w:t>
            </w:r>
          </w:p>
        </w:tc>
        <w:tc>
          <w:tcPr>
            <w:tcW w:w="704" w:type="pct"/>
            <w:tcBorders>
              <w:top w:val="nil"/>
              <w:left w:val="nil"/>
              <w:bottom w:val="single" w:sz="8" w:space="0" w:color="B3EFFD"/>
              <w:right w:val="nil"/>
            </w:tcBorders>
            <w:noWrap/>
            <w:vAlign w:val="center"/>
          </w:tcPr>
          <w:p w14:paraId="03F5BE38" w14:textId="49651CC0"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650,034</w:t>
            </w:r>
          </w:p>
        </w:tc>
        <w:tc>
          <w:tcPr>
            <w:tcW w:w="510" w:type="pct"/>
            <w:tcBorders>
              <w:top w:val="nil"/>
              <w:left w:val="nil"/>
              <w:bottom w:val="single" w:sz="8" w:space="0" w:color="B3EFFD"/>
              <w:right w:val="nil"/>
            </w:tcBorders>
            <w:noWrap/>
            <w:vAlign w:val="center"/>
          </w:tcPr>
          <w:p w14:paraId="058F179B" w14:textId="470CDFBF"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noWrap/>
            <w:vAlign w:val="center"/>
          </w:tcPr>
          <w:p w14:paraId="5D893DB2" w14:textId="53F06EBD"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650,034</w:t>
            </w:r>
          </w:p>
        </w:tc>
        <w:tc>
          <w:tcPr>
            <w:tcW w:w="378" w:type="pct"/>
            <w:tcBorders>
              <w:top w:val="nil"/>
              <w:left w:val="nil"/>
              <w:bottom w:val="single" w:sz="8" w:space="0" w:color="B3EFFD"/>
              <w:right w:val="nil"/>
            </w:tcBorders>
            <w:noWrap/>
            <w:vAlign w:val="center"/>
          </w:tcPr>
          <w:p w14:paraId="7510ABD4" w14:textId="49D52605"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vAlign w:val="center"/>
          </w:tcPr>
          <w:p w14:paraId="6C455197" w14:textId="11207419"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650,034</w:t>
            </w:r>
          </w:p>
        </w:tc>
      </w:tr>
      <w:tr w:rsidR="004B0B3E" w:rsidRPr="00B262AF" w14:paraId="73113440" w14:textId="77777777" w:rsidTr="0095541F">
        <w:tc>
          <w:tcPr>
            <w:tcW w:w="548" w:type="pct"/>
            <w:tcBorders>
              <w:top w:val="nil"/>
              <w:left w:val="nil"/>
              <w:bottom w:val="single" w:sz="8" w:space="0" w:color="B3EFFD"/>
              <w:right w:val="nil"/>
            </w:tcBorders>
            <w:shd w:val="clear" w:color="000000" w:fill="FFFFFF"/>
            <w:vAlign w:val="center"/>
          </w:tcPr>
          <w:p w14:paraId="5BADAED3" w14:textId="68C0D2FC"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vAlign w:val="center"/>
          </w:tcPr>
          <w:p w14:paraId="3118AD38" w14:textId="54CDA1A1"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550C703D" w14:textId="6FBE838A"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Steam Traps</w:t>
            </w:r>
          </w:p>
        </w:tc>
        <w:tc>
          <w:tcPr>
            <w:tcW w:w="704" w:type="pct"/>
            <w:tcBorders>
              <w:top w:val="nil"/>
              <w:left w:val="nil"/>
              <w:bottom w:val="single" w:sz="8" w:space="0" w:color="B3EFFD"/>
              <w:right w:val="nil"/>
            </w:tcBorders>
            <w:shd w:val="clear" w:color="000000" w:fill="FFFFFF"/>
            <w:noWrap/>
            <w:vAlign w:val="center"/>
          </w:tcPr>
          <w:p w14:paraId="1ABA0BA5" w14:textId="7AC92E1B"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336,882</w:t>
            </w:r>
          </w:p>
        </w:tc>
        <w:tc>
          <w:tcPr>
            <w:tcW w:w="510" w:type="pct"/>
            <w:tcBorders>
              <w:top w:val="nil"/>
              <w:left w:val="nil"/>
              <w:bottom w:val="single" w:sz="8" w:space="0" w:color="B3EFFD"/>
              <w:right w:val="nil"/>
            </w:tcBorders>
            <w:shd w:val="clear" w:color="000000" w:fill="FFFFFF"/>
            <w:noWrap/>
            <w:vAlign w:val="center"/>
          </w:tcPr>
          <w:p w14:paraId="6E5D8BA9" w14:textId="12FAAE1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15C3C09E" w14:textId="35F5213D"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336,683</w:t>
            </w:r>
          </w:p>
        </w:tc>
        <w:tc>
          <w:tcPr>
            <w:tcW w:w="378" w:type="pct"/>
            <w:tcBorders>
              <w:top w:val="nil"/>
              <w:left w:val="nil"/>
              <w:bottom w:val="single" w:sz="8" w:space="0" w:color="B3EFFD"/>
              <w:right w:val="nil"/>
            </w:tcBorders>
            <w:shd w:val="clear" w:color="000000" w:fill="FFFFFF"/>
            <w:noWrap/>
            <w:vAlign w:val="center"/>
          </w:tcPr>
          <w:p w14:paraId="11C1285F" w14:textId="1808F13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565E19D0" w14:textId="2A19719D"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336,683</w:t>
            </w:r>
          </w:p>
        </w:tc>
      </w:tr>
      <w:tr w:rsidR="004B0B3E" w:rsidRPr="00B262AF" w14:paraId="0DBB7403" w14:textId="77777777" w:rsidTr="0095541F">
        <w:tc>
          <w:tcPr>
            <w:tcW w:w="548" w:type="pct"/>
            <w:tcBorders>
              <w:top w:val="nil"/>
              <w:left w:val="nil"/>
              <w:bottom w:val="single" w:sz="8" w:space="0" w:color="B3EFFD"/>
              <w:right w:val="nil"/>
            </w:tcBorders>
            <w:shd w:val="clear" w:color="000000" w:fill="FFFFFF"/>
            <w:vAlign w:val="center"/>
          </w:tcPr>
          <w:p w14:paraId="760E6678" w14:textId="61EFF3BD" w:rsidR="00B3395A" w:rsidRPr="0091000E" w:rsidRDefault="00B3395A" w:rsidP="008B2437">
            <w:pPr>
              <w:spacing w:before="0" w:after="0"/>
              <w:rPr>
                <w:rFonts w:ascii="Arial Narrow" w:hAnsi="Arial Narrow" w:cs="Calibri"/>
                <w:b/>
                <w:bCs/>
                <w:i/>
                <w:iCs/>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vAlign w:val="center"/>
          </w:tcPr>
          <w:p w14:paraId="217E071A" w14:textId="0365180B" w:rsidR="00B3395A" w:rsidRPr="0091000E" w:rsidRDefault="00B3395A" w:rsidP="008B2437">
            <w:pPr>
              <w:spacing w:before="0" w:after="0"/>
              <w:rPr>
                <w:rFonts w:ascii="Arial Narrow" w:hAnsi="Arial Narrow" w:cs="Calibri"/>
                <w:b/>
                <w:bCs/>
                <w:i/>
                <w:iCs/>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vAlign w:val="center"/>
          </w:tcPr>
          <w:p w14:paraId="7531E33D" w14:textId="5858045C"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Pipe Insulation</w:t>
            </w:r>
          </w:p>
        </w:tc>
        <w:tc>
          <w:tcPr>
            <w:tcW w:w="704" w:type="pct"/>
            <w:tcBorders>
              <w:top w:val="nil"/>
              <w:left w:val="nil"/>
              <w:bottom w:val="single" w:sz="8" w:space="0" w:color="B3EFFD"/>
              <w:right w:val="nil"/>
            </w:tcBorders>
            <w:noWrap/>
            <w:vAlign w:val="center"/>
          </w:tcPr>
          <w:p w14:paraId="7AE32D82" w14:textId="43AC174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293,619</w:t>
            </w:r>
          </w:p>
        </w:tc>
        <w:tc>
          <w:tcPr>
            <w:tcW w:w="510" w:type="pct"/>
            <w:tcBorders>
              <w:top w:val="nil"/>
              <w:left w:val="nil"/>
              <w:bottom w:val="single" w:sz="8" w:space="0" w:color="B3EFFD"/>
              <w:right w:val="nil"/>
            </w:tcBorders>
            <w:noWrap/>
            <w:vAlign w:val="center"/>
          </w:tcPr>
          <w:p w14:paraId="7855D5D9" w14:textId="17C525E7" w:rsidR="00B3395A" w:rsidRPr="0091000E" w:rsidRDefault="00B262AF"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noWrap/>
            <w:vAlign w:val="center"/>
          </w:tcPr>
          <w:p w14:paraId="0FF9EF54" w14:textId="2F1C477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293,619</w:t>
            </w:r>
          </w:p>
        </w:tc>
        <w:tc>
          <w:tcPr>
            <w:tcW w:w="378" w:type="pct"/>
            <w:tcBorders>
              <w:top w:val="nil"/>
              <w:left w:val="nil"/>
              <w:bottom w:val="single" w:sz="8" w:space="0" w:color="B3EFFD"/>
              <w:right w:val="nil"/>
            </w:tcBorders>
            <w:noWrap/>
            <w:vAlign w:val="center"/>
          </w:tcPr>
          <w:p w14:paraId="025F28FC" w14:textId="6AEF07E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vAlign w:val="center"/>
          </w:tcPr>
          <w:p w14:paraId="6E6E04CF" w14:textId="6F0F416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293,619</w:t>
            </w:r>
          </w:p>
        </w:tc>
      </w:tr>
      <w:tr w:rsidR="004B0B3E" w:rsidRPr="00B262AF" w14:paraId="5DF410AD" w14:textId="77777777" w:rsidTr="0095541F">
        <w:tc>
          <w:tcPr>
            <w:tcW w:w="548" w:type="pct"/>
            <w:tcBorders>
              <w:top w:val="nil"/>
              <w:left w:val="nil"/>
              <w:bottom w:val="single" w:sz="8" w:space="0" w:color="B3EFFD"/>
              <w:right w:val="nil"/>
            </w:tcBorders>
            <w:vAlign w:val="center"/>
          </w:tcPr>
          <w:p w14:paraId="6B5E3F79" w14:textId="4FD84701"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19B6017E" w14:textId="14599DBD"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767D9E09" w14:textId="4D050CAA"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On Demand DHW Control</w:t>
            </w:r>
          </w:p>
        </w:tc>
        <w:tc>
          <w:tcPr>
            <w:tcW w:w="704" w:type="pct"/>
            <w:tcBorders>
              <w:top w:val="nil"/>
              <w:left w:val="nil"/>
              <w:bottom w:val="single" w:sz="8" w:space="0" w:color="B3EFFD"/>
              <w:right w:val="nil"/>
            </w:tcBorders>
            <w:shd w:val="clear" w:color="000000" w:fill="FFFFFF"/>
            <w:noWrap/>
            <w:vAlign w:val="center"/>
          </w:tcPr>
          <w:p w14:paraId="7663EE0D" w14:textId="55C3A7A7"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132,172</w:t>
            </w:r>
          </w:p>
        </w:tc>
        <w:tc>
          <w:tcPr>
            <w:tcW w:w="510" w:type="pct"/>
            <w:tcBorders>
              <w:top w:val="nil"/>
              <w:left w:val="nil"/>
              <w:bottom w:val="single" w:sz="8" w:space="0" w:color="B3EFFD"/>
              <w:right w:val="nil"/>
            </w:tcBorders>
            <w:shd w:val="clear" w:color="000000" w:fill="FFFFFF"/>
            <w:noWrap/>
            <w:vAlign w:val="center"/>
          </w:tcPr>
          <w:p w14:paraId="72B05A29" w14:textId="4E039FF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727FD765" w14:textId="7C1C8897"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132,172</w:t>
            </w:r>
          </w:p>
        </w:tc>
        <w:tc>
          <w:tcPr>
            <w:tcW w:w="378" w:type="pct"/>
            <w:tcBorders>
              <w:top w:val="nil"/>
              <w:left w:val="nil"/>
              <w:bottom w:val="single" w:sz="8" w:space="0" w:color="B3EFFD"/>
              <w:right w:val="nil"/>
            </w:tcBorders>
            <w:shd w:val="clear" w:color="000000" w:fill="FFFFFF"/>
            <w:noWrap/>
            <w:vAlign w:val="center"/>
          </w:tcPr>
          <w:p w14:paraId="2D772B50" w14:textId="6DB0FC1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63CD81A9" w14:textId="39C40CA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132,172</w:t>
            </w:r>
          </w:p>
        </w:tc>
      </w:tr>
      <w:tr w:rsidR="004B0B3E" w:rsidRPr="00B262AF" w14:paraId="629249DF" w14:textId="77777777" w:rsidTr="0095541F">
        <w:tc>
          <w:tcPr>
            <w:tcW w:w="548" w:type="pct"/>
            <w:tcBorders>
              <w:top w:val="nil"/>
              <w:left w:val="nil"/>
              <w:bottom w:val="single" w:sz="8" w:space="0" w:color="B3EFFD"/>
              <w:right w:val="nil"/>
            </w:tcBorders>
            <w:vAlign w:val="center"/>
          </w:tcPr>
          <w:p w14:paraId="54EEF3A0" w14:textId="7FD16205"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6E0532F0" w14:textId="1710A178"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11D05F4F" w14:textId="740F3C67"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Boiler Tune Up</w:t>
            </w:r>
          </w:p>
        </w:tc>
        <w:tc>
          <w:tcPr>
            <w:tcW w:w="704" w:type="pct"/>
            <w:tcBorders>
              <w:top w:val="nil"/>
              <w:left w:val="nil"/>
              <w:bottom w:val="single" w:sz="8" w:space="0" w:color="B3EFFD"/>
              <w:right w:val="nil"/>
            </w:tcBorders>
            <w:shd w:val="clear" w:color="000000" w:fill="FFFFFF"/>
            <w:noWrap/>
            <w:vAlign w:val="center"/>
          </w:tcPr>
          <w:p w14:paraId="58801E04" w14:textId="078D2406"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93,730</w:t>
            </w:r>
          </w:p>
        </w:tc>
        <w:tc>
          <w:tcPr>
            <w:tcW w:w="510" w:type="pct"/>
            <w:tcBorders>
              <w:top w:val="nil"/>
              <w:left w:val="nil"/>
              <w:bottom w:val="single" w:sz="8" w:space="0" w:color="B3EFFD"/>
              <w:right w:val="nil"/>
            </w:tcBorders>
            <w:shd w:val="clear" w:color="000000" w:fill="FFFFFF"/>
            <w:noWrap/>
            <w:vAlign w:val="center"/>
          </w:tcPr>
          <w:p w14:paraId="460C70F8" w14:textId="4CAB9D2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6656BB0D" w14:textId="6EB97427"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93,730</w:t>
            </w:r>
          </w:p>
        </w:tc>
        <w:tc>
          <w:tcPr>
            <w:tcW w:w="378" w:type="pct"/>
            <w:tcBorders>
              <w:top w:val="nil"/>
              <w:left w:val="nil"/>
              <w:bottom w:val="single" w:sz="8" w:space="0" w:color="B3EFFD"/>
              <w:right w:val="nil"/>
            </w:tcBorders>
            <w:shd w:val="clear" w:color="000000" w:fill="FFFFFF"/>
            <w:noWrap/>
            <w:vAlign w:val="center"/>
          </w:tcPr>
          <w:p w14:paraId="2852BD36" w14:textId="5BA9EDD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4DC03A88" w14:textId="2115F35A"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93,730</w:t>
            </w:r>
          </w:p>
        </w:tc>
      </w:tr>
      <w:tr w:rsidR="004B0B3E" w:rsidRPr="00B262AF" w14:paraId="2B09D340" w14:textId="77777777" w:rsidTr="0095541F">
        <w:tc>
          <w:tcPr>
            <w:tcW w:w="548" w:type="pct"/>
            <w:tcBorders>
              <w:top w:val="nil"/>
              <w:left w:val="nil"/>
              <w:bottom w:val="single" w:sz="8" w:space="0" w:color="B3EFFD"/>
              <w:right w:val="nil"/>
            </w:tcBorders>
            <w:vAlign w:val="center"/>
          </w:tcPr>
          <w:p w14:paraId="2128E161" w14:textId="74D116E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385B1942" w14:textId="5268040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CB94D91" w14:textId="7B6EABDF"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Steam Pipe Averaging Controls</w:t>
            </w:r>
          </w:p>
        </w:tc>
        <w:tc>
          <w:tcPr>
            <w:tcW w:w="704" w:type="pct"/>
            <w:tcBorders>
              <w:top w:val="nil"/>
              <w:left w:val="nil"/>
              <w:bottom w:val="single" w:sz="8" w:space="0" w:color="B3EFFD"/>
              <w:right w:val="nil"/>
            </w:tcBorders>
            <w:shd w:val="clear" w:color="000000" w:fill="FFFFFF"/>
            <w:noWrap/>
            <w:vAlign w:val="center"/>
          </w:tcPr>
          <w:p w14:paraId="19E4DCB5" w14:textId="5FC48079"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88,136</w:t>
            </w:r>
          </w:p>
        </w:tc>
        <w:tc>
          <w:tcPr>
            <w:tcW w:w="510" w:type="pct"/>
            <w:tcBorders>
              <w:top w:val="nil"/>
              <w:left w:val="nil"/>
              <w:bottom w:val="single" w:sz="8" w:space="0" w:color="B3EFFD"/>
              <w:right w:val="nil"/>
            </w:tcBorders>
            <w:shd w:val="clear" w:color="000000" w:fill="FFFFFF"/>
            <w:noWrap/>
            <w:vAlign w:val="center"/>
          </w:tcPr>
          <w:p w14:paraId="7BF3DC86" w14:textId="1081828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555FF98A" w14:textId="5379C724"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88,089</w:t>
            </w:r>
          </w:p>
        </w:tc>
        <w:tc>
          <w:tcPr>
            <w:tcW w:w="378" w:type="pct"/>
            <w:tcBorders>
              <w:top w:val="nil"/>
              <w:left w:val="nil"/>
              <w:bottom w:val="single" w:sz="8" w:space="0" w:color="B3EFFD"/>
              <w:right w:val="nil"/>
            </w:tcBorders>
            <w:shd w:val="clear" w:color="000000" w:fill="FFFFFF"/>
            <w:noWrap/>
            <w:vAlign w:val="center"/>
          </w:tcPr>
          <w:p w14:paraId="5DF4FC85" w14:textId="01D9963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7F138608" w14:textId="136438D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88,089</w:t>
            </w:r>
          </w:p>
        </w:tc>
      </w:tr>
      <w:tr w:rsidR="004B0B3E" w:rsidRPr="00B262AF" w14:paraId="13B0E6FF" w14:textId="77777777" w:rsidTr="0095541F">
        <w:tc>
          <w:tcPr>
            <w:tcW w:w="548" w:type="pct"/>
            <w:tcBorders>
              <w:top w:val="nil"/>
              <w:left w:val="nil"/>
              <w:bottom w:val="single" w:sz="8" w:space="0" w:color="B3EFFD"/>
              <w:right w:val="nil"/>
            </w:tcBorders>
            <w:vAlign w:val="center"/>
          </w:tcPr>
          <w:p w14:paraId="32F9F8EC" w14:textId="2A92A80C"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3ACF31D4" w14:textId="20C0FD73"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7C1BA995" w14:textId="26C7E55E"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Showerhead (IU)</w:t>
            </w:r>
          </w:p>
        </w:tc>
        <w:tc>
          <w:tcPr>
            <w:tcW w:w="704" w:type="pct"/>
            <w:tcBorders>
              <w:top w:val="nil"/>
              <w:left w:val="nil"/>
              <w:bottom w:val="single" w:sz="8" w:space="0" w:color="B3EFFD"/>
              <w:right w:val="nil"/>
            </w:tcBorders>
            <w:shd w:val="clear" w:color="000000" w:fill="FFFFFF"/>
            <w:noWrap/>
            <w:vAlign w:val="center"/>
          </w:tcPr>
          <w:p w14:paraId="39B75F6B" w14:textId="5DB710A7"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52,799</w:t>
            </w:r>
          </w:p>
        </w:tc>
        <w:tc>
          <w:tcPr>
            <w:tcW w:w="510" w:type="pct"/>
            <w:tcBorders>
              <w:top w:val="nil"/>
              <w:left w:val="nil"/>
              <w:bottom w:val="single" w:sz="8" w:space="0" w:color="B3EFFD"/>
              <w:right w:val="nil"/>
            </w:tcBorders>
            <w:shd w:val="clear" w:color="000000" w:fill="FFFFFF"/>
            <w:noWrap/>
            <w:vAlign w:val="center"/>
          </w:tcPr>
          <w:p w14:paraId="4AD457B3" w14:textId="5306B7C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4F3540F9" w14:textId="43C5105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52,782</w:t>
            </w:r>
          </w:p>
        </w:tc>
        <w:tc>
          <w:tcPr>
            <w:tcW w:w="378" w:type="pct"/>
            <w:tcBorders>
              <w:top w:val="nil"/>
              <w:left w:val="nil"/>
              <w:bottom w:val="single" w:sz="8" w:space="0" w:color="B3EFFD"/>
              <w:right w:val="nil"/>
            </w:tcBorders>
            <w:shd w:val="clear" w:color="000000" w:fill="FFFFFF"/>
            <w:noWrap/>
            <w:vAlign w:val="center"/>
          </w:tcPr>
          <w:p w14:paraId="490A6D38" w14:textId="7A113C5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76EA4047" w14:textId="0244A1D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52,782</w:t>
            </w:r>
          </w:p>
        </w:tc>
      </w:tr>
      <w:tr w:rsidR="004B0B3E" w:rsidRPr="00B262AF" w14:paraId="17C9C8E0" w14:textId="77777777" w:rsidTr="0095541F">
        <w:tc>
          <w:tcPr>
            <w:tcW w:w="548" w:type="pct"/>
            <w:tcBorders>
              <w:top w:val="nil"/>
              <w:left w:val="nil"/>
              <w:bottom w:val="single" w:sz="8" w:space="0" w:color="B3EFFD"/>
              <w:right w:val="nil"/>
            </w:tcBorders>
            <w:vAlign w:val="center"/>
          </w:tcPr>
          <w:p w14:paraId="049A7A37" w14:textId="2D81CD33"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lastRenderedPageBreak/>
              <w:t> </w:t>
            </w:r>
          </w:p>
        </w:tc>
        <w:tc>
          <w:tcPr>
            <w:tcW w:w="506" w:type="pct"/>
            <w:tcBorders>
              <w:top w:val="nil"/>
              <w:left w:val="nil"/>
              <w:bottom w:val="single" w:sz="8" w:space="0" w:color="B3EFFD"/>
              <w:right w:val="nil"/>
            </w:tcBorders>
            <w:shd w:val="clear" w:color="000000" w:fill="FFFFFF"/>
            <w:vAlign w:val="center"/>
          </w:tcPr>
          <w:p w14:paraId="354F3E96" w14:textId="0D4B0F28"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21E986E2" w14:textId="139134D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High Efficiency Boiler</w:t>
            </w:r>
          </w:p>
        </w:tc>
        <w:tc>
          <w:tcPr>
            <w:tcW w:w="704" w:type="pct"/>
            <w:tcBorders>
              <w:top w:val="nil"/>
              <w:left w:val="nil"/>
              <w:bottom w:val="single" w:sz="8" w:space="0" w:color="B3EFFD"/>
              <w:right w:val="nil"/>
            </w:tcBorders>
            <w:shd w:val="clear" w:color="000000" w:fill="FFFFFF"/>
            <w:noWrap/>
            <w:vAlign w:val="center"/>
          </w:tcPr>
          <w:p w14:paraId="3C20D995" w14:textId="44A4141C"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24,306</w:t>
            </w:r>
          </w:p>
        </w:tc>
        <w:tc>
          <w:tcPr>
            <w:tcW w:w="510" w:type="pct"/>
            <w:tcBorders>
              <w:top w:val="nil"/>
              <w:left w:val="nil"/>
              <w:bottom w:val="single" w:sz="8" w:space="0" w:color="B3EFFD"/>
              <w:right w:val="nil"/>
            </w:tcBorders>
            <w:shd w:val="clear" w:color="000000" w:fill="FFFFFF"/>
            <w:noWrap/>
            <w:vAlign w:val="center"/>
          </w:tcPr>
          <w:p w14:paraId="534801D8" w14:textId="65A45C5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0C7B97B5" w14:textId="6D789F6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24,321</w:t>
            </w:r>
          </w:p>
        </w:tc>
        <w:tc>
          <w:tcPr>
            <w:tcW w:w="378" w:type="pct"/>
            <w:tcBorders>
              <w:top w:val="nil"/>
              <w:left w:val="nil"/>
              <w:bottom w:val="single" w:sz="8" w:space="0" w:color="B3EFFD"/>
              <w:right w:val="nil"/>
            </w:tcBorders>
            <w:shd w:val="clear" w:color="000000" w:fill="FFFFFF"/>
            <w:noWrap/>
            <w:vAlign w:val="center"/>
          </w:tcPr>
          <w:p w14:paraId="7C77C53B" w14:textId="4788D63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4EE3E4B5" w14:textId="678DD54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24,321</w:t>
            </w:r>
          </w:p>
        </w:tc>
      </w:tr>
      <w:tr w:rsidR="004B0B3E" w:rsidRPr="00B262AF" w14:paraId="6337DCB3" w14:textId="77777777" w:rsidTr="0095541F">
        <w:tc>
          <w:tcPr>
            <w:tcW w:w="548" w:type="pct"/>
            <w:tcBorders>
              <w:top w:val="nil"/>
              <w:left w:val="nil"/>
              <w:bottom w:val="single" w:sz="8" w:space="0" w:color="B3EFFD"/>
              <w:right w:val="nil"/>
            </w:tcBorders>
            <w:vAlign w:val="center"/>
          </w:tcPr>
          <w:p w14:paraId="0E000F04" w14:textId="5E3FB3D9"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334CC6F9" w14:textId="4CBC2F20"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46231CBC" w14:textId="6A68C26D"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xml:space="preserve">Covers and Gap Sealers for Room AC </w:t>
            </w:r>
          </w:p>
        </w:tc>
        <w:tc>
          <w:tcPr>
            <w:tcW w:w="704" w:type="pct"/>
            <w:tcBorders>
              <w:top w:val="nil"/>
              <w:left w:val="nil"/>
              <w:bottom w:val="single" w:sz="8" w:space="0" w:color="B3EFFD"/>
              <w:right w:val="nil"/>
            </w:tcBorders>
            <w:shd w:val="clear" w:color="000000" w:fill="FFFFFF"/>
            <w:noWrap/>
            <w:vAlign w:val="center"/>
          </w:tcPr>
          <w:p w14:paraId="237A12FA" w14:textId="4FF7CDB4"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22,986</w:t>
            </w:r>
          </w:p>
        </w:tc>
        <w:tc>
          <w:tcPr>
            <w:tcW w:w="510" w:type="pct"/>
            <w:tcBorders>
              <w:top w:val="nil"/>
              <w:left w:val="nil"/>
              <w:bottom w:val="single" w:sz="8" w:space="0" w:color="B3EFFD"/>
              <w:right w:val="nil"/>
            </w:tcBorders>
            <w:shd w:val="clear" w:color="000000" w:fill="FFFFFF"/>
            <w:noWrap/>
            <w:vAlign w:val="center"/>
          </w:tcPr>
          <w:p w14:paraId="1D36D677" w14:textId="709B40C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105%</w:t>
            </w:r>
          </w:p>
        </w:tc>
        <w:tc>
          <w:tcPr>
            <w:tcW w:w="702" w:type="pct"/>
            <w:tcBorders>
              <w:top w:val="nil"/>
              <w:left w:val="nil"/>
              <w:bottom w:val="single" w:sz="8" w:space="0" w:color="B3EFFD"/>
              <w:right w:val="nil"/>
            </w:tcBorders>
            <w:shd w:val="clear" w:color="000000" w:fill="FFFFFF"/>
            <w:noWrap/>
            <w:vAlign w:val="center"/>
          </w:tcPr>
          <w:p w14:paraId="5BCE5E4F" w14:textId="0F1078E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24,068</w:t>
            </w:r>
          </w:p>
        </w:tc>
        <w:tc>
          <w:tcPr>
            <w:tcW w:w="378" w:type="pct"/>
            <w:tcBorders>
              <w:top w:val="nil"/>
              <w:left w:val="nil"/>
              <w:bottom w:val="single" w:sz="8" w:space="0" w:color="B3EFFD"/>
              <w:right w:val="nil"/>
            </w:tcBorders>
            <w:shd w:val="clear" w:color="000000" w:fill="FFFFFF"/>
            <w:noWrap/>
            <w:vAlign w:val="center"/>
          </w:tcPr>
          <w:p w14:paraId="1704D6B1" w14:textId="05FAAD01"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1A87B502" w14:textId="7CCBC19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24,068</w:t>
            </w:r>
          </w:p>
        </w:tc>
      </w:tr>
      <w:tr w:rsidR="004B0B3E" w:rsidRPr="00B262AF" w14:paraId="6B678D69" w14:textId="77777777" w:rsidTr="0095541F">
        <w:tc>
          <w:tcPr>
            <w:tcW w:w="548" w:type="pct"/>
            <w:tcBorders>
              <w:top w:val="nil"/>
              <w:left w:val="nil"/>
              <w:bottom w:val="single" w:sz="8" w:space="0" w:color="B3EFFD"/>
              <w:right w:val="nil"/>
            </w:tcBorders>
            <w:vAlign w:val="center"/>
          </w:tcPr>
          <w:p w14:paraId="711AAA19" w14:textId="371BD31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26FC7094" w14:textId="32652F38"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7DAC28BC" w14:textId="6ED1499D"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Shower Timer (IU)</w:t>
            </w:r>
          </w:p>
        </w:tc>
        <w:tc>
          <w:tcPr>
            <w:tcW w:w="704" w:type="pct"/>
            <w:tcBorders>
              <w:top w:val="nil"/>
              <w:left w:val="nil"/>
              <w:bottom w:val="single" w:sz="8" w:space="0" w:color="B3EFFD"/>
              <w:right w:val="nil"/>
            </w:tcBorders>
            <w:shd w:val="clear" w:color="000000" w:fill="FFFFFF"/>
            <w:noWrap/>
            <w:vAlign w:val="center"/>
          </w:tcPr>
          <w:p w14:paraId="3D779C08" w14:textId="6E01F6CE"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22,783</w:t>
            </w:r>
          </w:p>
        </w:tc>
        <w:tc>
          <w:tcPr>
            <w:tcW w:w="510" w:type="pct"/>
            <w:tcBorders>
              <w:top w:val="nil"/>
              <w:left w:val="nil"/>
              <w:bottom w:val="single" w:sz="8" w:space="0" w:color="B3EFFD"/>
              <w:right w:val="nil"/>
            </w:tcBorders>
            <w:shd w:val="clear" w:color="000000" w:fill="FFFFFF"/>
            <w:noWrap/>
            <w:vAlign w:val="center"/>
          </w:tcPr>
          <w:p w14:paraId="30A9B693" w14:textId="5C6636E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79CDECCE" w14:textId="5854C4F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22,782</w:t>
            </w:r>
          </w:p>
        </w:tc>
        <w:tc>
          <w:tcPr>
            <w:tcW w:w="378" w:type="pct"/>
            <w:tcBorders>
              <w:top w:val="nil"/>
              <w:left w:val="nil"/>
              <w:bottom w:val="single" w:sz="8" w:space="0" w:color="B3EFFD"/>
              <w:right w:val="nil"/>
            </w:tcBorders>
            <w:shd w:val="clear" w:color="000000" w:fill="FFFFFF"/>
            <w:noWrap/>
            <w:vAlign w:val="center"/>
          </w:tcPr>
          <w:p w14:paraId="6C029F02" w14:textId="4715D09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43609601" w14:textId="2AEEF61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22,782</w:t>
            </w:r>
          </w:p>
        </w:tc>
      </w:tr>
      <w:tr w:rsidR="004B0B3E" w:rsidRPr="00B262AF" w14:paraId="6F4165A6" w14:textId="77777777" w:rsidTr="0095541F">
        <w:tc>
          <w:tcPr>
            <w:tcW w:w="548" w:type="pct"/>
            <w:tcBorders>
              <w:top w:val="nil"/>
              <w:left w:val="nil"/>
              <w:bottom w:val="single" w:sz="8" w:space="0" w:color="B3EFFD"/>
              <w:right w:val="nil"/>
            </w:tcBorders>
            <w:vAlign w:val="center"/>
          </w:tcPr>
          <w:p w14:paraId="7EA8E84E" w14:textId="250ADA7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30E4FF95" w14:textId="5981384D"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7BC12EF7" w14:textId="4D59D476"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Air Sealing</w:t>
            </w:r>
          </w:p>
        </w:tc>
        <w:tc>
          <w:tcPr>
            <w:tcW w:w="704" w:type="pct"/>
            <w:tcBorders>
              <w:top w:val="nil"/>
              <w:left w:val="nil"/>
              <w:bottom w:val="single" w:sz="8" w:space="0" w:color="B3EFFD"/>
              <w:right w:val="nil"/>
            </w:tcBorders>
            <w:shd w:val="clear" w:color="000000" w:fill="FFFFFF"/>
            <w:noWrap/>
            <w:vAlign w:val="center"/>
          </w:tcPr>
          <w:p w14:paraId="5C2DCBB9" w14:textId="0A38A1B1"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18,956</w:t>
            </w:r>
          </w:p>
        </w:tc>
        <w:tc>
          <w:tcPr>
            <w:tcW w:w="510" w:type="pct"/>
            <w:tcBorders>
              <w:top w:val="nil"/>
              <w:left w:val="nil"/>
              <w:bottom w:val="single" w:sz="8" w:space="0" w:color="B3EFFD"/>
              <w:right w:val="nil"/>
            </w:tcBorders>
            <w:shd w:val="clear" w:color="000000" w:fill="FFFFFF"/>
            <w:noWrap/>
            <w:vAlign w:val="center"/>
          </w:tcPr>
          <w:p w14:paraId="63ED54D1" w14:textId="399FA937"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22DBC340" w14:textId="3D2B796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18,956</w:t>
            </w:r>
          </w:p>
        </w:tc>
        <w:tc>
          <w:tcPr>
            <w:tcW w:w="378" w:type="pct"/>
            <w:tcBorders>
              <w:top w:val="nil"/>
              <w:left w:val="nil"/>
              <w:bottom w:val="single" w:sz="8" w:space="0" w:color="B3EFFD"/>
              <w:right w:val="nil"/>
            </w:tcBorders>
            <w:shd w:val="clear" w:color="000000" w:fill="FFFFFF"/>
            <w:noWrap/>
            <w:vAlign w:val="center"/>
          </w:tcPr>
          <w:p w14:paraId="63DE2240" w14:textId="47DC1BE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0DD63F27" w14:textId="622790C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18,956</w:t>
            </w:r>
          </w:p>
        </w:tc>
      </w:tr>
      <w:tr w:rsidR="004B0B3E" w:rsidRPr="00B262AF" w14:paraId="1036024B" w14:textId="77777777" w:rsidTr="0095541F">
        <w:tc>
          <w:tcPr>
            <w:tcW w:w="548" w:type="pct"/>
            <w:tcBorders>
              <w:top w:val="nil"/>
              <w:left w:val="nil"/>
              <w:bottom w:val="single" w:sz="8" w:space="0" w:color="B3EFFD"/>
              <w:right w:val="nil"/>
            </w:tcBorders>
            <w:vAlign w:val="center"/>
          </w:tcPr>
          <w:p w14:paraId="3AE59122" w14:textId="5A74FDA5"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13FD9AB3" w14:textId="1267012C"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6AB5B10" w14:textId="14A4B5BA"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Faucet Aerator - Kitchen (IU)</w:t>
            </w:r>
          </w:p>
        </w:tc>
        <w:tc>
          <w:tcPr>
            <w:tcW w:w="704" w:type="pct"/>
            <w:tcBorders>
              <w:top w:val="nil"/>
              <w:left w:val="nil"/>
              <w:bottom w:val="single" w:sz="8" w:space="0" w:color="B3EFFD"/>
              <w:right w:val="nil"/>
            </w:tcBorders>
            <w:shd w:val="clear" w:color="000000" w:fill="FFFFFF"/>
            <w:noWrap/>
            <w:vAlign w:val="center"/>
          </w:tcPr>
          <w:p w14:paraId="0324743C" w14:textId="0DDC51A7"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13,220</w:t>
            </w:r>
          </w:p>
        </w:tc>
        <w:tc>
          <w:tcPr>
            <w:tcW w:w="510" w:type="pct"/>
            <w:tcBorders>
              <w:top w:val="nil"/>
              <w:left w:val="nil"/>
              <w:bottom w:val="single" w:sz="8" w:space="0" w:color="B3EFFD"/>
              <w:right w:val="nil"/>
            </w:tcBorders>
            <w:shd w:val="clear" w:color="000000" w:fill="FFFFFF"/>
            <w:noWrap/>
            <w:vAlign w:val="center"/>
          </w:tcPr>
          <w:p w14:paraId="288BE5E9" w14:textId="5835262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19FFD365" w14:textId="0A0629C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13,183</w:t>
            </w:r>
          </w:p>
        </w:tc>
        <w:tc>
          <w:tcPr>
            <w:tcW w:w="378" w:type="pct"/>
            <w:tcBorders>
              <w:top w:val="nil"/>
              <w:left w:val="nil"/>
              <w:bottom w:val="single" w:sz="8" w:space="0" w:color="B3EFFD"/>
              <w:right w:val="nil"/>
            </w:tcBorders>
            <w:shd w:val="clear" w:color="000000" w:fill="FFFFFF"/>
            <w:noWrap/>
            <w:vAlign w:val="center"/>
          </w:tcPr>
          <w:p w14:paraId="065D9992" w14:textId="297E395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56F85732" w14:textId="6A6AD4A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13,183</w:t>
            </w:r>
          </w:p>
        </w:tc>
      </w:tr>
      <w:tr w:rsidR="004B0B3E" w:rsidRPr="00B262AF" w14:paraId="5BE4A961" w14:textId="77777777" w:rsidTr="0095541F">
        <w:tc>
          <w:tcPr>
            <w:tcW w:w="548" w:type="pct"/>
            <w:tcBorders>
              <w:top w:val="nil"/>
              <w:left w:val="nil"/>
              <w:bottom w:val="single" w:sz="8" w:space="0" w:color="B3EFFD"/>
              <w:right w:val="nil"/>
            </w:tcBorders>
            <w:vAlign w:val="center"/>
          </w:tcPr>
          <w:p w14:paraId="3C5B95B3" w14:textId="50ED7576"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208AC075" w14:textId="6244F879"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E568ECC" w14:textId="0AFD28DB"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Programmable Thermostat</w:t>
            </w:r>
          </w:p>
        </w:tc>
        <w:tc>
          <w:tcPr>
            <w:tcW w:w="704" w:type="pct"/>
            <w:tcBorders>
              <w:top w:val="nil"/>
              <w:left w:val="nil"/>
              <w:bottom w:val="single" w:sz="8" w:space="0" w:color="B3EFFD"/>
              <w:right w:val="nil"/>
            </w:tcBorders>
            <w:shd w:val="clear" w:color="000000" w:fill="FFFFFF"/>
            <w:noWrap/>
            <w:vAlign w:val="center"/>
          </w:tcPr>
          <w:p w14:paraId="06060679" w14:textId="2D150671"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10,976</w:t>
            </w:r>
          </w:p>
        </w:tc>
        <w:tc>
          <w:tcPr>
            <w:tcW w:w="510" w:type="pct"/>
            <w:tcBorders>
              <w:top w:val="nil"/>
              <w:left w:val="nil"/>
              <w:bottom w:val="single" w:sz="8" w:space="0" w:color="B3EFFD"/>
              <w:right w:val="nil"/>
            </w:tcBorders>
            <w:shd w:val="clear" w:color="000000" w:fill="FFFFFF"/>
            <w:noWrap/>
            <w:vAlign w:val="center"/>
          </w:tcPr>
          <w:p w14:paraId="30330BC0" w14:textId="1AA4EF5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31569CA4" w14:textId="447E079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10,976</w:t>
            </w:r>
          </w:p>
        </w:tc>
        <w:tc>
          <w:tcPr>
            <w:tcW w:w="378" w:type="pct"/>
            <w:tcBorders>
              <w:top w:val="nil"/>
              <w:left w:val="nil"/>
              <w:bottom w:val="single" w:sz="8" w:space="0" w:color="B3EFFD"/>
              <w:right w:val="nil"/>
            </w:tcBorders>
            <w:shd w:val="clear" w:color="000000" w:fill="FFFFFF"/>
            <w:noWrap/>
            <w:vAlign w:val="center"/>
          </w:tcPr>
          <w:p w14:paraId="62C41BE3" w14:textId="31F4F2E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6D792746" w14:textId="1D188994"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10,976</w:t>
            </w:r>
          </w:p>
        </w:tc>
      </w:tr>
      <w:tr w:rsidR="004B0B3E" w:rsidRPr="00B262AF" w14:paraId="70A9717D" w14:textId="77777777" w:rsidTr="0095541F">
        <w:tc>
          <w:tcPr>
            <w:tcW w:w="548" w:type="pct"/>
            <w:tcBorders>
              <w:top w:val="nil"/>
              <w:left w:val="nil"/>
              <w:bottom w:val="single" w:sz="8" w:space="0" w:color="B3EFFD"/>
              <w:right w:val="nil"/>
            </w:tcBorders>
            <w:vAlign w:val="center"/>
          </w:tcPr>
          <w:p w14:paraId="6E42DF4D" w14:textId="4CF956C9"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167D90D9" w14:textId="50039088"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1E013FBF" w14:textId="33CC94E9"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Faucet Aerator - Bathroom (IU)</w:t>
            </w:r>
          </w:p>
        </w:tc>
        <w:tc>
          <w:tcPr>
            <w:tcW w:w="704" w:type="pct"/>
            <w:tcBorders>
              <w:top w:val="nil"/>
              <w:left w:val="nil"/>
              <w:bottom w:val="single" w:sz="8" w:space="0" w:color="B3EFFD"/>
              <w:right w:val="nil"/>
            </w:tcBorders>
            <w:shd w:val="clear" w:color="000000" w:fill="FFFFFF"/>
            <w:noWrap/>
            <w:vAlign w:val="center"/>
          </w:tcPr>
          <w:p w14:paraId="6A2AA2AE" w14:textId="4A7990E0"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5,319</w:t>
            </w:r>
          </w:p>
        </w:tc>
        <w:tc>
          <w:tcPr>
            <w:tcW w:w="510" w:type="pct"/>
            <w:tcBorders>
              <w:top w:val="nil"/>
              <w:left w:val="nil"/>
              <w:bottom w:val="single" w:sz="8" w:space="0" w:color="B3EFFD"/>
              <w:right w:val="nil"/>
            </w:tcBorders>
            <w:shd w:val="clear" w:color="000000" w:fill="FFFFFF"/>
            <w:noWrap/>
            <w:vAlign w:val="center"/>
          </w:tcPr>
          <w:p w14:paraId="00AFE2DA" w14:textId="34B7C03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769E7F69" w14:textId="085695FE"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5,301</w:t>
            </w:r>
          </w:p>
        </w:tc>
        <w:tc>
          <w:tcPr>
            <w:tcW w:w="378" w:type="pct"/>
            <w:tcBorders>
              <w:top w:val="nil"/>
              <w:left w:val="nil"/>
              <w:bottom w:val="single" w:sz="8" w:space="0" w:color="B3EFFD"/>
              <w:right w:val="nil"/>
            </w:tcBorders>
            <w:shd w:val="clear" w:color="000000" w:fill="FFFFFF"/>
            <w:noWrap/>
            <w:vAlign w:val="center"/>
          </w:tcPr>
          <w:p w14:paraId="398AE485" w14:textId="7CC4DCBA"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25DED54B" w14:textId="2754D94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5,301</w:t>
            </w:r>
          </w:p>
        </w:tc>
      </w:tr>
      <w:tr w:rsidR="004B0B3E" w:rsidRPr="00B262AF" w14:paraId="20748152" w14:textId="77777777" w:rsidTr="0095541F">
        <w:tc>
          <w:tcPr>
            <w:tcW w:w="548" w:type="pct"/>
            <w:tcBorders>
              <w:top w:val="nil"/>
              <w:left w:val="nil"/>
              <w:bottom w:val="single" w:sz="8" w:space="0" w:color="B3EFFD"/>
              <w:right w:val="nil"/>
            </w:tcBorders>
            <w:vAlign w:val="center"/>
          </w:tcPr>
          <w:p w14:paraId="2F73C10C" w14:textId="298E1375"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06C1ADEC" w14:textId="42190D86"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5F7D309" w14:textId="5628B501"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Boiler Reset Controls</w:t>
            </w:r>
          </w:p>
        </w:tc>
        <w:tc>
          <w:tcPr>
            <w:tcW w:w="704" w:type="pct"/>
            <w:tcBorders>
              <w:top w:val="nil"/>
              <w:left w:val="nil"/>
              <w:bottom w:val="single" w:sz="8" w:space="0" w:color="B3EFFD"/>
              <w:right w:val="nil"/>
            </w:tcBorders>
            <w:shd w:val="clear" w:color="000000" w:fill="FFFFFF"/>
            <w:noWrap/>
            <w:vAlign w:val="center"/>
          </w:tcPr>
          <w:p w14:paraId="4F39F1ED" w14:textId="72B4D3B5"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4,381</w:t>
            </w:r>
          </w:p>
        </w:tc>
        <w:tc>
          <w:tcPr>
            <w:tcW w:w="510" w:type="pct"/>
            <w:tcBorders>
              <w:top w:val="nil"/>
              <w:left w:val="nil"/>
              <w:bottom w:val="single" w:sz="8" w:space="0" w:color="B3EFFD"/>
              <w:right w:val="nil"/>
            </w:tcBorders>
            <w:shd w:val="clear" w:color="000000" w:fill="FFFFFF"/>
            <w:noWrap/>
            <w:vAlign w:val="center"/>
          </w:tcPr>
          <w:p w14:paraId="7D02FDF7" w14:textId="1E2AB99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76D5EA02" w14:textId="681FCDC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4,381</w:t>
            </w:r>
          </w:p>
        </w:tc>
        <w:tc>
          <w:tcPr>
            <w:tcW w:w="378" w:type="pct"/>
            <w:tcBorders>
              <w:top w:val="nil"/>
              <w:left w:val="nil"/>
              <w:bottom w:val="single" w:sz="8" w:space="0" w:color="B3EFFD"/>
              <w:right w:val="nil"/>
            </w:tcBorders>
            <w:shd w:val="clear" w:color="000000" w:fill="FFFFFF"/>
            <w:noWrap/>
            <w:vAlign w:val="center"/>
          </w:tcPr>
          <w:p w14:paraId="077F438B" w14:textId="2725E392"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45D53C3B" w14:textId="73982C2E"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4,381</w:t>
            </w:r>
          </w:p>
        </w:tc>
      </w:tr>
      <w:tr w:rsidR="004B0B3E" w:rsidRPr="00B262AF" w14:paraId="2E403187" w14:textId="77777777" w:rsidTr="0095541F">
        <w:tc>
          <w:tcPr>
            <w:tcW w:w="548" w:type="pct"/>
            <w:tcBorders>
              <w:top w:val="nil"/>
              <w:left w:val="nil"/>
              <w:bottom w:val="single" w:sz="8" w:space="0" w:color="B3EFFD"/>
              <w:right w:val="nil"/>
            </w:tcBorders>
            <w:vAlign w:val="center"/>
          </w:tcPr>
          <w:p w14:paraId="3091F11F" w14:textId="2167147E"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69DBECEE" w14:textId="541E63FE"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3B263D44" w14:textId="2CEEED5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DHW Tune Up</w:t>
            </w:r>
          </w:p>
        </w:tc>
        <w:tc>
          <w:tcPr>
            <w:tcW w:w="704" w:type="pct"/>
            <w:tcBorders>
              <w:top w:val="nil"/>
              <w:left w:val="nil"/>
              <w:bottom w:val="single" w:sz="8" w:space="0" w:color="B3EFFD"/>
              <w:right w:val="nil"/>
            </w:tcBorders>
            <w:shd w:val="clear" w:color="000000" w:fill="FFFFFF"/>
            <w:noWrap/>
            <w:vAlign w:val="center"/>
          </w:tcPr>
          <w:p w14:paraId="351D48EB" w14:textId="65137220"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3,722</w:t>
            </w:r>
          </w:p>
        </w:tc>
        <w:tc>
          <w:tcPr>
            <w:tcW w:w="510" w:type="pct"/>
            <w:tcBorders>
              <w:top w:val="nil"/>
              <w:left w:val="nil"/>
              <w:bottom w:val="single" w:sz="8" w:space="0" w:color="B3EFFD"/>
              <w:right w:val="nil"/>
            </w:tcBorders>
            <w:shd w:val="clear" w:color="000000" w:fill="FFFFFF"/>
            <w:noWrap/>
            <w:vAlign w:val="center"/>
          </w:tcPr>
          <w:p w14:paraId="3F832CC6" w14:textId="360E21D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265973C2" w14:textId="57345A37"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3,721</w:t>
            </w:r>
          </w:p>
        </w:tc>
        <w:tc>
          <w:tcPr>
            <w:tcW w:w="378" w:type="pct"/>
            <w:tcBorders>
              <w:top w:val="nil"/>
              <w:left w:val="nil"/>
              <w:bottom w:val="single" w:sz="8" w:space="0" w:color="B3EFFD"/>
              <w:right w:val="nil"/>
            </w:tcBorders>
            <w:shd w:val="clear" w:color="000000" w:fill="FFFFFF"/>
            <w:noWrap/>
            <w:vAlign w:val="center"/>
          </w:tcPr>
          <w:p w14:paraId="50BAAC6C" w14:textId="0E75E38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4BEF1688" w14:textId="5BA6429A"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3,721</w:t>
            </w:r>
          </w:p>
        </w:tc>
      </w:tr>
      <w:tr w:rsidR="004B0B3E" w:rsidRPr="00B262AF" w14:paraId="7693A11F" w14:textId="77777777" w:rsidTr="0095541F">
        <w:tc>
          <w:tcPr>
            <w:tcW w:w="548" w:type="pct"/>
            <w:tcBorders>
              <w:top w:val="nil"/>
              <w:left w:val="nil"/>
              <w:bottom w:val="single" w:sz="8" w:space="0" w:color="B3EFFD"/>
              <w:right w:val="nil"/>
            </w:tcBorders>
            <w:shd w:val="clear" w:color="000000" w:fill="FFFFFF"/>
            <w:vAlign w:val="center"/>
          </w:tcPr>
          <w:p w14:paraId="7730A658" w14:textId="3A7A6692" w:rsidR="00B3395A" w:rsidRPr="0091000E" w:rsidRDefault="00B3395A" w:rsidP="008B2437">
            <w:pPr>
              <w:spacing w:before="0" w:after="0"/>
              <w:rPr>
                <w:rFonts w:ascii="Times New Roman" w:hAnsi="Times New Roman"/>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vAlign w:val="center"/>
          </w:tcPr>
          <w:p w14:paraId="206A7495" w14:textId="3F7BB240"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vAlign w:val="center"/>
          </w:tcPr>
          <w:p w14:paraId="1ED3A7C4" w14:textId="077220B6"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Reprogrammable Thermostat</w:t>
            </w:r>
          </w:p>
        </w:tc>
        <w:tc>
          <w:tcPr>
            <w:tcW w:w="704" w:type="pct"/>
            <w:tcBorders>
              <w:top w:val="nil"/>
              <w:left w:val="nil"/>
              <w:bottom w:val="single" w:sz="8" w:space="0" w:color="B3EFFD"/>
              <w:right w:val="nil"/>
            </w:tcBorders>
            <w:noWrap/>
            <w:vAlign w:val="center"/>
          </w:tcPr>
          <w:p w14:paraId="2F074049" w14:textId="405DA954"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3,198</w:t>
            </w:r>
          </w:p>
        </w:tc>
        <w:tc>
          <w:tcPr>
            <w:tcW w:w="510" w:type="pct"/>
            <w:tcBorders>
              <w:top w:val="nil"/>
              <w:left w:val="nil"/>
              <w:bottom w:val="single" w:sz="8" w:space="0" w:color="B3EFFD"/>
              <w:right w:val="nil"/>
            </w:tcBorders>
            <w:noWrap/>
            <w:vAlign w:val="center"/>
          </w:tcPr>
          <w:p w14:paraId="443A0749" w14:textId="6435D2B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noWrap/>
            <w:vAlign w:val="center"/>
          </w:tcPr>
          <w:p w14:paraId="01366266" w14:textId="7FE23A41"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3,198</w:t>
            </w:r>
          </w:p>
        </w:tc>
        <w:tc>
          <w:tcPr>
            <w:tcW w:w="378" w:type="pct"/>
            <w:tcBorders>
              <w:top w:val="nil"/>
              <w:left w:val="nil"/>
              <w:bottom w:val="single" w:sz="8" w:space="0" w:color="B3EFFD"/>
              <w:right w:val="nil"/>
            </w:tcBorders>
            <w:noWrap/>
            <w:vAlign w:val="center"/>
          </w:tcPr>
          <w:p w14:paraId="1E69A598" w14:textId="24E1C627"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vAlign w:val="center"/>
          </w:tcPr>
          <w:p w14:paraId="379F552E" w14:textId="047B876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3,198</w:t>
            </w:r>
          </w:p>
        </w:tc>
      </w:tr>
      <w:tr w:rsidR="004B0B3E" w:rsidRPr="00B262AF" w14:paraId="60D56781" w14:textId="77777777" w:rsidTr="0095541F">
        <w:tc>
          <w:tcPr>
            <w:tcW w:w="548" w:type="pct"/>
            <w:tcBorders>
              <w:top w:val="nil"/>
              <w:left w:val="nil"/>
              <w:bottom w:val="single" w:sz="8" w:space="0" w:color="B3EFFD"/>
              <w:right w:val="nil"/>
            </w:tcBorders>
            <w:shd w:val="clear" w:color="000000" w:fill="FFFFFF"/>
            <w:vAlign w:val="center"/>
          </w:tcPr>
          <w:p w14:paraId="1899132E" w14:textId="513A9377" w:rsidR="00B3395A" w:rsidRPr="0091000E" w:rsidRDefault="00B3395A" w:rsidP="008B2437">
            <w:pPr>
              <w:spacing w:before="0" w:after="0"/>
              <w:rPr>
                <w:rFonts w:ascii="Arial Narrow" w:hAnsi="Arial Narrow" w:cs="Calibri"/>
                <w:b/>
                <w:bCs/>
                <w:i/>
                <w:iCs/>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43819B5C" w14:textId="414CFC4F" w:rsidR="00B3395A" w:rsidRPr="0091000E" w:rsidRDefault="00B3395A" w:rsidP="008B2437">
            <w:pPr>
              <w:spacing w:before="0" w:after="0"/>
              <w:rPr>
                <w:rFonts w:ascii="Arial Narrow" w:hAnsi="Arial Narrow" w:cs="Calibri"/>
                <w:b/>
                <w:bCs/>
                <w:i/>
                <w:iCs/>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49794C92" w14:textId="4178292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Tankless Water Heater</w:t>
            </w:r>
          </w:p>
        </w:tc>
        <w:tc>
          <w:tcPr>
            <w:tcW w:w="704" w:type="pct"/>
            <w:tcBorders>
              <w:top w:val="nil"/>
              <w:left w:val="nil"/>
              <w:bottom w:val="single" w:sz="8" w:space="0" w:color="B3EFFD"/>
              <w:right w:val="nil"/>
            </w:tcBorders>
            <w:shd w:val="clear" w:color="000000" w:fill="FFFFFF"/>
            <w:noWrap/>
            <w:vAlign w:val="center"/>
          </w:tcPr>
          <w:p w14:paraId="5E31F57B" w14:textId="39CECD4D"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2,705</w:t>
            </w:r>
          </w:p>
        </w:tc>
        <w:tc>
          <w:tcPr>
            <w:tcW w:w="510" w:type="pct"/>
            <w:tcBorders>
              <w:top w:val="nil"/>
              <w:left w:val="nil"/>
              <w:bottom w:val="single" w:sz="8" w:space="0" w:color="B3EFFD"/>
              <w:right w:val="nil"/>
            </w:tcBorders>
            <w:shd w:val="clear" w:color="000000" w:fill="FFFFFF"/>
            <w:noWrap/>
            <w:vAlign w:val="center"/>
          </w:tcPr>
          <w:p w14:paraId="3DA36073" w14:textId="4DA6D58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3FB803C7" w14:textId="145B15C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2,705</w:t>
            </w:r>
          </w:p>
        </w:tc>
        <w:tc>
          <w:tcPr>
            <w:tcW w:w="378" w:type="pct"/>
            <w:tcBorders>
              <w:top w:val="nil"/>
              <w:left w:val="nil"/>
              <w:bottom w:val="single" w:sz="8" w:space="0" w:color="B3EFFD"/>
              <w:right w:val="nil"/>
            </w:tcBorders>
            <w:shd w:val="clear" w:color="000000" w:fill="FFFFFF"/>
            <w:noWrap/>
            <w:vAlign w:val="center"/>
          </w:tcPr>
          <w:p w14:paraId="1175C7A1" w14:textId="055F5CC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1539AE03" w14:textId="3677A7F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2,705</w:t>
            </w:r>
          </w:p>
        </w:tc>
      </w:tr>
      <w:tr w:rsidR="004B0B3E" w:rsidRPr="00B262AF" w14:paraId="43ACFD31" w14:textId="77777777" w:rsidTr="0095541F">
        <w:tc>
          <w:tcPr>
            <w:tcW w:w="548" w:type="pct"/>
            <w:tcBorders>
              <w:top w:val="nil"/>
              <w:left w:val="nil"/>
              <w:bottom w:val="single" w:sz="8" w:space="0" w:color="B3EFFD"/>
              <w:right w:val="nil"/>
            </w:tcBorders>
            <w:vAlign w:val="center"/>
          </w:tcPr>
          <w:p w14:paraId="75F0A577" w14:textId="7B18DA81"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2C08ABC3" w14:textId="419FC7A5"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79F74FE9" w14:textId="29BAC99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Furnace Filter</w:t>
            </w:r>
          </w:p>
        </w:tc>
        <w:tc>
          <w:tcPr>
            <w:tcW w:w="704" w:type="pct"/>
            <w:tcBorders>
              <w:top w:val="nil"/>
              <w:left w:val="nil"/>
              <w:bottom w:val="single" w:sz="8" w:space="0" w:color="B3EFFD"/>
              <w:right w:val="nil"/>
            </w:tcBorders>
            <w:shd w:val="clear" w:color="000000" w:fill="FFFFFF"/>
            <w:noWrap/>
            <w:vAlign w:val="center"/>
          </w:tcPr>
          <w:p w14:paraId="63B2101C" w14:textId="7DD3F4ED"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1,608</w:t>
            </w:r>
          </w:p>
        </w:tc>
        <w:tc>
          <w:tcPr>
            <w:tcW w:w="510" w:type="pct"/>
            <w:tcBorders>
              <w:top w:val="nil"/>
              <w:left w:val="nil"/>
              <w:bottom w:val="single" w:sz="8" w:space="0" w:color="B3EFFD"/>
              <w:right w:val="nil"/>
            </w:tcBorders>
            <w:shd w:val="clear" w:color="000000" w:fill="FFFFFF"/>
            <w:noWrap/>
            <w:vAlign w:val="center"/>
          </w:tcPr>
          <w:p w14:paraId="4120EBD2" w14:textId="476810D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2703B57A" w14:textId="7E5B2C45"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1,608</w:t>
            </w:r>
          </w:p>
        </w:tc>
        <w:tc>
          <w:tcPr>
            <w:tcW w:w="378" w:type="pct"/>
            <w:tcBorders>
              <w:top w:val="nil"/>
              <w:left w:val="nil"/>
              <w:bottom w:val="single" w:sz="8" w:space="0" w:color="B3EFFD"/>
              <w:right w:val="nil"/>
            </w:tcBorders>
            <w:shd w:val="clear" w:color="000000" w:fill="FFFFFF"/>
            <w:noWrap/>
            <w:vAlign w:val="center"/>
          </w:tcPr>
          <w:p w14:paraId="5455C929" w14:textId="0ABE524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451EA501" w14:textId="4267F192"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1,608</w:t>
            </w:r>
          </w:p>
        </w:tc>
      </w:tr>
      <w:tr w:rsidR="004B0B3E" w:rsidRPr="00B262AF" w14:paraId="18AC10E5" w14:textId="77777777" w:rsidTr="0095541F">
        <w:tc>
          <w:tcPr>
            <w:tcW w:w="548" w:type="pct"/>
            <w:tcBorders>
              <w:top w:val="nil"/>
              <w:left w:val="nil"/>
              <w:bottom w:val="single" w:sz="8" w:space="0" w:color="B3EFFD"/>
              <w:right w:val="nil"/>
            </w:tcBorders>
            <w:shd w:val="clear" w:color="000000" w:fill="FFFFFF"/>
            <w:vAlign w:val="center"/>
          </w:tcPr>
          <w:p w14:paraId="5E7A14DE" w14:textId="09BBAD43" w:rsidR="00B3395A" w:rsidRPr="0091000E" w:rsidRDefault="00B3395A" w:rsidP="008B2437">
            <w:pPr>
              <w:spacing w:before="0" w:after="0"/>
              <w:rPr>
                <w:rFonts w:ascii="Times New Roman" w:hAnsi="Times New Roman"/>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vAlign w:val="center"/>
          </w:tcPr>
          <w:p w14:paraId="0C7F8136" w14:textId="4C7E8518"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0CDE30F" w14:textId="2CC4BDA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Central Water Heater</w:t>
            </w:r>
          </w:p>
        </w:tc>
        <w:tc>
          <w:tcPr>
            <w:tcW w:w="704" w:type="pct"/>
            <w:tcBorders>
              <w:top w:val="nil"/>
              <w:left w:val="nil"/>
              <w:bottom w:val="single" w:sz="8" w:space="0" w:color="B3EFFD"/>
              <w:right w:val="nil"/>
            </w:tcBorders>
            <w:shd w:val="clear" w:color="000000" w:fill="FFFFFF"/>
            <w:noWrap/>
            <w:vAlign w:val="center"/>
          </w:tcPr>
          <w:p w14:paraId="128CB210" w14:textId="12AC00D7"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1,586</w:t>
            </w:r>
          </w:p>
        </w:tc>
        <w:tc>
          <w:tcPr>
            <w:tcW w:w="510" w:type="pct"/>
            <w:tcBorders>
              <w:top w:val="nil"/>
              <w:left w:val="nil"/>
              <w:bottom w:val="single" w:sz="8" w:space="0" w:color="B3EFFD"/>
              <w:right w:val="nil"/>
            </w:tcBorders>
            <w:shd w:val="clear" w:color="000000" w:fill="FFFFFF"/>
            <w:noWrap/>
            <w:vAlign w:val="center"/>
          </w:tcPr>
          <w:p w14:paraId="3A97C131" w14:textId="6BA8FDC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6ADB432C" w14:textId="4D1D056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1,586</w:t>
            </w:r>
          </w:p>
        </w:tc>
        <w:tc>
          <w:tcPr>
            <w:tcW w:w="378" w:type="pct"/>
            <w:tcBorders>
              <w:top w:val="nil"/>
              <w:left w:val="nil"/>
              <w:bottom w:val="single" w:sz="8" w:space="0" w:color="B3EFFD"/>
              <w:right w:val="nil"/>
            </w:tcBorders>
            <w:shd w:val="clear" w:color="000000" w:fill="FFFFFF"/>
            <w:noWrap/>
            <w:vAlign w:val="center"/>
          </w:tcPr>
          <w:p w14:paraId="78ACEF09" w14:textId="6D64095E"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4A78D5BA" w14:textId="31C83EA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1,586</w:t>
            </w:r>
          </w:p>
        </w:tc>
      </w:tr>
      <w:tr w:rsidR="004B0B3E" w:rsidRPr="00B262AF" w14:paraId="720E2191" w14:textId="77777777" w:rsidTr="0095541F">
        <w:tc>
          <w:tcPr>
            <w:tcW w:w="548" w:type="pct"/>
            <w:tcBorders>
              <w:top w:val="nil"/>
              <w:left w:val="nil"/>
              <w:bottom w:val="single" w:sz="8" w:space="0" w:color="B3EFFD"/>
              <w:right w:val="nil"/>
            </w:tcBorders>
            <w:shd w:val="clear" w:color="000000" w:fill="FFFFFF"/>
            <w:vAlign w:val="center"/>
          </w:tcPr>
          <w:p w14:paraId="1C10F03E" w14:textId="7A721432" w:rsidR="00B3395A" w:rsidRPr="0091000E" w:rsidRDefault="00B3395A" w:rsidP="008B2437">
            <w:pPr>
              <w:spacing w:before="0" w:after="0"/>
              <w:rPr>
                <w:rFonts w:ascii="Arial Narrow" w:hAnsi="Arial Narrow" w:cs="Calibri"/>
                <w:b/>
                <w:bCs/>
                <w:i/>
                <w:iCs/>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vAlign w:val="center"/>
          </w:tcPr>
          <w:p w14:paraId="50DD4633" w14:textId="46634C6A" w:rsidR="00B3395A" w:rsidRPr="0091000E" w:rsidRDefault="00B3395A" w:rsidP="008B2437">
            <w:pPr>
              <w:spacing w:before="0" w:after="0"/>
              <w:rPr>
                <w:rFonts w:ascii="Arial Narrow" w:hAnsi="Arial Narrow" w:cs="Calibri"/>
                <w:b/>
                <w:bCs/>
                <w:i/>
                <w:iCs/>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4F2F0DB5" w14:textId="6A7756B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Advanced Thermostat</w:t>
            </w:r>
          </w:p>
        </w:tc>
        <w:tc>
          <w:tcPr>
            <w:tcW w:w="704" w:type="pct"/>
            <w:tcBorders>
              <w:top w:val="nil"/>
              <w:left w:val="nil"/>
              <w:bottom w:val="single" w:sz="8" w:space="0" w:color="B3EFFD"/>
              <w:right w:val="nil"/>
            </w:tcBorders>
            <w:shd w:val="clear" w:color="000000" w:fill="FFFFFF"/>
            <w:noWrap/>
            <w:vAlign w:val="center"/>
          </w:tcPr>
          <w:p w14:paraId="53DAFDE6" w14:textId="7F45E2D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692</w:t>
            </w:r>
          </w:p>
        </w:tc>
        <w:tc>
          <w:tcPr>
            <w:tcW w:w="510" w:type="pct"/>
            <w:tcBorders>
              <w:top w:val="nil"/>
              <w:left w:val="nil"/>
              <w:bottom w:val="single" w:sz="8" w:space="0" w:color="B3EFFD"/>
              <w:right w:val="nil"/>
            </w:tcBorders>
            <w:shd w:val="clear" w:color="000000" w:fill="FFFFFF"/>
            <w:noWrap/>
            <w:vAlign w:val="center"/>
          </w:tcPr>
          <w:p w14:paraId="134B4590" w14:textId="371C862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49B85318" w14:textId="5C5398F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692</w:t>
            </w:r>
          </w:p>
        </w:tc>
        <w:tc>
          <w:tcPr>
            <w:tcW w:w="378" w:type="pct"/>
            <w:tcBorders>
              <w:top w:val="nil"/>
              <w:left w:val="nil"/>
              <w:bottom w:val="single" w:sz="8" w:space="0" w:color="B3EFFD"/>
              <w:right w:val="nil"/>
            </w:tcBorders>
            <w:shd w:val="clear" w:color="000000" w:fill="FFFFFF"/>
            <w:noWrap/>
            <w:vAlign w:val="center"/>
          </w:tcPr>
          <w:p w14:paraId="3F5898E2" w14:textId="0E1F9C1D"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77FAF822" w14:textId="6DB4C55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692</w:t>
            </w:r>
          </w:p>
        </w:tc>
      </w:tr>
      <w:tr w:rsidR="004B0B3E" w:rsidRPr="00B262AF" w14:paraId="4A2F2DA6" w14:textId="77777777" w:rsidTr="0095541F">
        <w:tc>
          <w:tcPr>
            <w:tcW w:w="548" w:type="pct"/>
            <w:tcBorders>
              <w:top w:val="nil"/>
              <w:left w:val="nil"/>
              <w:bottom w:val="single" w:sz="8" w:space="0" w:color="B3EFFD"/>
              <w:right w:val="nil"/>
            </w:tcBorders>
            <w:vAlign w:val="center"/>
          </w:tcPr>
          <w:p w14:paraId="232AA333" w14:textId="2AEE3EB6"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35C3A82E" w14:textId="6AC5DEC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1CB0F706" w14:textId="43FFEFC0"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Exhaust Damper</w:t>
            </w:r>
          </w:p>
        </w:tc>
        <w:tc>
          <w:tcPr>
            <w:tcW w:w="704" w:type="pct"/>
            <w:tcBorders>
              <w:top w:val="nil"/>
              <w:left w:val="nil"/>
              <w:bottom w:val="single" w:sz="8" w:space="0" w:color="B3EFFD"/>
              <w:right w:val="nil"/>
            </w:tcBorders>
            <w:shd w:val="clear" w:color="000000" w:fill="FFFFFF"/>
            <w:noWrap/>
            <w:vAlign w:val="center"/>
          </w:tcPr>
          <w:p w14:paraId="2E17BF95" w14:textId="4C9D7DFA"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549</w:t>
            </w:r>
          </w:p>
        </w:tc>
        <w:tc>
          <w:tcPr>
            <w:tcW w:w="510" w:type="pct"/>
            <w:tcBorders>
              <w:top w:val="nil"/>
              <w:left w:val="nil"/>
              <w:bottom w:val="single" w:sz="8" w:space="0" w:color="B3EFFD"/>
              <w:right w:val="nil"/>
            </w:tcBorders>
            <w:shd w:val="clear" w:color="000000" w:fill="FFFFFF"/>
            <w:noWrap/>
            <w:vAlign w:val="center"/>
          </w:tcPr>
          <w:p w14:paraId="601D8CEC" w14:textId="50F6C8DE"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68B412BF" w14:textId="2684DFD1"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549</w:t>
            </w:r>
          </w:p>
        </w:tc>
        <w:tc>
          <w:tcPr>
            <w:tcW w:w="378" w:type="pct"/>
            <w:tcBorders>
              <w:top w:val="nil"/>
              <w:left w:val="nil"/>
              <w:bottom w:val="single" w:sz="8" w:space="0" w:color="B3EFFD"/>
              <w:right w:val="nil"/>
            </w:tcBorders>
            <w:shd w:val="clear" w:color="000000" w:fill="FFFFFF"/>
            <w:noWrap/>
            <w:vAlign w:val="center"/>
          </w:tcPr>
          <w:p w14:paraId="5F40217F" w14:textId="528B0F5E"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72DE033D" w14:textId="3BD97D1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549</w:t>
            </w:r>
          </w:p>
        </w:tc>
      </w:tr>
      <w:tr w:rsidR="004B0B3E" w:rsidRPr="00B262AF" w14:paraId="3702801B" w14:textId="77777777" w:rsidTr="0095541F">
        <w:tc>
          <w:tcPr>
            <w:tcW w:w="548" w:type="pct"/>
            <w:tcBorders>
              <w:top w:val="nil"/>
              <w:left w:val="nil"/>
              <w:bottom w:val="single" w:sz="8" w:space="0" w:color="B3EFFD"/>
              <w:right w:val="nil"/>
            </w:tcBorders>
            <w:vAlign w:val="center"/>
          </w:tcPr>
          <w:p w14:paraId="61482CCC" w14:textId="10D08AC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28EB89AB" w14:textId="05130079"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1A8C843" w14:textId="4505D91B"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Wall Insulation</w:t>
            </w:r>
          </w:p>
        </w:tc>
        <w:tc>
          <w:tcPr>
            <w:tcW w:w="704" w:type="pct"/>
            <w:tcBorders>
              <w:top w:val="nil"/>
              <w:left w:val="nil"/>
              <w:bottom w:val="single" w:sz="8" w:space="0" w:color="B3EFFD"/>
              <w:right w:val="nil"/>
            </w:tcBorders>
            <w:shd w:val="clear" w:color="000000" w:fill="FFFFFF"/>
            <w:noWrap/>
            <w:vAlign w:val="center"/>
          </w:tcPr>
          <w:p w14:paraId="6F0D2CC0" w14:textId="0C66AEAA"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468</w:t>
            </w:r>
          </w:p>
        </w:tc>
        <w:tc>
          <w:tcPr>
            <w:tcW w:w="510" w:type="pct"/>
            <w:tcBorders>
              <w:top w:val="nil"/>
              <w:left w:val="nil"/>
              <w:bottom w:val="single" w:sz="8" w:space="0" w:color="B3EFFD"/>
              <w:right w:val="nil"/>
            </w:tcBorders>
            <w:shd w:val="clear" w:color="000000" w:fill="FFFFFF"/>
            <w:noWrap/>
            <w:vAlign w:val="center"/>
          </w:tcPr>
          <w:p w14:paraId="677AB477" w14:textId="5A4758A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696A16AA" w14:textId="7E2178B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468</w:t>
            </w:r>
          </w:p>
        </w:tc>
        <w:tc>
          <w:tcPr>
            <w:tcW w:w="378" w:type="pct"/>
            <w:tcBorders>
              <w:top w:val="nil"/>
              <w:left w:val="nil"/>
              <w:bottom w:val="single" w:sz="8" w:space="0" w:color="B3EFFD"/>
              <w:right w:val="nil"/>
            </w:tcBorders>
            <w:shd w:val="clear" w:color="000000" w:fill="FFFFFF"/>
            <w:noWrap/>
            <w:vAlign w:val="center"/>
          </w:tcPr>
          <w:p w14:paraId="25F46501" w14:textId="6520706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724AB4AF" w14:textId="2884DF2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468</w:t>
            </w:r>
          </w:p>
        </w:tc>
      </w:tr>
      <w:tr w:rsidR="004B0B3E" w:rsidRPr="00B262AF" w14:paraId="62CCE398" w14:textId="77777777" w:rsidTr="0095541F">
        <w:tc>
          <w:tcPr>
            <w:tcW w:w="548" w:type="pct"/>
            <w:tcBorders>
              <w:top w:val="nil"/>
              <w:left w:val="nil"/>
              <w:bottom w:val="single" w:sz="8" w:space="0" w:color="B3EFFD"/>
              <w:right w:val="nil"/>
            </w:tcBorders>
            <w:vAlign w:val="center"/>
          </w:tcPr>
          <w:p w14:paraId="75F96040" w14:textId="7FCE8A98"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7AEE6C49" w14:textId="2CC809BF"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35111868" w14:textId="112AA35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Crawl Space Ceiling Insulation</w:t>
            </w:r>
          </w:p>
        </w:tc>
        <w:tc>
          <w:tcPr>
            <w:tcW w:w="704" w:type="pct"/>
            <w:tcBorders>
              <w:top w:val="nil"/>
              <w:left w:val="nil"/>
              <w:bottom w:val="single" w:sz="8" w:space="0" w:color="B3EFFD"/>
              <w:right w:val="nil"/>
            </w:tcBorders>
            <w:shd w:val="clear" w:color="000000" w:fill="FFFFFF"/>
            <w:noWrap/>
            <w:vAlign w:val="center"/>
          </w:tcPr>
          <w:p w14:paraId="27BD223C" w14:textId="2BC8972C"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174</w:t>
            </w:r>
          </w:p>
        </w:tc>
        <w:tc>
          <w:tcPr>
            <w:tcW w:w="510" w:type="pct"/>
            <w:tcBorders>
              <w:top w:val="nil"/>
              <w:left w:val="nil"/>
              <w:bottom w:val="single" w:sz="8" w:space="0" w:color="B3EFFD"/>
              <w:right w:val="nil"/>
            </w:tcBorders>
            <w:shd w:val="clear" w:color="000000" w:fill="FFFFFF"/>
            <w:noWrap/>
            <w:vAlign w:val="center"/>
          </w:tcPr>
          <w:p w14:paraId="1DD71910" w14:textId="495C3BAA"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5FE9364E" w14:textId="7269C9F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174</w:t>
            </w:r>
          </w:p>
        </w:tc>
        <w:tc>
          <w:tcPr>
            <w:tcW w:w="378" w:type="pct"/>
            <w:tcBorders>
              <w:top w:val="nil"/>
              <w:left w:val="nil"/>
              <w:bottom w:val="single" w:sz="8" w:space="0" w:color="B3EFFD"/>
              <w:right w:val="nil"/>
            </w:tcBorders>
            <w:shd w:val="clear" w:color="000000" w:fill="FFFFFF"/>
            <w:noWrap/>
            <w:vAlign w:val="center"/>
          </w:tcPr>
          <w:p w14:paraId="10D530B8" w14:textId="5F74EC94"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61C878BD" w14:textId="23A4D54A"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174</w:t>
            </w:r>
          </w:p>
        </w:tc>
      </w:tr>
      <w:tr w:rsidR="004B0B3E" w:rsidRPr="00B262AF" w14:paraId="3BFD0361" w14:textId="77777777" w:rsidTr="0095541F">
        <w:tc>
          <w:tcPr>
            <w:tcW w:w="548" w:type="pct"/>
            <w:tcBorders>
              <w:top w:val="nil"/>
              <w:left w:val="nil"/>
              <w:bottom w:val="single" w:sz="8" w:space="0" w:color="B3EFFD"/>
              <w:right w:val="nil"/>
            </w:tcBorders>
            <w:vAlign w:val="center"/>
          </w:tcPr>
          <w:p w14:paraId="69441E80" w14:textId="37BCD577"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7552FDFF" w14:textId="172A2EC6"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28E1BFB" w14:textId="4851157B"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High Efficiency Furnace</w:t>
            </w:r>
          </w:p>
        </w:tc>
        <w:tc>
          <w:tcPr>
            <w:tcW w:w="704" w:type="pct"/>
            <w:tcBorders>
              <w:top w:val="nil"/>
              <w:left w:val="nil"/>
              <w:bottom w:val="single" w:sz="8" w:space="0" w:color="B3EFFD"/>
              <w:right w:val="nil"/>
            </w:tcBorders>
            <w:shd w:val="clear" w:color="000000" w:fill="FFFFFF"/>
            <w:noWrap/>
            <w:vAlign w:val="center"/>
          </w:tcPr>
          <w:p w14:paraId="0BE71640" w14:textId="69B1E852"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172</w:t>
            </w:r>
          </w:p>
        </w:tc>
        <w:tc>
          <w:tcPr>
            <w:tcW w:w="510" w:type="pct"/>
            <w:tcBorders>
              <w:top w:val="nil"/>
              <w:left w:val="nil"/>
              <w:bottom w:val="single" w:sz="8" w:space="0" w:color="B3EFFD"/>
              <w:right w:val="nil"/>
            </w:tcBorders>
            <w:shd w:val="clear" w:color="000000" w:fill="FFFFFF"/>
            <w:noWrap/>
            <w:vAlign w:val="center"/>
          </w:tcPr>
          <w:p w14:paraId="3B4D5D68" w14:textId="692A8D6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2205358D" w14:textId="208036D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172</w:t>
            </w:r>
          </w:p>
        </w:tc>
        <w:tc>
          <w:tcPr>
            <w:tcW w:w="378" w:type="pct"/>
            <w:tcBorders>
              <w:top w:val="nil"/>
              <w:left w:val="nil"/>
              <w:bottom w:val="single" w:sz="8" w:space="0" w:color="B3EFFD"/>
              <w:right w:val="nil"/>
            </w:tcBorders>
            <w:shd w:val="clear" w:color="000000" w:fill="FFFFFF"/>
            <w:noWrap/>
            <w:vAlign w:val="center"/>
          </w:tcPr>
          <w:p w14:paraId="3CE422BD" w14:textId="71C477F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2C57B665" w14:textId="193B6932"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172</w:t>
            </w:r>
          </w:p>
        </w:tc>
      </w:tr>
      <w:tr w:rsidR="004B0B3E" w:rsidRPr="00B262AF" w14:paraId="2CC9D252" w14:textId="77777777" w:rsidTr="0095541F">
        <w:tc>
          <w:tcPr>
            <w:tcW w:w="548" w:type="pct"/>
            <w:tcBorders>
              <w:top w:val="nil"/>
              <w:left w:val="nil"/>
              <w:bottom w:val="single" w:sz="8" w:space="0" w:color="B3EFFD"/>
              <w:right w:val="nil"/>
            </w:tcBorders>
            <w:vAlign w:val="center"/>
          </w:tcPr>
          <w:p w14:paraId="74776D09" w14:textId="77741941"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249EF971" w14:textId="754493BA"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4931FE9" w14:textId="62E44A8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Assessment/No Savings</w:t>
            </w:r>
          </w:p>
        </w:tc>
        <w:tc>
          <w:tcPr>
            <w:tcW w:w="704" w:type="pct"/>
            <w:tcBorders>
              <w:top w:val="nil"/>
              <w:left w:val="nil"/>
              <w:bottom w:val="single" w:sz="8" w:space="0" w:color="B3EFFD"/>
              <w:right w:val="nil"/>
            </w:tcBorders>
            <w:shd w:val="clear" w:color="000000" w:fill="FFFFFF"/>
            <w:noWrap/>
            <w:vAlign w:val="center"/>
          </w:tcPr>
          <w:p w14:paraId="01D4319B" w14:textId="6B0BA535"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0</w:t>
            </w:r>
          </w:p>
        </w:tc>
        <w:tc>
          <w:tcPr>
            <w:tcW w:w="510" w:type="pct"/>
            <w:tcBorders>
              <w:top w:val="nil"/>
              <w:left w:val="nil"/>
              <w:bottom w:val="single" w:sz="8" w:space="0" w:color="B3EFFD"/>
              <w:right w:val="nil"/>
            </w:tcBorders>
            <w:shd w:val="clear" w:color="000000" w:fill="FFFFFF"/>
            <w:noWrap/>
            <w:vAlign w:val="center"/>
          </w:tcPr>
          <w:p w14:paraId="447FBAB6" w14:textId="38CDDABD"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N/A</w:t>
            </w:r>
          </w:p>
        </w:tc>
        <w:tc>
          <w:tcPr>
            <w:tcW w:w="702" w:type="pct"/>
            <w:tcBorders>
              <w:top w:val="nil"/>
              <w:left w:val="nil"/>
              <w:bottom w:val="single" w:sz="8" w:space="0" w:color="B3EFFD"/>
              <w:right w:val="nil"/>
            </w:tcBorders>
            <w:shd w:val="clear" w:color="000000" w:fill="FFFFFF"/>
            <w:noWrap/>
            <w:vAlign w:val="center"/>
          </w:tcPr>
          <w:p w14:paraId="732AA2D2" w14:textId="4C4D617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0</w:t>
            </w:r>
          </w:p>
        </w:tc>
        <w:tc>
          <w:tcPr>
            <w:tcW w:w="378" w:type="pct"/>
            <w:tcBorders>
              <w:top w:val="nil"/>
              <w:left w:val="nil"/>
              <w:bottom w:val="single" w:sz="8" w:space="0" w:color="B3EFFD"/>
              <w:right w:val="nil"/>
            </w:tcBorders>
            <w:shd w:val="clear" w:color="000000" w:fill="FFFFFF"/>
            <w:noWrap/>
            <w:vAlign w:val="center"/>
          </w:tcPr>
          <w:p w14:paraId="45B546CD" w14:textId="4FA22100"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3E35B0BB" w14:textId="19D8CB01"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0</w:t>
            </w:r>
          </w:p>
        </w:tc>
      </w:tr>
      <w:tr w:rsidR="00BA0447" w:rsidRPr="00B262AF" w14:paraId="1E0380E8" w14:textId="77777777" w:rsidTr="00BA0447">
        <w:tc>
          <w:tcPr>
            <w:tcW w:w="2028" w:type="pct"/>
            <w:gridSpan w:val="3"/>
            <w:tcBorders>
              <w:top w:val="nil"/>
              <w:left w:val="nil"/>
              <w:bottom w:val="single" w:sz="8" w:space="0" w:color="B3EFFD"/>
              <w:right w:val="nil"/>
            </w:tcBorders>
            <w:vAlign w:val="center"/>
          </w:tcPr>
          <w:p w14:paraId="68CDC569" w14:textId="7C6F6448" w:rsidR="00BA0447" w:rsidRPr="0091000E" w:rsidRDefault="00BA0447" w:rsidP="0095541F">
            <w:pPr>
              <w:spacing w:before="0" w:after="0"/>
              <w:rPr>
                <w:rFonts w:ascii="Arial Narrow" w:hAnsi="Arial Narrow" w:cs="Calibri"/>
                <w:color w:val="000000"/>
                <w:sz w:val="20"/>
                <w:szCs w:val="20"/>
              </w:rPr>
            </w:pPr>
            <w:r w:rsidRPr="00143083">
              <w:rPr>
                <w:rFonts w:ascii="Arial Narrow" w:hAnsi="Arial Narrow" w:cs="Calibri"/>
                <w:b/>
                <w:bCs/>
                <w:i/>
                <w:iCs/>
                <w:color w:val="000000"/>
                <w:sz w:val="20"/>
                <w:szCs w:val="20"/>
              </w:rPr>
              <w:t>Income Eligible</w:t>
            </w:r>
            <w:r>
              <w:rPr>
                <w:rFonts w:ascii="Arial Narrow" w:hAnsi="Arial Narrow" w:cs="Calibri"/>
                <w:b/>
                <w:bCs/>
                <w:i/>
                <w:iCs/>
                <w:color w:val="000000"/>
                <w:sz w:val="20"/>
                <w:szCs w:val="20"/>
              </w:rPr>
              <w:t xml:space="preserve"> </w:t>
            </w:r>
            <w:r w:rsidRPr="00143083">
              <w:rPr>
                <w:rFonts w:ascii="Arial Narrow" w:hAnsi="Arial Narrow" w:cs="Calibri"/>
                <w:b/>
                <w:bCs/>
                <w:i/>
                <w:iCs/>
                <w:color w:val="000000"/>
                <w:sz w:val="20"/>
                <w:szCs w:val="20"/>
              </w:rPr>
              <w:t>Subtotal</w:t>
            </w:r>
          </w:p>
        </w:tc>
        <w:tc>
          <w:tcPr>
            <w:tcW w:w="704" w:type="pct"/>
            <w:tcBorders>
              <w:top w:val="nil"/>
              <w:left w:val="nil"/>
              <w:bottom w:val="single" w:sz="8" w:space="0" w:color="B3EFFD"/>
              <w:right w:val="nil"/>
            </w:tcBorders>
            <w:shd w:val="clear" w:color="000000" w:fill="FFFFFF"/>
            <w:noWrap/>
            <w:vAlign w:val="center"/>
          </w:tcPr>
          <w:p w14:paraId="391B41BC" w14:textId="46005BB4"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1,785,173</w:t>
            </w:r>
          </w:p>
        </w:tc>
        <w:tc>
          <w:tcPr>
            <w:tcW w:w="510" w:type="pct"/>
            <w:tcBorders>
              <w:top w:val="nil"/>
              <w:left w:val="nil"/>
              <w:bottom w:val="single" w:sz="8" w:space="0" w:color="B3EFFD"/>
              <w:right w:val="nil"/>
            </w:tcBorders>
            <w:shd w:val="clear" w:color="000000" w:fill="FFFFFF"/>
            <w:noWrap/>
            <w:vAlign w:val="center"/>
          </w:tcPr>
          <w:p w14:paraId="65B5950C" w14:textId="16CADBDD"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0223DFB4" w14:textId="7F616E18"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1,785,948</w:t>
            </w:r>
          </w:p>
        </w:tc>
        <w:tc>
          <w:tcPr>
            <w:tcW w:w="378" w:type="pct"/>
            <w:tcBorders>
              <w:top w:val="nil"/>
              <w:left w:val="nil"/>
              <w:bottom w:val="single" w:sz="8" w:space="0" w:color="B3EFFD"/>
              <w:right w:val="nil"/>
            </w:tcBorders>
            <w:shd w:val="clear" w:color="000000" w:fill="FFFFFF"/>
            <w:noWrap/>
            <w:vAlign w:val="center"/>
          </w:tcPr>
          <w:p w14:paraId="3549B6E9" w14:textId="65E4F872" w:rsidR="00BA0447" w:rsidRPr="007D0C0F" w:rsidRDefault="007D0C0F" w:rsidP="0095541F">
            <w:pPr>
              <w:spacing w:before="0" w:after="0"/>
              <w:jc w:val="right"/>
              <w:rPr>
                <w:rFonts w:ascii="Arial Narrow" w:hAnsi="Arial Narrow" w:cs="Calibri"/>
                <w:i/>
                <w:iCs/>
                <w:color w:val="000000"/>
                <w:sz w:val="20"/>
                <w:szCs w:val="20"/>
              </w:rPr>
            </w:pPr>
            <w:r w:rsidRPr="007D0C0F">
              <w:rPr>
                <w:rFonts w:ascii="Arial Narrow" w:hAnsi="Arial Narrow" w:cs="Calibri"/>
                <w:b/>
                <w:bCs/>
                <w:i/>
                <w:iCs/>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67FADD2A" w14:textId="57C9937E"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1,785,948</w:t>
            </w:r>
          </w:p>
        </w:tc>
      </w:tr>
      <w:tr w:rsidR="004B0B3E" w:rsidRPr="00B262AF" w14:paraId="7B398084" w14:textId="77777777" w:rsidTr="0095541F">
        <w:tc>
          <w:tcPr>
            <w:tcW w:w="548" w:type="pct"/>
            <w:tcBorders>
              <w:top w:val="nil"/>
              <w:left w:val="nil"/>
              <w:bottom w:val="single" w:sz="8" w:space="0" w:color="B3EFFD"/>
              <w:right w:val="nil"/>
            </w:tcBorders>
            <w:vAlign w:val="center"/>
          </w:tcPr>
          <w:p w14:paraId="55966C34" w14:textId="7993DC30"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06C1ED9F" w14:textId="25A59BF6"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IHWAP</w:t>
            </w:r>
          </w:p>
        </w:tc>
        <w:tc>
          <w:tcPr>
            <w:tcW w:w="974" w:type="pct"/>
            <w:tcBorders>
              <w:top w:val="nil"/>
              <w:left w:val="nil"/>
              <w:bottom w:val="single" w:sz="8" w:space="0" w:color="B3EFFD"/>
              <w:right w:val="nil"/>
            </w:tcBorders>
            <w:shd w:val="clear" w:color="000000" w:fill="FFFFFF"/>
            <w:vAlign w:val="center"/>
          </w:tcPr>
          <w:p w14:paraId="7C36E5D0" w14:textId="5D5CE5C3"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Custom</w:t>
            </w:r>
          </w:p>
        </w:tc>
        <w:tc>
          <w:tcPr>
            <w:tcW w:w="704" w:type="pct"/>
            <w:tcBorders>
              <w:top w:val="nil"/>
              <w:left w:val="nil"/>
              <w:bottom w:val="single" w:sz="8" w:space="0" w:color="B3EFFD"/>
              <w:right w:val="nil"/>
            </w:tcBorders>
            <w:shd w:val="clear" w:color="000000" w:fill="FFFFFF"/>
            <w:noWrap/>
            <w:vAlign w:val="center"/>
          </w:tcPr>
          <w:p w14:paraId="58C5A15C" w14:textId="4FE748EC"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5,400</w:t>
            </w:r>
          </w:p>
        </w:tc>
        <w:tc>
          <w:tcPr>
            <w:tcW w:w="510" w:type="pct"/>
            <w:tcBorders>
              <w:top w:val="nil"/>
              <w:left w:val="nil"/>
              <w:bottom w:val="single" w:sz="8" w:space="0" w:color="B3EFFD"/>
              <w:right w:val="nil"/>
            </w:tcBorders>
            <w:shd w:val="clear" w:color="000000" w:fill="FFFFFF"/>
            <w:noWrap/>
            <w:vAlign w:val="center"/>
          </w:tcPr>
          <w:p w14:paraId="30CC33E5" w14:textId="76E572D4"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24EF9A21" w14:textId="5B731AD6"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5,400</w:t>
            </w:r>
          </w:p>
        </w:tc>
        <w:tc>
          <w:tcPr>
            <w:tcW w:w="378" w:type="pct"/>
            <w:tcBorders>
              <w:top w:val="nil"/>
              <w:left w:val="nil"/>
              <w:bottom w:val="single" w:sz="8" w:space="0" w:color="B3EFFD"/>
              <w:right w:val="nil"/>
            </w:tcBorders>
            <w:shd w:val="clear" w:color="000000" w:fill="FFFFFF"/>
            <w:noWrap/>
            <w:vAlign w:val="center"/>
          </w:tcPr>
          <w:p w14:paraId="16F8B7D6" w14:textId="69D96C44"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52720513" w14:textId="551B5574"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5,400</w:t>
            </w:r>
          </w:p>
        </w:tc>
      </w:tr>
      <w:tr w:rsidR="004B0B3E" w:rsidRPr="00B262AF" w14:paraId="0A3ACCEF" w14:textId="77777777" w:rsidTr="0095541F">
        <w:tc>
          <w:tcPr>
            <w:tcW w:w="548" w:type="pct"/>
            <w:tcBorders>
              <w:top w:val="nil"/>
              <w:left w:val="nil"/>
              <w:bottom w:val="single" w:sz="8" w:space="0" w:color="B3EFFD"/>
              <w:right w:val="nil"/>
            </w:tcBorders>
            <w:vAlign w:val="center"/>
          </w:tcPr>
          <w:p w14:paraId="68044741" w14:textId="63CF55AD"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072E79D5" w14:textId="5CC4DF40"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53D4084E" w14:textId="07B58CAB"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Showerhead (IU)</w:t>
            </w:r>
          </w:p>
        </w:tc>
        <w:tc>
          <w:tcPr>
            <w:tcW w:w="704" w:type="pct"/>
            <w:tcBorders>
              <w:top w:val="nil"/>
              <w:left w:val="nil"/>
              <w:bottom w:val="single" w:sz="8" w:space="0" w:color="B3EFFD"/>
              <w:right w:val="nil"/>
            </w:tcBorders>
            <w:shd w:val="clear" w:color="000000" w:fill="FFFFFF"/>
            <w:noWrap/>
            <w:vAlign w:val="center"/>
          </w:tcPr>
          <w:p w14:paraId="1D04A577" w14:textId="5AE23D9B"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321</w:t>
            </w:r>
          </w:p>
        </w:tc>
        <w:tc>
          <w:tcPr>
            <w:tcW w:w="510" w:type="pct"/>
            <w:tcBorders>
              <w:top w:val="nil"/>
              <w:left w:val="nil"/>
              <w:bottom w:val="single" w:sz="8" w:space="0" w:color="B3EFFD"/>
              <w:right w:val="nil"/>
            </w:tcBorders>
            <w:shd w:val="clear" w:color="000000" w:fill="FFFFFF"/>
            <w:noWrap/>
            <w:vAlign w:val="center"/>
          </w:tcPr>
          <w:p w14:paraId="564C8BD6" w14:textId="34625A12"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519D8721" w14:textId="3C263A8F"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321</w:t>
            </w:r>
          </w:p>
        </w:tc>
        <w:tc>
          <w:tcPr>
            <w:tcW w:w="378" w:type="pct"/>
            <w:tcBorders>
              <w:top w:val="nil"/>
              <w:left w:val="nil"/>
              <w:bottom w:val="single" w:sz="8" w:space="0" w:color="B3EFFD"/>
              <w:right w:val="nil"/>
            </w:tcBorders>
            <w:shd w:val="clear" w:color="000000" w:fill="FFFFFF"/>
            <w:noWrap/>
            <w:vAlign w:val="center"/>
          </w:tcPr>
          <w:p w14:paraId="2355D688" w14:textId="21A14782"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26E715C4" w14:textId="43410B9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321</w:t>
            </w:r>
          </w:p>
        </w:tc>
      </w:tr>
      <w:tr w:rsidR="004B0B3E" w:rsidRPr="00B262AF" w14:paraId="7815DD0D" w14:textId="77777777" w:rsidTr="0095541F">
        <w:tc>
          <w:tcPr>
            <w:tcW w:w="548" w:type="pct"/>
            <w:tcBorders>
              <w:top w:val="nil"/>
              <w:left w:val="nil"/>
              <w:bottom w:val="single" w:sz="8" w:space="0" w:color="B3EFFD"/>
              <w:right w:val="nil"/>
            </w:tcBorders>
            <w:vAlign w:val="center"/>
          </w:tcPr>
          <w:p w14:paraId="0CD4A04E" w14:textId="1B486B1D"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54167BA5" w14:textId="613B5B1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C4C10B5" w14:textId="3D219C94"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Faucet Aerator - Bathroom (IU)</w:t>
            </w:r>
          </w:p>
        </w:tc>
        <w:tc>
          <w:tcPr>
            <w:tcW w:w="704" w:type="pct"/>
            <w:tcBorders>
              <w:top w:val="nil"/>
              <w:left w:val="nil"/>
              <w:bottom w:val="single" w:sz="8" w:space="0" w:color="B3EFFD"/>
              <w:right w:val="nil"/>
            </w:tcBorders>
            <w:shd w:val="clear" w:color="000000" w:fill="FFFFFF"/>
            <w:noWrap/>
            <w:vAlign w:val="center"/>
          </w:tcPr>
          <w:p w14:paraId="7D924254" w14:textId="4D80A7D7"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66</w:t>
            </w:r>
          </w:p>
        </w:tc>
        <w:tc>
          <w:tcPr>
            <w:tcW w:w="510" w:type="pct"/>
            <w:tcBorders>
              <w:top w:val="nil"/>
              <w:left w:val="nil"/>
              <w:bottom w:val="single" w:sz="8" w:space="0" w:color="B3EFFD"/>
              <w:right w:val="nil"/>
            </w:tcBorders>
            <w:shd w:val="clear" w:color="000000" w:fill="FFFFFF"/>
            <w:noWrap/>
            <w:vAlign w:val="center"/>
          </w:tcPr>
          <w:p w14:paraId="6F07851A" w14:textId="5BB3C749"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0E8A2890" w14:textId="1AF10FBE"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66</w:t>
            </w:r>
          </w:p>
        </w:tc>
        <w:tc>
          <w:tcPr>
            <w:tcW w:w="378" w:type="pct"/>
            <w:tcBorders>
              <w:top w:val="nil"/>
              <w:left w:val="nil"/>
              <w:bottom w:val="single" w:sz="8" w:space="0" w:color="B3EFFD"/>
              <w:right w:val="nil"/>
            </w:tcBorders>
            <w:shd w:val="clear" w:color="000000" w:fill="FFFFFF"/>
            <w:noWrap/>
            <w:vAlign w:val="center"/>
          </w:tcPr>
          <w:p w14:paraId="6542E85D" w14:textId="2CF5A5CB"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6E9F809C" w14:textId="66E6384E"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66</w:t>
            </w:r>
          </w:p>
        </w:tc>
      </w:tr>
      <w:tr w:rsidR="004B0B3E" w:rsidRPr="00B262AF" w14:paraId="7056CD07" w14:textId="77777777" w:rsidTr="0095541F">
        <w:tc>
          <w:tcPr>
            <w:tcW w:w="548" w:type="pct"/>
            <w:tcBorders>
              <w:top w:val="nil"/>
              <w:left w:val="nil"/>
              <w:bottom w:val="single" w:sz="8" w:space="0" w:color="B3EFFD"/>
              <w:right w:val="nil"/>
            </w:tcBorders>
            <w:vAlign w:val="center"/>
          </w:tcPr>
          <w:p w14:paraId="79CE29A4" w14:textId="6C42E331"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b/>
                <w:bCs/>
                <w:color w:val="000000"/>
                <w:sz w:val="20"/>
                <w:szCs w:val="20"/>
              </w:rPr>
              <w:t> </w:t>
            </w:r>
          </w:p>
        </w:tc>
        <w:tc>
          <w:tcPr>
            <w:tcW w:w="506" w:type="pct"/>
            <w:tcBorders>
              <w:top w:val="nil"/>
              <w:left w:val="nil"/>
              <w:bottom w:val="single" w:sz="8" w:space="0" w:color="B3EFFD"/>
              <w:right w:val="nil"/>
            </w:tcBorders>
            <w:shd w:val="clear" w:color="000000" w:fill="FFFFFF"/>
            <w:vAlign w:val="center"/>
          </w:tcPr>
          <w:p w14:paraId="75206466" w14:textId="271FAA22"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 </w:t>
            </w:r>
          </w:p>
        </w:tc>
        <w:tc>
          <w:tcPr>
            <w:tcW w:w="974" w:type="pct"/>
            <w:tcBorders>
              <w:top w:val="nil"/>
              <w:left w:val="nil"/>
              <w:bottom w:val="single" w:sz="8" w:space="0" w:color="B3EFFD"/>
              <w:right w:val="nil"/>
            </w:tcBorders>
            <w:shd w:val="clear" w:color="000000" w:fill="FFFFFF"/>
            <w:vAlign w:val="center"/>
          </w:tcPr>
          <w:p w14:paraId="6E69B008" w14:textId="04CEB133" w:rsidR="00B3395A" w:rsidRPr="0091000E" w:rsidRDefault="00B3395A" w:rsidP="008B2437">
            <w:pPr>
              <w:spacing w:before="0" w:after="0"/>
              <w:rPr>
                <w:rFonts w:ascii="Arial Narrow" w:hAnsi="Arial Narrow" w:cs="Calibri"/>
                <w:color w:val="000000"/>
                <w:sz w:val="20"/>
                <w:szCs w:val="20"/>
              </w:rPr>
            </w:pPr>
            <w:r w:rsidRPr="0091000E">
              <w:rPr>
                <w:rFonts w:ascii="Arial Narrow" w:hAnsi="Arial Narrow" w:cs="Calibri"/>
                <w:color w:val="000000"/>
                <w:sz w:val="20"/>
                <w:szCs w:val="20"/>
              </w:rPr>
              <w:t>Faucet Aerator - Kitchen (IU)</w:t>
            </w:r>
          </w:p>
        </w:tc>
        <w:tc>
          <w:tcPr>
            <w:tcW w:w="704" w:type="pct"/>
            <w:tcBorders>
              <w:top w:val="nil"/>
              <w:left w:val="nil"/>
              <w:bottom w:val="single" w:sz="8" w:space="0" w:color="B3EFFD"/>
              <w:right w:val="nil"/>
            </w:tcBorders>
            <w:shd w:val="clear" w:color="000000" w:fill="FFFFFF"/>
            <w:noWrap/>
            <w:vAlign w:val="center"/>
          </w:tcPr>
          <w:p w14:paraId="76B88594" w14:textId="087092A6" w:rsidR="00B3395A" w:rsidRPr="0091000E" w:rsidRDefault="00B3395A" w:rsidP="000A4B1E">
            <w:pPr>
              <w:spacing w:before="0" w:after="0"/>
              <w:jc w:val="right"/>
              <w:rPr>
                <w:rFonts w:ascii="Arial Narrow" w:hAnsi="Arial Narrow" w:cs="Calibri"/>
                <w:color w:val="000000"/>
                <w:sz w:val="20"/>
                <w:szCs w:val="20"/>
              </w:rPr>
            </w:pPr>
            <w:r w:rsidRPr="0091000E">
              <w:rPr>
                <w:rFonts w:ascii="Arial Narrow" w:hAnsi="Arial Narrow" w:cs="Calibri"/>
                <w:color w:val="000000"/>
                <w:sz w:val="20"/>
                <w:szCs w:val="20"/>
              </w:rPr>
              <w:t>18</w:t>
            </w:r>
          </w:p>
        </w:tc>
        <w:tc>
          <w:tcPr>
            <w:tcW w:w="510" w:type="pct"/>
            <w:tcBorders>
              <w:top w:val="nil"/>
              <w:left w:val="nil"/>
              <w:bottom w:val="single" w:sz="8" w:space="0" w:color="B3EFFD"/>
              <w:right w:val="nil"/>
            </w:tcBorders>
            <w:shd w:val="clear" w:color="000000" w:fill="FFFFFF"/>
            <w:noWrap/>
            <w:vAlign w:val="center"/>
          </w:tcPr>
          <w:p w14:paraId="1FE96798" w14:textId="61B6A8B8"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5837EA30" w14:textId="37738073"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18</w:t>
            </w:r>
          </w:p>
        </w:tc>
        <w:tc>
          <w:tcPr>
            <w:tcW w:w="378" w:type="pct"/>
            <w:tcBorders>
              <w:top w:val="nil"/>
              <w:left w:val="nil"/>
              <w:bottom w:val="single" w:sz="8" w:space="0" w:color="B3EFFD"/>
              <w:right w:val="nil"/>
            </w:tcBorders>
            <w:shd w:val="clear" w:color="000000" w:fill="FFFFFF"/>
            <w:noWrap/>
            <w:vAlign w:val="center"/>
          </w:tcPr>
          <w:p w14:paraId="74202793" w14:textId="65137AF1"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2A509452" w14:textId="37604E1C" w:rsidR="00B3395A" w:rsidRPr="0091000E" w:rsidRDefault="00B3395A" w:rsidP="000A4B1E">
            <w:pPr>
              <w:spacing w:before="0" w:after="0"/>
              <w:jc w:val="right"/>
              <w:rPr>
                <w:rFonts w:ascii="Times New Roman" w:hAnsi="Times New Roman"/>
                <w:sz w:val="20"/>
                <w:szCs w:val="20"/>
              </w:rPr>
            </w:pPr>
            <w:r w:rsidRPr="0091000E">
              <w:rPr>
                <w:rFonts w:ascii="Arial Narrow" w:hAnsi="Arial Narrow" w:cs="Calibri"/>
                <w:color w:val="000000"/>
                <w:sz w:val="20"/>
                <w:szCs w:val="20"/>
              </w:rPr>
              <w:t>18</w:t>
            </w:r>
          </w:p>
        </w:tc>
      </w:tr>
      <w:tr w:rsidR="00BA0447" w:rsidRPr="00B262AF" w14:paraId="7EEC06E1" w14:textId="77777777" w:rsidTr="00BA0447">
        <w:tc>
          <w:tcPr>
            <w:tcW w:w="2028" w:type="pct"/>
            <w:gridSpan w:val="3"/>
            <w:tcBorders>
              <w:top w:val="nil"/>
              <w:left w:val="nil"/>
              <w:bottom w:val="single" w:sz="8" w:space="0" w:color="B3EFFD"/>
              <w:right w:val="nil"/>
            </w:tcBorders>
            <w:vAlign w:val="center"/>
          </w:tcPr>
          <w:p w14:paraId="4AFCB040" w14:textId="6E085178" w:rsidR="00BA0447" w:rsidRPr="0091000E" w:rsidRDefault="00BA0447" w:rsidP="0095541F">
            <w:pPr>
              <w:spacing w:before="0" w:after="0"/>
              <w:rPr>
                <w:rFonts w:ascii="Arial Narrow" w:hAnsi="Arial Narrow" w:cs="Calibri"/>
                <w:color w:val="000000"/>
                <w:sz w:val="20"/>
                <w:szCs w:val="20"/>
              </w:rPr>
            </w:pPr>
            <w:r w:rsidRPr="00147FE3">
              <w:rPr>
                <w:rFonts w:ascii="Arial Narrow" w:hAnsi="Arial Narrow" w:cs="Calibri"/>
                <w:b/>
                <w:bCs/>
                <w:i/>
                <w:iCs/>
                <w:color w:val="000000"/>
                <w:sz w:val="20"/>
                <w:szCs w:val="20"/>
              </w:rPr>
              <w:t>IHWAP Subtotal</w:t>
            </w:r>
          </w:p>
        </w:tc>
        <w:tc>
          <w:tcPr>
            <w:tcW w:w="704" w:type="pct"/>
            <w:tcBorders>
              <w:top w:val="nil"/>
              <w:left w:val="nil"/>
              <w:bottom w:val="single" w:sz="8" w:space="0" w:color="B3EFFD"/>
              <w:right w:val="nil"/>
            </w:tcBorders>
            <w:shd w:val="clear" w:color="000000" w:fill="FFFFFF"/>
            <w:noWrap/>
            <w:vAlign w:val="center"/>
          </w:tcPr>
          <w:p w14:paraId="5B025EEA" w14:textId="13A7589B"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5,804</w:t>
            </w:r>
          </w:p>
        </w:tc>
        <w:tc>
          <w:tcPr>
            <w:tcW w:w="510" w:type="pct"/>
            <w:tcBorders>
              <w:top w:val="nil"/>
              <w:left w:val="nil"/>
              <w:bottom w:val="single" w:sz="8" w:space="0" w:color="B3EFFD"/>
              <w:right w:val="nil"/>
            </w:tcBorders>
            <w:shd w:val="clear" w:color="000000" w:fill="FFFFFF"/>
            <w:noWrap/>
            <w:vAlign w:val="center"/>
          </w:tcPr>
          <w:p w14:paraId="050024C8" w14:textId="15FEF1ED"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100%</w:t>
            </w:r>
          </w:p>
        </w:tc>
        <w:tc>
          <w:tcPr>
            <w:tcW w:w="702" w:type="pct"/>
            <w:tcBorders>
              <w:top w:val="nil"/>
              <w:left w:val="nil"/>
              <w:bottom w:val="single" w:sz="8" w:space="0" w:color="B3EFFD"/>
              <w:right w:val="nil"/>
            </w:tcBorders>
            <w:shd w:val="clear" w:color="000000" w:fill="FFFFFF"/>
            <w:noWrap/>
            <w:vAlign w:val="center"/>
          </w:tcPr>
          <w:p w14:paraId="718FC41A" w14:textId="7093CCBD"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5,804</w:t>
            </w:r>
          </w:p>
        </w:tc>
        <w:tc>
          <w:tcPr>
            <w:tcW w:w="378" w:type="pct"/>
            <w:tcBorders>
              <w:top w:val="nil"/>
              <w:left w:val="nil"/>
              <w:bottom w:val="single" w:sz="8" w:space="0" w:color="B3EFFD"/>
              <w:right w:val="nil"/>
            </w:tcBorders>
            <w:shd w:val="clear" w:color="000000" w:fill="FFFFFF"/>
            <w:noWrap/>
            <w:vAlign w:val="center"/>
          </w:tcPr>
          <w:p w14:paraId="3363032C" w14:textId="0BD33CC8" w:rsidR="00BA0447" w:rsidRPr="0091000E" w:rsidRDefault="007D0C0F" w:rsidP="0095541F">
            <w:pPr>
              <w:spacing w:before="0" w:after="0"/>
              <w:jc w:val="right"/>
              <w:rPr>
                <w:rFonts w:ascii="Arial Narrow" w:hAnsi="Arial Narrow" w:cs="Calibri"/>
                <w:color w:val="000000"/>
                <w:sz w:val="20"/>
                <w:szCs w:val="20"/>
              </w:rPr>
            </w:pPr>
            <w:r w:rsidRPr="007D0C0F">
              <w:rPr>
                <w:rFonts w:ascii="Arial Narrow" w:hAnsi="Arial Narrow" w:cs="Calibri"/>
                <w:b/>
                <w:bCs/>
                <w:i/>
                <w:iCs/>
                <w:color w:val="000000"/>
                <w:sz w:val="20"/>
                <w:szCs w:val="20"/>
              </w:rPr>
              <w:t>1.00</w:t>
            </w:r>
          </w:p>
        </w:tc>
        <w:tc>
          <w:tcPr>
            <w:tcW w:w="678" w:type="pct"/>
            <w:tcBorders>
              <w:top w:val="nil"/>
              <w:left w:val="nil"/>
              <w:bottom w:val="single" w:sz="8" w:space="0" w:color="B3EFFD"/>
              <w:right w:val="nil"/>
            </w:tcBorders>
            <w:shd w:val="clear" w:color="000000" w:fill="FFFFFF"/>
            <w:vAlign w:val="center"/>
          </w:tcPr>
          <w:p w14:paraId="787D6DD9" w14:textId="71225EFA" w:rsidR="00BA0447" w:rsidRPr="0091000E" w:rsidRDefault="00BA0447" w:rsidP="0095541F">
            <w:pPr>
              <w:spacing w:before="0" w:after="0"/>
              <w:jc w:val="right"/>
              <w:rPr>
                <w:rFonts w:ascii="Arial Narrow" w:hAnsi="Arial Narrow" w:cs="Calibri"/>
                <w:color w:val="000000"/>
                <w:sz w:val="20"/>
                <w:szCs w:val="20"/>
              </w:rPr>
            </w:pPr>
            <w:r>
              <w:rPr>
                <w:rFonts w:ascii="Arial Narrow" w:hAnsi="Arial Narrow" w:cs="Calibri"/>
                <w:b/>
                <w:bCs/>
                <w:i/>
                <w:iCs/>
                <w:color w:val="000000"/>
                <w:sz w:val="20"/>
                <w:szCs w:val="20"/>
              </w:rPr>
              <w:t>5,804</w:t>
            </w:r>
          </w:p>
        </w:tc>
      </w:tr>
      <w:tr w:rsidR="004B0B3E" w:rsidRPr="00B262AF" w14:paraId="0DC969D5" w14:textId="77777777" w:rsidTr="0095541F">
        <w:tc>
          <w:tcPr>
            <w:tcW w:w="2028" w:type="pct"/>
            <w:gridSpan w:val="3"/>
            <w:tcBorders>
              <w:top w:val="single" w:sz="8" w:space="0" w:color="B3EFFD"/>
              <w:left w:val="nil"/>
              <w:bottom w:val="single" w:sz="8" w:space="0" w:color="036479"/>
              <w:right w:val="nil"/>
            </w:tcBorders>
            <w:vAlign w:val="center"/>
            <w:hideMark/>
          </w:tcPr>
          <w:p w14:paraId="5C34F19E" w14:textId="264AD1D1" w:rsidR="004B0B3E" w:rsidRPr="0091000E" w:rsidRDefault="004B0B3E" w:rsidP="008B2437">
            <w:pPr>
              <w:spacing w:before="0" w:after="0"/>
              <w:rPr>
                <w:rFonts w:ascii="Arial Narrow" w:hAnsi="Arial Narrow" w:cs="Calibri"/>
                <w:b/>
                <w:bCs/>
                <w:color w:val="000000"/>
                <w:sz w:val="20"/>
                <w:szCs w:val="20"/>
              </w:rPr>
            </w:pPr>
            <w:r w:rsidRPr="0091000E">
              <w:rPr>
                <w:rFonts w:ascii="Arial Narrow" w:hAnsi="Arial Narrow" w:cs="Calibri"/>
                <w:b/>
                <w:bCs/>
                <w:color w:val="000000"/>
                <w:sz w:val="20"/>
                <w:szCs w:val="20"/>
              </w:rPr>
              <w:t xml:space="preserve">Total </w:t>
            </w:r>
          </w:p>
        </w:tc>
        <w:tc>
          <w:tcPr>
            <w:tcW w:w="704" w:type="pct"/>
            <w:tcBorders>
              <w:top w:val="nil"/>
              <w:left w:val="nil"/>
              <w:bottom w:val="single" w:sz="8" w:space="0" w:color="036479"/>
              <w:right w:val="nil"/>
            </w:tcBorders>
            <w:noWrap/>
            <w:vAlign w:val="center"/>
            <w:hideMark/>
          </w:tcPr>
          <w:p w14:paraId="08C2C535" w14:textId="32500B98" w:rsidR="004B0B3E" w:rsidRPr="0091000E" w:rsidRDefault="004B0B3E" w:rsidP="000A4B1E">
            <w:pPr>
              <w:spacing w:before="0" w:after="0"/>
              <w:jc w:val="right"/>
              <w:rPr>
                <w:rFonts w:ascii="Arial Narrow" w:hAnsi="Arial Narrow" w:cs="Calibri"/>
                <w:b/>
                <w:bCs/>
                <w:color w:val="000000"/>
                <w:sz w:val="20"/>
                <w:szCs w:val="20"/>
              </w:rPr>
            </w:pPr>
            <w:r w:rsidRPr="0091000E">
              <w:rPr>
                <w:rFonts w:ascii="Arial Narrow" w:hAnsi="Arial Narrow" w:cs="Calibri"/>
                <w:b/>
                <w:bCs/>
                <w:color w:val="000000"/>
                <w:sz w:val="20"/>
                <w:szCs w:val="20"/>
              </w:rPr>
              <w:t>1,790,976</w:t>
            </w:r>
          </w:p>
        </w:tc>
        <w:tc>
          <w:tcPr>
            <w:tcW w:w="510" w:type="pct"/>
            <w:tcBorders>
              <w:top w:val="nil"/>
              <w:left w:val="nil"/>
              <w:bottom w:val="single" w:sz="8" w:space="0" w:color="036479"/>
              <w:right w:val="nil"/>
            </w:tcBorders>
            <w:noWrap/>
            <w:vAlign w:val="center"/>
          </w:tcPr>
          <w:p w14:paraId="33143B93" w14:textId="43D98F20" w:rsidR="004B0B3E" w:rsidRPr="0091000E" w:rsidRDefault="004B0B3E" w:rsidP="000A4B1E">
            <w:pPr>
              <w:spacing w:before="0" w:after="0"/>
              <w:jc w:val="right"/>
              <w:rPr>
                <w:rFonts w:ascii="Times New Roman" w:hAnsi="Times New Roman"/>
                <w:sz w:val="20"/>
                <w:szCs w:val="20"/>
              </w:rPr>
            </w:pPr>
            <w:r w:rsidRPr="0091000E">
              <w:rPr>
                <w:rFonts w:ascii="Arial Narrow" w:hAnsi="Arial Narrow" w:cs="Calibri"/>
                <w:b/>
                <w:bCs/>
                <w:color w:val="000000"/>
                <w:sz w:val="20"/>
                <w:szCs w:val="20"/>
              </w:rPr>
              <w:t>100%</w:t>
            </w:r>
          </w:p>
        </w:tc>
        <w:tc>
          <w:tcPr>
            <w:tcW w:w="702" w:type="pct"/>
            <w:tcBorders>
              <w:top w:val="nil"/>
              <w:left w:val="nil"/>
              <w:bottom w:val="single" w:sz="8" w:space="0" w:color="036479"/>
              <w:right w:val="nil"/>
            </w:tcBorders>
            <w:noWrap/>
            <w:vAlign w:val="center"/>
          </w:tcPr>
          <w:p w14:paraId="2A3E4E85" w14:textId="0C5499DB" w:rsidR="004B0B3E" w:rsidRPr="0091000E" w:rsidRDefault="004B0B3E" w:rsidP="000A4B1E">
            <w:pPr>
              <w:spacing w:before="0" w:after="0"/>
              <w:jc w:val="right"/>
              <w:rPr>
                <w:rFonts w:ascii="Times New Roman" w:hAnsi="Times New Roman"/>
                <w:sz w:val="20"/>
                <w:szCs w:val="20"/>
              </w:rPr>
            </w:pPr>
            <w:r w:rsidRPr="0091000E">
              <w:rPr>
                <w:rFonts w:ascii="Arial Narrow" w:hAnsi="Arial Narrow" w:cs="Calibri"/>
                <w:b/>
                <w:bCs/>
                <w:color w:val="000000"/>
                <w:sz w:val="20"/>
                <w:szCs w:val="20"/>
              </w:rPr>
              <w:t>1,791,752</w:t>
            </w:r>
          </w:p>
        </w:tc>
        <w:tc>
          <w:tcPr>
            <w:tcW w:w="378" w:type="pct"/>
            <w:tcBorders>
              <w:top w:val="nil"/>
              <w:left w:val="nil"/>
              <w:bottom w:val="single" w:sz="8" w:space="0" w:color="036479"/>
              <w:right w:val="nil"/>
            </w:tcBorders>
            <w:noWrap/>
            <w:vAlign w:val="center"/>
          </w:tcPr>
          <w:p w14:paraId="33570F2C" w14:textId="249F0C79" w:rsidR="004B0B3E" w:rsidRPr="0091000E" w:rsidRDefault="004B0B3E" w:rsidP="000A4B1E">
            <w:pPr>
              <w:spacing w:before="0" w:after="0"/>
              <w:jc w:val="right"/>
              <w:rPr>
                <w:rFonts w:ascii="Times New Roman" w:hAnsi="Times New Roman"/>
                <w:sz w:val="20"/>
                <w:szCs w:val="20"/>
              </w:rPr>
            </w:pPr>
            <w:r w:rsidRPr="0091000E">
              <w:rPr>
                <w:rFonts w:ascii="Arial Narrow" w:hAnsi="Arial Narrow" w:cs="Calibri"/>
                <w:b/>
                <w:bCs/>
                <w:color w:val="000000"/>
                <w:sz w:val="20"/>
                <w:szCs w:val="20"/>
              </w:rPr>
              <w:t>1.00</w:t>
            </w:r>
          </w:p>
        </w:tc>
        <w:tc>
          <w:tcPr>
            <w:tcW w:w="678" w:type="pct"/>
            <w:tcBorders>
              <w:top w:val="nil"/>
              <w:left w:val="nil"/>
              <w:bottom w:val="single" w:sz="8" w:space="0" w:color="036479"/>
              <w:right w:val="nil"/>
            </w:tcBorders>
            <w:vAlign w:val="center"/>
          </w:tcPr>
          <w:p w14:paraId="17540826" w14:textId="04AE545A" w:rsidR="004B0B3E" w:rsidRPr="0091000E" w:rsidRDefault="004B0B3E" w:rsidP="000A4B1E">
            <w:pPr>
              <w:spacing w:before="0" w:after="0"/>
              <w:jc w:val="right"/>
              <w:rPr>
                <w:rFonts w:ascii="Times New Roman" w:hAnsi="Times New Roman"/>
                <w:sz w:val="20"/>
                <w:szCs w:val="20"/>
              </w:rPr>
            </w:pPr>
            <w:r w:rsidRPr="0091000E">
              <w:rPr>
                <w:rFonts w:ascii="Arial Narrow" w:hAnsi="Arial Narrow" w:cs="Calibri"/>
                <w:b/>
                <w:bCs/>
                <w:color w:val="000000"/>
                <w:sz w:val="20"/>
                <w:szCs w:val="20"/>
              </w:rPr>
              <w:t>1,791,752</w:t>
            </w:r>
          </w:p>
        </w:tc>
      </w:tr>
    </w:tbl>
    <w:p w14:paraId="3788B127" w14:textId="4B6FA32D" w:rsidR="001900C1" w:rsidRDefault="00C5615F" w:rsidP="001900C1">
      <w:pPr>
        <w:pStyle w:val="GraphFootnote"/>
        <w:keepLines/>
        <w:rPr>
          <w:szCs w:val="18"/>
        </w:rPr>
      </w:pPr>
      <w:r>
        <w:t>* Realization Rate (RR) is the ratio of verified gross savings to ex ante gross savings, based on evaluation research findings.</w:t>
      </w:r>
      <w:r w:rsidR="00A9737A">
        <w:br/>
      </w:r>
      <w:r w:rsidRPr="1B6EEEC9">
        <w:rPr>
          <w:szCs w:val="18"/>
        </w:rPr>
        <w:t xml:space="preserve">† NTG, Net to Gross is the deemed value available on the SAG website: </w:t>
      </w:r>
      <w:hyperlink r:id="rId23">
        <w:r w:rsidRPr="1B6EEEC9">
          <w:rPr>
            <w:szCs w:val="18"/>
          </w:rPr>
          <w:t>https://www.ilsag.info/evaluator-ntg-recommendations-for-2024/</w:t>
        </w:r>
      </w:hyperlink>
      <w:r w:rsidRPr="1B6EEEC9">
        <w:rPr>
          <w:szCs w:val="18"/>
        </w:rPr>
        <w:t xml:space="preserve">. </w:t>
      </w:r>
    </w:p>
    <w:p w14:paraId="561FA911" w14:textId="10EEE30A" w:rsidR="00C5615F" w:rsidRDefault="00C5615F" w:rsidP="008B2437">
      <w:pPr>
        <w:pStyle w:val="Source"/>
      </w:pPr>
      <w:r w:rsidRPr="00A9737A">
        <w:t>Source: Evaluation team analysis.</w:t>
      </w:r>
    </w:p>
    <w:p w14:paraId="1F4FB6AB" w14:textId="77777777" w:rsidR="008B2437" w:rsidRPr="00A9737A" w:rsidRDefault="008B2437" w:rsidP="008B2437"/>
    <w:p w14:paraId="47F43E62" w14:textId="14D3CC6B" w:rsidR="00E93A62" w:rsidRPr="00A90B62" w:rsidRDefault="0096076F" w:rsidP="0096076F">
      <w:pPr>
        <w:pStyle w:val="Caption"/>
        <w:spacing w:before="120"/>
      </w:pPr>
      <w:bookmarkStart w:id="65" w:name="_Toc193349183"/>
      <w:bookmarkStart w:id="66" w:name="_Toc193349217"/>
      <w:bookmarkStart w:id="67" w:name="_Toc193349932"/>
      <w:bookmarkEnd w:id="64"/>
      <w:r>
        <w:lastRenderedPageBreak/>
        <w:t xml:space="preserve">Table </w:t>
      </w:r>
      <w:r w:rsidR="0034721B">
        <w:fldChar w:fldCharType="begin"/>
      </w:r>
      <w:r w:rsidR="0034721B">
        <w:instrText xml:space="preserve"> SEQ Table \* ARABIC </w:instrText>
      </w:r>
      <w:r w:rsidR="0034721B">
        <w:fldChar w:fldCharType="separate"/>
      </w:r>
      <w:r w:rsidR="0034721B">
        <w:rPr>
          <w:noProof/>
        </w:rPr>
        <w:t>8</w:t>
      </w:r>
      <w:r w:rsidR="0034721B">
        <w:rPr>
          <w:noProof/>
        </w:rPr>
        <w:fldChar w:fldCharType="end"/>
      </w:r>
      <w:r>
        <w:t>. 2024 MFIE Program</w:t>
      </w:r>
      <w:r w:rsidRPr="00A90B62">
        <w:t xml:space="preserve"> </w:t>
      </w:r>
      <w:r>
        <w:t>Annual Energy Savings by Measure for NSG</w:t>
      </w:r>
      <w:bookmarkEnd w:id="65"/>
      <w:bookmarkEnd w:id="66"/>
      <w:bookmarkEnd w:id="67"/>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935"/>
        <w:gridCol w:w="884"/>
        <w:gridCol w:w="3006"/>
        <w:gridCol w:w="1020"/>
        <w:gridCol w:w="839"/>
        <w:gridCol w:w="1018"/>
        <w:gridCol w:w="654"/>
        <w:gridCol w:w="1004"/>
      </w:tblGrid>
      <w:tr w:rsidR="003E1611" w:rsidRPr="00F81E85" w14:paraId="3615B6B8" w14:textId="77777777" w:rsidTr="00674E3D">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0" w:type="auto"/>
          </w:tcPr>
          <w:p w14:paraId="02011E3D" w14:textId="77777777" w:rsidR="003E1611" w:rsidRPr="00F81E85" w:rsidRDefault="003E1611" w:rsidP="00674E3D">
            <w:pPr>
              <w:keepNext/>
              <w:keepLines/>
              <w:spacing w:before="0" w:after="0"/>
              <w:jc w:val="left"/>
              <w:rPr>
                <w:rFonts w:ascii="Arial Narrow" w:hAnsi="Arial Narrow"/>
                <w:b w:val="0"/>
                <w:bCs/>
                <w:sz w:val="20"/>
                <w:szCs w:val="20"/>
              </w:rPr>
            </w:pPr>
            <w:r w:rsidRPr="00F81E85">
              <w:rPr>
                <w:rFonts w:ascii="Arial Narrow" w:hAnsi="Arial Narrow"/>
                <w:b w:val="0"/>
                <w:bCs/>
                <w:sz w:val="20"/>
                <w:szCs w:val="20"/>
              </w:rPr>
              <w:t>Program Category</w:t>
            </w:r>
          </w:p>
        </w:tc>
        <w:tc>
          <w:tcPr>
            <w:tcW w:w="0" w:type="auto"/>
          </w:tcPr>
          <w:p w14:paraId="7FF1CBDE" w14:textId="77777777" w:rsidR="003E1611" w:rsidRPr="00F81E85" w:rsidRDefault="003E1611" w:rsidP="00674E3D">
            <w:pPr>
              <w:keepNext/>
              <w:keepLines/>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F81E85">
              <w:rPr>
                <w:rFonts w:ascii="Arial Narrow" w:hAnsi="Arial Narrow"/>
                <w:b w:val="0"/>
                <w:sz w:val="20"/>
                <w:szCs w:val="20"/>
              </w:rPr>
              <w:t>Program Path</w:t>
            </w:r>
          </w:p>
        </w:tc>
        <w:tc>
          <w:tcPr>
            <w:tcW w:w="0" w:type="auto"/>
            <w:hideMark/>
          </w:tcPr>
          <w:p w14:paraId="7A270F50" w14:textId="77777777" w:rsidR="003E1611" w:rsidRPr="00F81E85" w:rsidRDefault="003E1611" w:rsidP="00674E3D">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F81E85">
              <w:rPr>
                <w:rFonts w:ascii="Arial Narrow" w:hAnsi="Arial Narrow"/>
                <w:b w:val="0"/>
                <w:bCs/>
                <w:sz w:val="20"/>
                <w:szCs w:val="20"/>
              </w:rPr>
              <w:t>Savings Category</w:t>
            </w:r>
          </w:p>
        </w:tc>
        <w:tc>
          <w:tcPr>
            <w:tcW w:w="0" w:type="auto"/>
            <w:hideMark/>
          </w:tcPr>
          <w:p w14:paraId="47837728" w14:textId="77777777" w:rsidR="003E1611" w:rsidRPr="00F81E85" w:rsidRDefault="003E1611" w:rsidP="00674E3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F81E85">
              <w:rPr>
                <w:rFonts w:ascii="Arial Narrow" w:hAnsi="Arial Narrow"/>
                <w:b w:val="0"/>
                <w:bCs/>
                <w:sz w:val="20"/>
                <w:szCs w:val="20"/>
              </w:rPr>
              <w:t>Ex Ante Gross Savings</w:t>
            </w:r>
            <w:r w:rsidRPr="00F81E85">
              <w:rPr>
                <w:rFonts w:ascii="Arial Narrow" w:hAnsi="Arial Narrow"/>
                <w:b w:val="0"/>
                <w:sz w:val="20"/>
                <w:szCs w:val="20"/>
              </w:rPr>
              <w:t xml:space="preserve"> (Therms)</w:t>
            </w:r>
          </w:p>
        </w:tc>
        <w:tc>
          <w:tcPr>
            <w:tcW w:w="0" w:type="auto"/>
          </w:tcPr>
          <w:p w14:paraId="197F268E" w14:textId="77777777" w:rsidR="003E1611" w:rsidRPr="00F81E85" w:rsidRDefault="003E1611" w:rsidP="00674E3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F81E85">
              <w:rPr>
                <w:rFonts w:ascii="Arial Narrow" w:hAnsi="Arial Narrow" w:cs="Arial"/>
                <w:b w:val="0"/>
                <w:bCs/>
                <w:color w:val="FFFFFF"/>
                <w:sz w:val="20"/>
                <w:szCs w:val="20"/>
              </w:rPr>
              <w:t>Verified Gross RR*</w:t>
            </w:r>
          </w:p>
        </w:tc>
        <w:tc>
          <w:tcPr>
            <w:tcW w:w="0" w:type="auto"/>
          </w:tcPr>
          <w:p w14:paraId="3DF6D414" w14:textId="77777777" w:rsidR="003E1611" w:rsidRPr="00F81E85" w:rsidRDefault="003E1611" w:rsidP="00674E3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F81E85">
              <w:rPr>
                <w:rFonts w:ascii="Arial Narrow" w:hAnsi="Arial Narrow" w:cs="Arial"/>
                <w:b w:val="0"/>
                <w:bCs/>
                <w:color w:val="FFFFFF"/>
                <w:sz w:val="20"/>
                <w:szCs w:val="20"/>
              </w:rPr>
              <w:t>Verified Gross Savings (Therms)</w:t>
            </w:r>
          </w:p>
        </w:tc>
        <w:tc>
          <w:tcPr>
            <w:tcW w:w="0" w:type="auto"/>
          </w:tcPr>
          <w:p w14:paraId="4132C979" w14:textId="77777777" w:rsidR="003E1611" w:rsidRPr="00F81E85" w:rsidRDefault="003E1611" w:rsidP="00674E3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F81E85">
              <w:rPr>
                <w:rFonts w:ascii="Arial Narrow" w:hAnsi="Arial Narrow" w:cs="Arial"/>
                <w:b w:val="0"/>
                <w:bCs/>
                <w:color w:val="FFFFFF"/>
                <w:sz w:val="20"/>
                <w:szCs w:val="20"/>
              </w:rPr>
              <w:t>NTG</w:t>
            </w:r>
            <w:r w:rsidRPr="00F81E85">
              <w:rPr>
                <w:rFonts w:ascii="Arial Narrow" w:hAnsi="Arial Narrow" w:cs="Arial"/>
                <w:b w:val="0"/>
                <w:sz w:val="20"/>
                <w:szCs w:val="20"/>
              </w:rPr>
              <w:t>†</w:t>
            </w:r>
          </w:p>
        </w:tc>
        <w:tc>
          <w:tcPr>
            <w:tcW w:w="0" w:type="auto"/>
          </w:tcPr>
          <w:p w14:paraId="5468085D" w14:textId="77777777" w:rsidR="003E1611" w:rsidRPr="00F81E85" w:rsidRDefault="003E1611" w:rsidP="00674E3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F81E85">
              <w:rPr>
                <w:rFonts w:ascii="Arial Narrow" w:hAnsi="Arial Narrow"/>
                <w:b w:val="0"/>
                <w:bCs/>
                <w:sz w:val="20"/>
                <w:szCs w:val="20"/>
              </w:rPr>
              <w:t>Verified Net Savings</w:t>
            </w:r>
            <w:r w:rsidRPr="00F81E85">
              <w:rPr>
                <w:rFonts w:ascii="Arial Narrow" w:hAnsi="Arial Narrow"/>
                <w:b w:val="0"/>
                <w:sz w:val="20"/>
                <w:szCs w:val="20"/>
              </w:rPr>
              <w:t xml:space="preserve"> (Therms)</w:t>
            </w:r>
          </w:p>
        </w:tc>
      </w:tr>
      <w:tr w:rsidR="003E1611" w:rsidRPr="00F81E85" w14:paraId="73842048" w14:textId="77777777" w:rsidTr="0063696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7A0F9000" w14:textId="77777777" w:rsidR="003E1611" w:rsidRPr="00F81E85" w:rsidRDefault="003E1611" w:rsidP="00674E3D">
            <w:pPr>
              <w:keepNext/>
              <w:keepLines/>
              <w:spacing w:before="0" w:after="0"/>
              <w:jc w:val="left"/>
              <w:rPr>
                <w:rFonts w:ascii="Arial Narrow" w:hAnsi="Arial Narrow"/>
                <w:b/>
                <w:bCs/>
                <w:sz w:val="20"/>
                <w:szCs w:val="20"/>
              </w:rPr>
            </w:pPr>
            <w:r w:rsidRPr="00F81E85">
              <w:rPr>
                <w:rFonts w:ascii="Arial Narrow" w:hAnsi="Arial Narrow" w:cs="Calibri"/>
                <w:b/>
                <w:bCs/>
                <w:color w:val="000000"/>
                <w:sz w:val="20"/>
                <w:szCs w:val="20"/>
              </w:rPr>
              <w:t>Multi-Family</w:t>
            </w:r>
          </w:p>
        </w:tc>
        <w:tc>
          <w:tcPr>
            <w:tcW w:w="0" w:type="auto"/>
          </w:tcPr>
          <w:p w14:paraId="42144410"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Income Eligible</w:t>
            </w:r>
          </w:p>
        </w:tc>
        <w:tc>
          <w:tcPr>
            <w:tcW w:w="0" w:type="auto"/>
            <w:noWrap/>
          </w:tcPr>
          <w:p w14:paraId="1E840197"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Air Sealing</w:t>
            </w:r>
          </w:p>
        </w:tc>
        <w:tc>
          <w:tcPr>
            <w:tcW w:w="0" w:type="auto"/>
            <w:noWrap/>
          </w:tcPr>
          <w:p w14:paraId="493DC749"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56,339</w:t>
            </w:r>
          </w:p>
        </w:tc>
        <w:tc>
          <w:tcPr>
            <w:tcW w:w="0" w:type="auto"/>
          </w:tcPr>
          <w:p w14:paraId="621315A8"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1132BB94"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56,339</w:t>
            </w:r>
          </w:p>
        </w:tc>
        <w:tc>
          <w:tcPr>
            <w:tcW w:w="0" w:type="auto"/>
          </w:tcPr>
          <w:p w14:paraId="6252E5AB"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2141C736"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56,339</w:t>
            </w:r>
          </w:p>
        </w:tc>
      </w:tr>
      <w:tr w:rsidR="003E1611" w:rsidRPr="00F81E85" w14:paraId="02A758FA" w14:textId="77777777" w:rsidTr="00636960">
        <w:trPr>
          <w:cnfStyle w:val="000000010000" w:firstRow="0" w:lastRow="0" w:firstColumn="0" w:lastColumn="0" w:oddVBand="0" w:evenVBand="0" w:oddHBand="0" w:evenHBand="1" w:firstRowFirstColumn="0" w:firstRowLastColumn="0" w:lastRowFirstColumn="0" w:lastRowLastColumn="0"/>
          <w:trHeight w:val="264"/>
          <w:jc w:val="left"/>
        </w:trPr>
        <w:tc>
          <w:tcPr>
            <w:cnfStyle w:val="001000000000" w:firstRow="0" w:lastRow="0" w:firstColumn="1" w:lastColumn="0" w:oddVBand="0" w:evenVBand="0" w:oddHBand="0" w:evenHBand="0" w:firstRowFirstColumn="0" w:firstRowLastColumn="0" w:lastRowFirstColumn="0" w:lastRowLastColumn="0"/>
            <w:tcW w:w="0" w:type="auto"/>
          </w:tcPr>
          <w:p w14:paraId="2ED756CE"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1629DF00"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5F5CC563"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On Demand DHW Control</w:t>
            </w:r>
          </w:p>
        </w:tc>
        <w:tc>
          <w:tcPr>
            <w:tcW w:w="0" w:type="auto"/>
            <w:noWrap/>
          </w:tcPr>
          <w:p w14:paraId="050D3E43"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7,022</w:t>
            </w:r>
          </w:p>
        </w:tc>
        <w:tc>
          <w:tcPr>
            <w:tcW w:w="0" w:type="auto"/>
          </w:tcPr>
          <w:p w14:paraId="681A34E7"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506C7455"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7,022</w:t>
            </w:r>
          </w:p>
        </w:tc>
        <w:tc>
          <w:tcPr>
            <w:tcW w:w="0" w:type="auto"/>
          </w:tcPr>
          <w:p w14:paraId="6BB7C8BA"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049C7E56"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7,022</w:t>
            </w:r>
          </w:p>
        </w:tc>
      </w:tr>
      <w:tr w:rsidR="003E1611" w:rsidRPr="00F81E85" w14:paraId="6FC05A2A" w14:textId="77777777" w:rsidTr="0063696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690D16FB"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363782D0"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0AA23810"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Attic Insulation</w:t>
            </w:r>
          </w:p>
        </w:tc>
        <w:tc>
          <w:tcPr>
            <w:tcW w:w="0" w:type="auto"/>
            <w:noWrap/>
          </w:tcPr>
          <w:p w14:paraId="0C4D70C4"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4,784</w:t>
            </w:r>
          </w:p>
        </w:tc>
        <w:tc>
          <w:tcPr>
            <w:tcW w:w="0" w:type="auto"/>
          </w:tcPr>
          <w:p w14:paraId="11EBD677"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1F8F3CBE"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4,784</w:t>
            </w:r>
          </w:p>
        </w:tc>
        <w:tc>
          <w:tcPr>
            <w:tcW w:w="0" w:type="auto"/>
          </w:tcPr>
          <w:p w14:paraId="551A10A0"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63FCAE87"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4,784</w:t>
            </w:r>
          </w:p>
        </w:tc>
      </w:tr>
      <w:tr w:rsidR="003E1611" w:rsidRPr="00F81E85" w14:paraId="47FB1F99" w14:textId="77777777" w:rsidTr="0063696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414FF764"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33D2942A"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308AEB1F"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Showerhead (IU)</w:t>
            </w:r>
          </w:p>
        </w:tc>
        <w:tc>
          <w:tcPr>
            <w:tcW w:w="0" w:type="auto"/>
            <w:noWrap/>
          </w:tcPr>
          <w:p w14:paraId="5C6AD243"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3,139</w:t>
            </w:r>
          </w:p>
        </w:tc>
        <w:tc>
          <w:tcPr>
            <w:tcW w:w="0" w:type="auto"/>
          </w:tcPr>
          <w:p w14:paraId="0911318E"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73A6C68F"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3,139</w:t>
            </w:r>
          </w:p>
        </w:tc>
        <w:tc>
          <w:tcPr>
            <w:tcW w:w="0" w:type="auto"/>
          </w:tcPr>
          <w:p w14:paraId="601C6212"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3BEB2BC6"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3,139</w:t>
            </w:r>
          </w:p>
        </w:tc>
      </w:tr>
      <w:tr w:rsidR="003E1611" w:rsidRPr="00F81E85" w14:paraId="4C8D2437" w14:textId="77777777" w:rsidTr="0063696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07F8142A"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532A5218"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199C3D76"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xml:space="preserve">Covers and Gap Sealers for Room AC </w:t>
            </w:r>
          </w:p>
        </w:tc>
        <w:tc>
          <w:tcPr>
            <w:tcW w:w="0" w:type="auto"/>
            <w:noWrap/>
          </w:tcPr>
          <w:p w14:paraId="19EE8A12"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2,816</w:t>
            </w:r>
          </w:p>
        </w:tc>
        <w:tc>
          <w:tcPr>
            <w:tcW w:w="0" w:type="auto"/>
          </w:tcPr>
          <w:p w14:paraId="6F33A2D6"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2AFAE4D4"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2,816</w:t>
            </w:r>
          </w:p>
        </w:tc>
        <w:tc>
          <w:tcPr>
            <w:tcW w:w="0" w:type="auto"/>
          </w:tcPr>
          <w:p w14:paraId="762960DE"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2C762C45"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2,816</w:t>
            </w:r>
          </w:p>
        </w:tc>
      </w:tr>
      <w:tr w:rsidR="003E1611" w:rsidRPr="00F81E85" w14:paraId="66165ACF" w14:textId="77777777" w:rsidTr="0063696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5DB320F4"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3C041BB7"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04A8049D"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Programmable Thermostat</w:t>
            </w:r>
          </w:p>
        </w:tc>
        <w:tc>
          <w:tcPr>
            <w:tcW w:w="0" w:type="auto"/>
            <w:noWrap/>
          </w:tcPr>
          <w:p w14:paraId="3CC5B94D"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2,714</w:t>
            </w:r>
          </w:p>
        </w:tc>
        <w:tc>
          <w:tcPr>
            <w:tcW w:w="0" w:type="auto"/>
          </w:tcPr>
          <w:p w14:paraId="086296A4"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4939D8FC"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2,714</w:t>
            </w:r>
          </w:p>
        </w:tc>
        <w:tc>
          <w:tcPr>
            <w:tcW w:w="0" w:type="auto"/>
          </w:tcPr>
          <w:p w14:paraId="4B46195B"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5B47A1C8"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2,714</w:t>
            </w:r>
          </w:p>
        </w:tc>
      </w:tr>
      <w:tr w:rsidR="003E1611" w:rsidRPr="00F81E85" w14:paraId="103365D4" w14:textId="77777777" w:rsidTr="0063696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02A69949"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4C533014"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2E684FB4"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Shower Timer (IU)</w:t>
            </w:r>
          </w:p>
        </w:tc>
        <w:tc>
          <w:tcPr>
            <w:tcW w:w="0" w:type="auto"/>
            <w:noWrap/>
          </w:tcPr>
          <w:p w14:paraId="72C66E1A"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2,405</w:t>
            </w:r>
          </w:p>
        </w:tc>
        <w:tc>
          <w:tcPr>
            <w:tcW w:w="0" w:type="auto"/>
          </w:tcPr>
          <w:p w14:paraId="417AC0C0"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1D414F68"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2,405</w:t>
            </w:r>
          </w:p>
        </w:tc>
        <w:tc>
          <w:tcPr>
            <w:tcW w:w="0" w:type="auto"/>
          </w:tcPr>
          <w:p w14:paraId="6D901176"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4AFABD0D"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2,405</w:t>
            </w:r>
          </w:p>
        </w:tc>
      </w:tr>
      <w:tr w:rsidR="003E1611" w:rsidRPr="00F81E85" w14:paraId="03F43FE6" w14:textId="77777777" w:rsidTr="0063696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1ED64225"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1CB44DE6"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4C1D3CD5"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Faucet Aerator - Kitchen (IU)</w:t>
            </w:r>
          </w:p>
        </w:tc>
        <w:tc>
          <w:tcPr>
            <w:tcW w:w="0" w:type="auto"/>
            <w:noWrap/>
          </w:tcPr>
          <w:p w14:paraId="18B38DC6"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1,314</w:t>
            </w:r>
          </w:p>
        </w:tc>
        <w:tc>
          <w:tcPr>
            <w:tcW w:w="0" w:type="auto"/>
          </w:tcPr>
          <w:p w14:paraId="3B52A8F7"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6D28E2DF"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1,314</w:t>
            </w:r>
          </w:p>
        </w:tc>
        <w:tc>
          <w:tcPr>
            <w:tcW w:w="0" w:type="auto"/>
          </w:tcPr>
          <w:p w14:paraId="5494685E"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5C74B297"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1,314</w:t>
            </w:r>
          </w:p>
        </w:tc>
      </w:tr>
      <w:tr w:rsidR="003E1611" w:rsidRPr="00F81E85" w14:paraId="25EEE02A" w14:textId="77777777" w:rsidTr="0063696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4C440364"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6842ECF1"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6A88BCAE"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Boiler Tune Up</w:t>
            </w:r>
          </w:p>
        </w:tc>
        <w:tc>
          <w:tcPr>
            <w:tcW w:w="0" w:type="auto"/>
            <w:noWrap/>
          </w:tcPr>
          <w:p w14:paraId="1ABB44F7"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563</w:t>
            </w:r>
          </w:p>
        </w:tc>
        <w:tc>
          <w:tcPr>
            <w:tcW w:w="0" w:type="auto"/>
          </w:tcPr>
          <w:p w14:paraId="1D5184D6"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5B61B5B2"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563</w:t>
            </w:r>
          </w:p>
        </w:tc>
        <w:tc>
          <w:tcPr>
            <w:tcW w:w="0" w:type="auto"/>
          </w:tcPr>
          <w:p w14:paraId="4E845118"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4527E0FB"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563</w:t>
            </w:r>
          </w:p>
        </w:tc>
      </w:tr>
      <w:tr w:rsidR="003E1611" w:rsidRPr="00F81E85" w14:paraId="71EA549A" w14:textId="77777777" w:rsidTr="0063696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581A8313"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0C234540"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40245775"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Faucet Aerator - Bathroom (IU)</w:t>
            </w:r>
          </w:p>
        </w:tc>
        <w:tc>
          <w:tcPr>
            <w:tcW w:w="0" w:type="auto"/>
            <w:noWrap/>
          </w:tcPr>
          <w:p w14:paraId="4D3BE79D"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561</w:t>
            </w:r>
          </w:p>
        </w:tc>
        <w:tc>
          <w:tcPr>
            <w:tcW w:w="0" w:type="auto"/>
          </w:tcPr>
          <w:p w14:paraId="0E315026"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14DC7AAE"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561</w:t>
            </w:r>
          </w:p>
        </w:tc>
        <w:tc>
          <w:tcPr>
            <w:tcW w:w="0" w:type="auto"/>
          </w:tcPr>
          <w:p w14:paraId="695B1384"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66089288"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561</w:t>
            </w:r>
          </w:p>
        </w:tc>
      </w:tr>
      <w:tr w:rsidR="003E1611" w:rsidRPr="00F81E85" w14:paraId="57B9E686" w14:textId="77777777" w:rsidTr="0063696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45BC990C"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6F4839FF"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40E5E745" w14:textId="77777777" w:rsidR="003E1611" w:rsidRPr="00F81E85" w:rsidRDefault="003E1611"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DHW Tune Up</w:t>
            </w:r>
          </w:p>
        </w:tc>
        <w:tc>
          <w:tcPr>
            <w:tcW w:w="0" w:type="auto"/>
            <w:noWrap/>
          </w:tcPr>
          <w:p w14:paraId="4EE610D1"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400</w:t>
            </w:r>
          </w:p>
        </w:tc>
        <w:tc>
          <w:tcPr>
            <w:tcW w:w="0" w:type="auto"/>
          </w:tcPr>
          <w:p w14:paraId="6B1FF817"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447D8636"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400</w:t>
            </w:r>
          </w:p>
        </w:tc>
        <w:tc>
          <w:tcPr>
            <w:tcW w:w="0" w:type="auto"/>
          </w:tcPr>
          <w:p w14:paraId="1E92A933"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7B71CC5C"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400</w:t>
            </w:r>
          </w:p>
        </w:tc>
      </w:tr>
      <w:tr w:rsidR="003E1611" w:rsidRPr="00F81E85" w14:paraId="60C4EF4D" w14:textId="77777777" w:rsidTr="0063696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11CD7B53" w14:textId="77777777"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w:t>
            </w:r>
          </w:p>
        </w:tc>
        <w:tc>
          <w:tcPr>
            <w:tcW w:w="0" w:type="auto"/>
          </w:tcPr>
          <w:p w14:paraId="1300CE0F"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 </w:t>
            </w:r>
          </w:p>
        </w:tc>
        <w:tc>
          <w:tcPr>
            <w:tcW w:w="0" w:type="auto"/>
            <w:noWrap/>
          </w:tcPr>
          <w:p w14:paraId="20EDE40D" w14:textId="77777777" w:rsidR="003E1611" w:rsidRPr="00F81E85" w:rsidRDefault="003E1611"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Pipe Insulation</w:t>
            </w:r>
          </w:p>
        </w:tc>
        <w:tc>
          <w:tcPr>
            <w:tcW w:w="0" w:type="auto"/>
            <w:noWrap/>
          </w:tcPr>
          <w:p w14:paraId="61528EF4"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153</w:t>
            </w:r>
          </w:p>
        </w:tc>
        <w:tc>
          <w:tcPr>
            <w:tcW w:w="0" w:type="auto"/>
          </w:tcPr>
          <w:p w14:paraId="37430460"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210BB9A2"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153</w:t>
            </w:r>
          </w:p>
        </w:tc>
        <w:tc>
          <w:tcPr>
            <w:tcW w:w="0" w:type="auto"/>
          </w:tcPr>
          <w:p w14:paraId="59DD3EC3"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1.00</w:t>
            </w:r>
          </w:p>
        </w:tc>
        <w:tc>
          <w:tcPr>
            <w:tcW w:w="0" w:type="auto"/>
          </w:tcPr>
          <w:p w14:paraId="17BDA08D" w14:textId="77777777" w:rsidR="003E1611" w:rsidRPr="00F81E85" w:rsidRDefault="003E1611" w:rsidP="00674E3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81E85">
              <w:rPr>
                <w:rFonts w:ascii="Arial Narrow" w:hAnsi="Arial Narrow" w:cs="Calibri"/>
                <w:color w:val="000000"/>
                <w:sz w:val="20"/>
                <w:szCs w:val="20"/>
              </w:rPr>
              <w:t>153</w:t>
            </w:r>
          </w:p>
        </w:tc>
      </w:tr>
      <w:tr w:rsidR="003E1611" w:rsidRPr="00F81E85" w14:paraId="0053B226" w14:textId="77777777" w:rsidTr="0063696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gridSpan w:val="3"/>
          </w:tcPr>
          <w:p w14:paraId="7E1D5202" w14:textId="1C55DAE6" w:rsidR="003E1611" w:rsidRPr="00F81E85" w:rsidRDefault="003E1611" w:rsidP="00674E3D">
            <w:pPr>
              <w:keepNext/>
              <w:keepLines/>
              <w:spacing w:before="0" w:after="0"/>
              <w:jc w:val="left"/>
              <w:rPr>
                <w:rFonts w:ascii="Arial Narrow" w:hAnsi="Arial Narrow"/>
                <w:sz w:val="20"/>
                <w:szCs w:val="20"/>
              </w:rPr>
            </w:pPr>
            <w:r w:rsidRPr="00F81E85">
              <w:rPr>
                <w:rFonts w:ascii="Arial Narrow" w:hAnsi="Arial Narrow" w:cs="Calibri"/>
                <w:b/>
                <w:bCs/>
                <w:color w:val="000000"/>
                <w:sz w:val="20"/>
                <w:szCs w:val="20"/>
              </w:rPr>
              <w:t xml:space="preserve">Total </w:t>
            </w:r>
          </w:p>
        </w:tc>
        <w:tc>
          <w:tcPr>
            <w:tcW w:w="0" w:type="auto"/>
            <w:noWrap/>
          </w:tcPr>
          <w:p w14:paraId="45E00C4A"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b/>
                <w:bCs/>
                <w:color w:val="000000"/>
                <w:sz w:val="20"/>
                <w:szCs w:val="20"/>
              </w:rPr>
              <w:t>82,212</w:t>
            </w:r>
          </w:p>
        </w:tc>
        <w:tc>
          <w:tcPr>
            <w:tcW w:w="0" w:type="auto"/>
          </w:tcPr>
          <w:p w14:paraId="3F444C93" w14:textId="77777777" w:rsidR="003E1611" w:rsidRPr="00B33C01"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33C01">
              <w:rPr>
                <w:rFonts w:ascii="Arial Narrow" w:hAnsi="Arial Narrow" w:cs="Calibri"/>
                <w:b/>
                <w:bCs/>
                <w:color w:val="000000"/>
                <w:sz w:val="20"/>
                <w:szCs w:val="20"/>
              </w:rPr>
              <w:t>100%</w:t>
            </w:r>
          </w:p>
        </w:tc>
        <w:tc>
          <w:tcPr>
            <w:tcW w:w="0" w:type="auto"/>
          </w:tcPr>
          <w:p w14:paraId="3A3A6723"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b/>
                <w:bCs/>
                <w:color w:val="000000"/>
                <w:sz w:val="20"/>
                <w:szCs w:val="20"/>
              </w:rPr>
              <w:t>82,211</w:t>
            </w:r>
          </w:p>
        </w:tc>
        <w:tc>
          <w:tcPr>
            <w:tcW w:w="0" w:type="auto"/>
          </w:tcPr>
          <w:p w14:paraId="6D938B58" w14:textId="77777777" w:rsidR="003E1611" w:rsidRPr="00B33C01"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B33C01">
              <w:rPr>
                <w:rFonts w:ascii="Arial Narrow" w:hAnsi="Arial Narrow" w:cs="Calibri"/>
                <w:b/>
                <w:bCs/>
                <w:color w:val="000000"/>
                <w:sz w:val="20"/>
                <w:szCs w:val="20"/>
              </w:rPr>
              <w:t>1.00</w:t>
            </w:r>
          </w:p>
        </w:tc>
        <w:tc>
          <w:tcPr>
            <w:tcW w:w="0" w:type="auto"/>
          </w:tcPr>
          <w:p w14:paraId="5055A2CF" w14:textId="77777777" w:rsidR="003E1611" w:rsidRPr="00F81E85" w:rsidRDefault="003E1611" w:rsidP="00674E3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1E85">
              <w:rPr>
                <w:rFonts w:ascii="Arial Narrow" w:hAnsi="Arial Narrow" w:cs="Calibri"/>
                <w:b/>
                <w:bCs/>
                <w:color w:val="000000"/>
                <w:sz w:val="20"/>
                <w:szCs w:val="20"/>
              </w:rPr>
              <w:t>82,211</w:t>
            </w:r>
          </w:p>
        </w:tc>
      </w:tr>
    </w:tbl>
    <w:p w14:paraId="75A9783C" w14:textId="77777777" w:rsidR="00F3194B" w:rsidRDefault="00F3194B" w:rsidP="00F3194B">
      <w:pPr>
        <w:pStyle w:val="GraphFootnote"/>
        <w:keepLines/>
        <w:rPr>
          <w:szCs w:val="18"/>
        </w:rPr>
      </w:pPr>
      <w:r>
        <w:t>* Realization Rate (RR) is the ratio of verified gross savings to ex ante gross savings, based on evaluation research findings.</w:t>
      </w:r>
      <w:r>
        <w:br/>
      </w:r>
      <w:r w:rsidRPr="1B6EEEC9">
        <w:rPr>
          <w:szCs w:val="18"/>
        </w:rPr>
        <w:t xml:space="preserve">† NTG, Net to Gross is the deemed value available on the SAG website: </w:t>
      </w:r>
      <w:hyperlink r:id="rId24">
        <w:r w:rsidRPr="1B6EEEC9">
          <w:rPr>
            <w:szCs w:val="18"/>
          </w:rPr>
          <w:t>https://www.ilsag.info/evaluator-ntg-recommendations-for-2024/</w:t>
        </w:r>
      </w:hyperlink>
      <w:r w:rsidRPr="1B6EEEC9">
        <w:rPr>
          <w:szCs w:val="18"/>
        </w:rPr>
        <w:t xml:space="preserve">. </w:t>
      </w:r>
    </w:p>
    <w:p w14:paraId="0176848C" w14:textId="77777777" w:rsidR="00F3194B" w:rsidRDefault="00F3194B" w:rsidP="00F3194B">
      <w:pPr>
        <w:pStyle w:val="Source"/>
      </w:pPr>
      <w:r w:rsidRPr="00A9737A">
        <w:t>Source: Evaluation team analysis.</w:t>
      </w:r>
    </w:p>
    <w:p w14:paraId="1B209229" w14:textId="77777777" w:rsidR="00674E3D" w:rsidRDefault="00674E3D" w:rsidP="00674E3D"/>
    <w:p w14:paraId="2D33C468" w14:textId="77777777" w:rsidR="00F20206" w:rsidRPr="0096076F" w:rsidRDefault="00F20206" w:rsidP="0096076F">
      <w:pPr>
        <w:pStyle w:val="Heading2"/>
      </w:pPr>
      <w:bookmarkStart w:id="68" w:name="_Toc193349168"/>
      <w:bookmarkStart w:id="69" w:name="_Toc193349916"/>
      <w:r w:rsidRPr="0096076F">
        <w:t>Impact Analysis Findings and Recommendations</w:t>
      </w:r>
      <w:bookmarkEnd w:id="52"/>
      <w:bookmarkEnd w:id="53"/>
      <w:bookmarkEnd w:id="54"/>
      <w:bookmarkEnd w:id="55"/>
      <w:bookmarkEnd w:id="68"/>
      <w:bookmarkEnd w:id="69"/>
    </w:p>
    <w:p w14:paraId="03A52A6C" w14:textId="77777777" w:rsidR="00E93A62" w:rsidRPr="0096076F" w:rsidRDefault="00E93A62" w:rsidP="0096076F">
      <w:pPr>
        <w:pStyle w:val="Heading3"/>
      </w:pPr>
      <w:bookmarkStart w:id="70" w:name="_Toc501649913"/>
      <w:bookmarkStart w:id="71" w:name="_Toc61360465"/>
      <w:r w:rsidRPr="0096076F">
        <w:t>Impact Parameter Estimates</w:t>
      </w:r>
      <w:bookmarkEnd w:id="70"/>
      <w:bookmarkEnd w:id="71"/>
    </w:p>
    <w:bookmarkStart w:id="72" w:name="_Toc381633053"/>
    <w:p w14:paraId="4B6436DE" w14:textId="61B48BF6" w:rsidR="0004101C" w:rsidRDefault="00BC47E2" w:rsidP="00777696">
      <w:pPr>
        <w:keepNext/>
        <w:keepLines/>
      </w:pPr>
      <w:r>
        <w:fldChar w:fldCharType="begin"/>
      </w:r>
      <w:r>
        <w:instrText xml:space="preserve"> REF _Ref189739597 \h </w:instrText>
      </w:r>
      <w:r>
        <w:fldChar w:fldCharType="separate"/>
      </w:r>
      <w:r w:rsidR="00434B54">
        <w:t xml:space="preserve">Table </w:t>
      </w:r>
      <w:r w:rsidR="00434B54">
        <w:rPr>
          <w:noProof/>
        </w:rPr>
        <w:t>9</w:t>
      </w:r>
      <w:r>
        <w:fldChar w:fldCharType="end"/>
      </w:r>
      <w:r w:rsidR="00E93A62">
        <w:t xml:space="preserve"> </w:t>
      </w:r>
      <w:r w:rsidR="00E93A62" w:rsidRPr="007367D2">
        <w:t xml:space="preserve">shows the unit </w:t>
      </w:r>
      <w:r w:rsidR="00E93A62">
        <w:t xml:space="preserve">therm </w:t>
      </w:r>
      <w:r w:rsidR="00E93A62" w:rsidRPr="007367D2">
        <w:t xml:space="preserve">savings and realization rate </w:t>
      </w:r>
      <w:r w:rsidR="00E93A62">
        <w:t xml:space="preserve">findings </w:t>
      </w:r>
      <w:r w:rsidR="00E93A62" w:rsidRPr="007367D2">
        <w:t xml:space="preserve">by measure from our review. </w:t>
      </w:r>
      <w:r w:rsidR="00E93A62">
        <w:t>The realization rate is the ratio of the verified savings to the ex ante savings. Following the table, we provide findings and recommendations, including discussion of all measures with realization rates above or below 100</w:t>
      </w:r>
      <w:r w:rsidR="00F81E85">
        <w:t>%</w:t>
      </w:r>
      <w:r w:rsidR="00E93A62" w:rsidRPr="007367D2">
        <w:t>.</w:t>
      </w:r>
      <w:r w:rsidR="00E93A62">
        <w:t xml:space="preserve"> Appendix 1 provides a description of the i</w:t>
      </w:r>
      <w:r w:rsidR="00E93A62" w:rsidRPr="000475D3">
        <w:t xml:space="preserve">mpact </w:t>
      </w:r>
      <w:r w:rsidR="00E93A62">
        <w:t>a</w:t>
      </w:r>
      <w:r w:rsidR="00E93A62" w:rsidRPr="000475D3">
        <w:t xml:space="preserve">nalysis </w:t>
      </w:r>
      <w:r w:rsidR="00E93A62">
        <w:t>m</w:t>
      </w:r>
      <w:r w:rsidR="00E93A62" w:rsidRPr="000475D3">
        <w:t>ethodology</w:t>
      </w:r>
      <w:r w:rsidR="00E93A62">
        <w:t>.</w:t>
      </w:r>
    </w:p>
    <w:p w14:paraId="7358B6DB" w14:textId="6F1968FA" w:rsidR="00E93A62" w:rsidRPr="00E8651B" w:rsidRDefault="001C79FE" w:rsidP="004B73FE">
      <w:pPr>
        <w:pStyle w:val="Caption"/>
      </w:pPr>
      <w:bookmarkStart w:id="73" w:name="_Ref189739597"/>
      <w:bookmarkStart w:id="74" w:name="_Toc61360480"/>
      <w:bookmarkStart w:id="75" w:name="_Toc193349184"/>
      <w:bookmarkStart w:id="76" w:name="_Toc193349218"/>
      <w:bookmarkStart w:id="77" w:name="_Toc193349933"/>
      <w:bookmarkEnd w:id="72"/>
      <w:r>
        <w:t xml:space="preserve">Table </w:t>
      </w:r>
      <w:r w:rsidR="0034721B">
        <w:fldChar w:fldCharType="begin"/>
      </w:r>
      <w:r w:rsidR="0034721B">
        <w:instrText xml:space="preserve"> SEQ Table \* ARABIC </w:instrText>
      </w:r>
      <w:r w:rsidR="0034721B">
        <w:fldChar w:fldCharType="separate"/>
      </w:r>
      <w:r w:rsidR="0034721B">
        <w:rPr>
          <w:noProof/>
        </w:rPr>
        <w:t>9</w:t>
      </w:r>
      <w:r w:rsidR="0034721B">
        <w:rPr>
          <w:noProof/>
        </w:rPr>
        <w:fldChar w:fldCharType="end"/>
      </w:r>
      <w:bookmarkEnd w:id="73"/>
      <w:r w:rsidR="00E93A62">
        <w:t xml:space="preserve">. </w:t>
      </w:r>
      <w:r w:rsidR="00A22BDA">
        <w:t xml:space="preserve">2024 MFIE Program </w:t>
      </w:r>
      <w:r w:rsidR="00E93A62" w:rsidRPr="00E8651B">
        <w:t>Verified Gross Savings Parameters</w:t>
      </w:r>
      <w:bookmarkEnd w:id="74"/>
      <w:bookmarkEnd w:id="75"/>
      <w:bookmarkEnd w:id="76"/>
      <w:bookmarkEnd w:id="77"/>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1800"/>
        <w:gridCol w:w="1439"/>
        <w:gridCol w:w="1167"/>
        <w:gridCol w:w="1171"/>
        <w:gridCol w:w="1028"/>
        <w:gridCol w:w="2755"/>
      </w:tblGrid>
      <w:tr w:rsidR="00F81E85" w:rsidRPr="00E8651B" w14:paraId="27517C1C" w14:textId="77777777" w:rsidTr="00A136B5">
        <w:trPr>
          <w:cnfStyle w:val="100000000000" w:firstRow="1" w:lastRow="0" w:firstColumn="0" w:lastColumn="0" w:oddVBand="0" w:evenVBand="0" w:oddHBand="0" w:evenHBand="0" w:firstRowFirstColumn="0" w:firstRowLastColumn="0" w:lastRowFirstColumn="0" w:lastRowLastColumn="0"/>
          <w:trHeight w:val="729"/>
          <w:tblHeader/>
          <w:jc w:val="left"/>
        </w:trPr>
        <w:tc>
          <w:tcPr>
            <w:cnfStyle w:val="001000000000" w:firstRow="0" w:lastRow="0" w:firstColumn="1" w:lastColumn="0" w:oddVBand="0" w:evenVBand="0" w:oddHBand="0" w:evenHBand="0" w:firstRowFirstColumn="0" w:firstRowLastColumn="0" w:lastRowFirstColumn="0" w:lastRowLastColumn="0"/>
            <w:tcW w:w="962" w:type="pct"/>
          </w:tcPr>
          <w:p w14:paraId="2D6BDBD5" w14:textId="77777777" w:rsidR="00E93A62" w:rsidRPr="00981457" w:rsidRDefault="00E93A62" w:rsidP="00674E3D">
            <w:pPr>
              <w:keepNext/>
              <w:keepLines/>
              <w:spacing w:before="0" w:after="0"/>
              <w:jc w:val="left"/>
              <w:rPr>
                <w:rFonts w:ascii="Arial Narrow" w:hAnsi="Arial Narrow"/>
                <w:b w:val="0"/>
                <w:bCs/>
                <w:color w:val="FFFFFF"/>
                <w:sz w:val="20"/>
                <w:szCs w:val="20"/>
              </w:rPr>
            </w:pPr>
            <w:r w:rsidRPr="00981457">
              <w:rPr>
                <w:rFonts w:ascii="Arial Narrow" w:hAnsi="Arial Narrow"/>
                <w:b w:val="0"/>
                <w:bCs/>
                <w:color w:val="FFFFFF"/>
                <w:sz w:val="20"/>
                <w:szCs w:val="20"/>
              </w:rPr>
              <w:t>Measure</w:t>
            </w:r>
          </w:p>
        </w:tc>
        <w:tc>
          <w:tcPr>
            <w:tcW w:w="769" w:type="pct"/>
          </w:tcPr>
          <w:p w14:paraId="1DDD3FFD" w14:textId="77777777" w:rsidR="00E93A62" w:rsidRPr="00981457" w:rsidRDefault="00E93A62" w:rsidP="00674E3D">
            <w:pPr>
              <w:keepNext/>
              <w:keepLines/>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81457">
              <w:rPr>
                <w:rFonts w:ascii="Arial Narrow" w:hAnsi="Arial Narrow"/>
                <w:b w:val="0"/>
                <w:bCs/>
                <w:color w:val="FFFFFF"/>
                <w:sz w:val="20"/>
                <w:szCs w:val="20"/>
              </w:rPr>
              <w:t>Unit Basis</w:t>
            </w:r>
          </w:p>
        </w:tc>
        <w:tc>
          <w:tcPr>
            <w:tcW w:w="624" w:type="pct"/>
          </w:tcPr>
          <w:p w14:paraId="4BEC9CEF" w14:textId="77777777" w:rsidR="00E93A62" w:rsidRPr="00981457" w:rsidRDefault="00E93A62" w:rsidP="00A136B5">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81457">
              <w:rPr>
                <w:rFonts w:ascii="Arial Narrow" w:hAnsi="Arial Narrow"/>
                <w:b w:val="0"/>
                <w:bCs/>
                <w:color w:val="FFFFFF"/>
                <w:sz w:val="20"/>
                <w:szCs w:val="20"/>
              </w:rPr>
              <w:t>Ex Ante Gross (therms/unit)</w:t>
            </w:r>
          </w:p>
        </w:tc>
        <w:tc>
          <w:tcPr>
            <w:tcW w:w="626" w:type="pct"/>
          </w:tcPr>
          <w:p w14:paraId="4F4D565D" w14:textId="77777777" w:rsidR="00E93A62" w:rsidRPr="00981457" w:rsidRDefault="00E93A62" w:rsidP="00A136B5">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81457">
              <w:rPr>
                <w:rFonts w:ascii="Arial Narrow" w:hAnsi="Arial Narrow"/>
                <w:b w:val="0"/>
                <w:bCs/>
                <w:color w:val="FFFFFF"/>
                <w:sz w:val="20"/>
                <w:szCs w:val="20"/>
              </w:rPr>
              <w:t>Verified Gross (therms/unit)</w:t>
            </w:r>
          </w:p>
        </w:tc>
        <w:tc>
          <w:tcPr>
            <w:tcW w:w="547" w:type="pct"/>
          </w:tcPr>
          <w:p w14:paraId="64F709F2" w14:textId="77777777" w:rsidR="00E93A62" w:rsidRPr="00981457" w:rsidRDefault="00E93A62" w:rsidP="00A136B5">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81457">
              <w:rPr>
                <w:rFonts w:ascii="Arial Narrow" w:hAnsi="Arial Narrow"/>
                <w:b w:val="0"/>
                <w:bCs/>
                <w:color w:val="FFFFFF"/>
                <w:sz w:val="20"/>
                <w:szCs w:val="20"/>
              </w:rPr>
              <w:t>Realization Rate</w:t>
            </w:r>
          </w:p>
        </w:tc>
        <w:tc>
          <w:tcPr>
            <w:tcW w:w="1472" w:type="pct"/>
          </w:tcPr>
          <w:p w14:paraId="744572C9" w14:textId="77777777" w:rsidR="00E93A62" w:rsidRPr="00981457" w:rsidRDefault="00E93A62" w:rsidP="00674E3D">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81457">
              <w:rPr>
                <w:rFonts w:ascii="Arial Narrow" w:hAnsi="Arial Narrow"/>
                <w:b w:val="0"/>
                <w:bCs/>
                <w:color w:val="FFFFFF"/>
                <w:sz w:val="20"/>
                <w:szCs w:val="20"/>
              </w:rPr>
              <w:t>Data Source(s)</w:t>
            </w:r>
          </w:p>
        </w:tc>
      </w:tr>
      <w:tr w:rsidR="00D80A0A" w:rsidRPr="00E66083" w14:paraId="38037F47"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7C131802" w14:textId="58F7D868"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Advanced Thermostat</w:t>
            </w:r>
          </w:p>
        </w:tc>
        <w:tc>
          <w:tcPr>
            <w:tcW w:w="769" w:type="pct"/>
          </w:tcPr>
          <w:p w14:paraId="038CFCC4" w14:textId="37360046"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52C99E61" w14:textId="2DB545E3"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1BCDCB67" w14:textId="1E46E1BF"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4100F1EE" w14:textId="204F0C6B"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5C4E0430" w14:textId="35AE7BEF"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5.3.16 and PTD*</w:t>
            </w:r>
          </w:p>
        </w:tc>
      </w:tr>
      <w:tr w:rsidR="00F81E85" w:rsidRPr="00E66083" w14:paraId="0FA43E79"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79369876" w14:textId="68DA236C" w:rsidR="00540794" w:rsidRPr="00981457" w:rsidRDefault="00540794" w:rsidP="00674E3D">
            <w:pPr>
              <w:keepNext/>
              <w:keepLines/>
              <w:spacing w:before="0" w:after="0"/>
              <w:jc w:val="left"/>
              <w:rPr>
                <w:rFonts w:ascii="Arial Narrow" w:hAnsi="Arial Narrow"/>
                <w:color w:val="000000"/>
                <w:sz w:val="20"/>
                <w:szCs w:val="20"/>
              </w:rPr>
            </w:pPr>
            <w:r w:rsidRPr="00981457">
              <w:rPr>
                <w:rFonts w:ascii="Arial Narrow" w:hAnsi="Arial Narrow" w:cs="Calibri"/>
                <w:color w:val="000000"/>
                <w:sz w:val="20"/>
                <w:szCs w:val="20"/>
              </w:rPr>
              <w:t>Air Sealing</w:t>
            </w:r>
          </w:p>
        </w:tc>
        <w:tc>
          <w:tcPr>
            <w:tcW w:w="769" w:type="pct"/>
          </w:tcPr>
          <w:p w14:paraId="3E83E69F" w14:textId="138DC998"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Ln Ft</w:t>
            </w:r>
          </w:p>
        </w:tc>
        <w:tc>
          <w:tcPr>
            <w:tcW w:w="624" w:type="pct"/>
          </w:tcPr>
          <w:p w14:paraId="6533300F" w14:textId="417B7A26"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Varies</w:t>
            </w:r>
          </w:p>
        </w:tc>
        <w:tc>
          <w:tcPr>
            <w:tcW w:w="626" w:type="pct"/>
          </w:tcPr>
          <w:p w14:paraId="77C7A888" w14:textId="3909EAE8"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Varies</w:t>
            </w:r>
          </w:p>
        </w:tc>
        <w:tc>
          <w:tcPr>
            <w:tcW w:w="547" w:type="pct"/>
          </w:tcPr>
          <w:p w14:paraId="419957A0" w14:textId="4C859DB9"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32C37675" w14:textId="6FDDCBF0"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5.6.1 and PTD*</w:t>
            </w:r>
          </w:p>
        </w:tc>
      </w:tr>
      <w:tr w:rsidR="00D80A0A" w:rsidRPr="00E66083" w14:paraId="41BCB98C"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2AFD64E0" w14:textId="5B49EBB6" w:rsidR="00540794" w:rsidRPr="00981457" w:rsidRDefault="00540794" w:rsidP="00674E3D">
            <w:pPr>
              <w:keepNext/>
              <w:keepLines/>
              <w:spacing w:before="0" w:after="0"/>
              <w:jc w:val="left"/>
              <w:rPr>
                <w:rFonts w:ascii="Arial Narrow" w:hAnsi="Arial Narrow"/>
                <w:color w:val="000000"/>
                <w:sz w:val="20"/>
                <w:szCs w:val="20"/>
              </w:rPr>
            </w:pPr>
            <w:r w:rsidRPr="00981457">
              <w:rPr>
                <w:rFonts w:ascii="Arial Narrow" w:hAnsi="Arial Narrow" w:cs="Calibri"/>
                <w:color w:val="000000"/>
                <w:sz w:val="20"/>
                <w:szCs w:val="20"/>
              </w:rPr>
              <w:t>Attic Insulation</w:t>
            </w:r>
          </w:p>
        </w:tc>
        <w:tc>
          <w:tcPr>
            <w:tcW w:w="769" w:type="pct"/>
          </w:tcPr>
          <w:p w14:paraId="5613B2B3" w14:textId="3DE48DB8"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Sq Ft</w:t>
            </w:r>
          </w:p>
        </w:tc>
        <w:tc>
          <w:tcPr>
            <w:tcW w:w="624" w:type="pct"/>
          </w:tcPr>
          <w:p w14:paraId="4CBB6840" w14:textId="041D9534"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Varies</w:t>
            </w:r>
          </w:p>
        </w:tc>
        <w:tc>
          <w:tcPr>
            <w:tcW w:w="626" w:type="pct"/>
          </w:tcPr>
          <w:p w14:paraId="4C9B3651" w14:textId="7DF198B2"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Varies</w:t>
            </w:r>
          </w:p>
        </w:tc>
        <w:tc>
          <w:tcPr>
            <w:tcW w:w="547" w:type="pct"/>
          </w:tcPr>
          <w:p w14:paraId="797F9DCF" w14:textId="387BD655"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2FD60CFB" w14:textId="46FB00F4"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5.6.5 and PTD*</w:t>
            </w:r>
          </w:p>
        </w:tc>
      </w:tr>
      <w:tr w:rsidR="00F81E85" w:rsidRPr="00E66083" w14:paraId="333D3DDE"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00270AD4" w14:textId="2D5BC643"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Boiler Reset Controls</w:t>
            </w:r>
          </w:p>
        </w:tc>
        <w:tc>
          <w:tcPr>
            <w:tcW w:w="769" w:type="pct"/>
          </w:tcPr>
          <w:p w14:paraId="74D707C2" w14:textId="34D1C67E"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785185C6" w14:textId="6EB8AB8F"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6A860586" w14:textId="3D9A7A58"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328EC49D" w14:textId="6A54634C"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100%</w:t>
            </w:r>
          </w:p>
        </w:tc>
        <w:tc>
          <w:tcPr>
            <w:tcW w:w="1472" w:type="pct"/>
          </w:tcPr>
          <w:p w14:paraId="2A199A32" w14:textId="5A6EF30A"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4.4.4 and PTD*</w:t>
            </w:r>
          </w:p>
        </w:tc>
      </w:tr>
      <w:tr w:rsidR="00D80A0A" w:rsidRPr="00E66083" w14:paraId="216220F3"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4F7B2EFC" w14:textId="37CAD278"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Boiler Tune Up</w:t>
            </w:r>
          </w:p>
        </w:tc>
        <w:tc>
          <w:tcPr>
            <w:tcW w:w="769" w:type="pct"/>
          </w:tcPr>
          <w:p w14:paraId="43C6625F" w14:textId="7AF912EB"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2CB8B4C6" w14:textId="4057AC98"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44FBD6BD" w14:textId="7E851A5B"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0C69DD17" w14:textId="53511EC7"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100%</w:t>
            </w:r>
          </w:p>
        </w:tc>
        <w:tc>
          <w:tcPr>
            <w:tcW w:w="1472" w:type="pct"/>
          </w:tcPr>
          <w:p w14:paraId="54537952" w14:textId="472BFDD8"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4.4.2 and PTD*</w:t>
            </w:r>
          </w:p>
        </w:tc>
      </w:tr>
      <w:tr w:rsidR="00F81E85" w:rsidRPr="00E66083" w14:paraId="01E1DC15"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4C96BBCE" w14:textId="7E21FD55"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Central Water Heater</w:t>
            </w:r>
          </w:p>
        </w:tc>
        <w:tc>
          <w:tcPr>
            <w:tcW w:w="769" w:type="pct"/>
          </w:tcPr>
          <w:p w14:paraId="4DAFAA26" w14:textId="79009B70"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671F4540" w14:textId="275817BE"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9.49</w:t>
            </w:r>
          </w:p>
        </w:tc>
        <w:tc>
          <w:tcPr>
            <w:tcW w:w="626" w:type="pct"/>
          </w:tcPr>
          <w:p w14:paraId="35B09319" w14:textId="799397D5"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9.49</w:t>
            </w:r>
          </w:p>
        </w:tc>
        <w:tc>
          <w:tcPr>
            <w:tcW w:w="547" w:type="pct"/>
          </w:tcPr>
          <w:p w14:paraId="520800AB" w14:textId="2E34AEFB"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100%</w:t>
            </w:r>
          </w:p>
        </w:tc>
        <w:tc>
          <w:tcPr>
            <w:tcW w:w="1472" w:type="pct"/>
          </w:tcPr>
          <w:p w14:paraId="180E911E" w14:textId="51E605D1"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4.3.7 and PTD*</w:t>
            </w:r>
          </w:p>
        </w:tc>
      </w:tr>
      <w:tr w:rsidR="00D80A0A" w:rsidRPr="00E66083" w14:paraId="5196ADF2"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50C4BD3D" w14:textId="75672D4D"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lastRenderedPageBreak/>
              <w:t>Covers and Gap Sealers for Room AC  - NSG MFIE</w:t>
            </w:r>
          </w:p>
        </w:tc>
        <w:tc>
          <w:tcPr>
            <w:tcW w:w="769" w:type="pct"/>
          </w:tcPr>
          <w:p w14:paraId="269C9C10" w14:textId="1241D4A4"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611BE68E" w14:textId="02876030"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0668C023" w14:textId="1E81C54A"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7B9FBD6D" w14:textId="737A7608"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3A330013" w14:textId="61A0CB5C"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4.4.38 and PTD*</w:t>
            </w:r>
          </w:p>
        </w:tc>
      </w:tr>
      <w:tr w:rsidR="00F81E85" w:rsidRPr="00E66083" w14:paraId="01D1D0EB"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28C595A1" w14:textId="295AED8F"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Covers and Gap Sealers for Room AC - PSG MFIE</w:t>
            </w:r>
          </w:p>
        </w:tc>
        <w:tc>
          <w:tcPr>
            <w:tcW w:w="769" w:type="pct"/>
          </w:tcPr>
          <w:p w14:paraId="3F0A18EE" w14:textId="205848E3"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16B3B54" w14:textId="75F1004E"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09CFC954" w14:textId="39A5BA5B"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036B5DC2" w14:textId="25EAFF04"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105%</w:t>
            </w:r>
          </w:p>
        </w:tc>
        <w:tc>
          <w:tcPr>
            <w:tcW w:w="1472" w:type="pct"/>
          </w:tcPr>
          <w:p w14:paraId="48F889F8" w14:textId="3A31402F"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4.4.38 and PTD*</w:t>
            </w:r>
          </w:p>
        </w:tc>
      </w:tr>
      <w:tr w:rsidR="00D80A0A" w:rsidRPr="00E66083" w14:paraId="07919450"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69486CAF" w14:textId="6EAD5CA3"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Crawl Space Ceiling Insulation</w:t>
            </w:r>
          </w:p>
        </w:tc>
        <w:tc>
          <w:tcPr>
            <w:tcW w:w="769" w:type="pct"/>
          </w:tcPr>
          <w:p w14:paraId="1A7E60F4" w14:textId="0BC7CB1C"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Sq Ft</w:t>
            </w:r>
          </w:p>
        </w:tc>
        <w:tc>
          <w:tcPr>
            <w:tcW w:w="624" w:type="pct"/>
          </w:tcPr>
          <w:p w14:paraId="7D5A1FEB" w14:textId="0AC7A83F"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05876BD1" w14:textId="288E3FC5"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373FE4B4" w14:textId="74313BF5"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29359493" w14:textId="307DCA14"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5.6.3 and PTD*</w:t>
            </w:r>
          </w:p>
        </w:tc>
      </w:tr>
      <w:tr w:rsidR="00F81E85" w:rsidRPr="00E66083" w14:paraId="2C3DC656"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76F36A6B" w14:textId="7678E5EE"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Custom - Attic Insulation</w:t>
            </w:r>
          </w:p>
        </w:tc>
        <w:tc>
          <w:tcPr>
            <w:tcW w:w="769" w:type="pct"/>
          </w:tcPr>
          <w:p w14:paraId="73469543" w14:textId="1719D632"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75D9180F" w14:textId="553B0405"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973</w:t>
            </w:r>
          </w:p>
        </w:tc>
        <w:tc>
          <w:tcPr>
            <w:tcW w:w="626" w:type="pct"/>
          </w:tcPr>
          <w:p w14:paraId="247CE6DF" w14:textId="54161513"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973</w:t>
            </w:r>
          </w:p>
        </w:tc>
        <w:tc>
          <w:tcPr>
            <w:tcW w:w="547" w:type="pct"/>
          </w:tcPr>
          <w:p w14:paraId="66B1B062" w14:textId="6E334AE6"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49C8825B" w14:textId="40CD40F5"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Project File Review‡</w:t>
            </w:r>
          </w:p>
        </w:tc>
      </w:tr>
      <w:tr w:rsidR="00D80A0A" w:rsidRPr="00E66083" w14:paraId="360E4E6F"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58EE8C96" w14:textId="1D41C3F5"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Custom - Thermostatic Radiator Valve</w:t>
            </w:r>
          </w:p>
        </w:tc>
        <w:tc>
          <w:tcPr>
            <w:tcW w:w="769" w:type="pct"/>
          </w:tcPr>
          <w:p w14:paraId="52942AF0" w14:textId="7F075662"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194007DD" w14:textId="5789D946"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2,853</w:t>
            </w:r>
          </w:p>
        </w:tc>
        <w:tc>
          <w:tcPr>
            <w:tcW w:w="626" w:type="pct"/>
          </w:tcPr>
          <w:p w14:paraId="487A787C" w14:textId="5E612D04"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2,853</w:t>
            </w:r>
          </w:p>
        </w:tc>
        <w:tc>
          <w:tcPr>
            <w:tcW w:w="547" w:type="pct"/>
          </w:tcPr>
          <w:p w14:paraId="1D6D06AA" w14:textId="5108E372"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7AA56485" w14:textId="5D0A62F4"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Project File Review‡</w:t>
            </w:r>
          </w:p>
        </w:tc>
      </w:tr>
      <w:tr w:rsidR="00F81E85" w:rsidRPr="00E66083" w14:paraId="55C1D082"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5DE3C593" w14:textId="728322F9"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Custom - Water Heater</w:t>
            </w:r>
          </w:p>
        </w:tc>
        <w:tc>
          <w:tcPr>
            <w:tcW w:w="769" w:type="pct"/>
          </w:tcPr>
          <w:p w14:paraId="061F7CA9" w14:textId="2BE19FB9"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0FE1439" w14:textId="09B93A07"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1,574</w:t>
            </w:r>
          </w:p>
        </w:tc>
        <w:tc>
          <w:tcPr>
            <w:tcW w:w="626" w:type="pct"/>
          </w:tcPr>
          <w:p w14:paraId="2E5A845B" w14:textId="21F3CC67"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1,574</w:t>
            </w:r>
          </w:p>
        </w:tc>
        <w:tc>
          <w:tcPr>
            <w:tcW w:w="547" w:type="pct"/>
          </w:tcPr>
          <w:p w14:paraId="619472FF" w14:textId="20F54531"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170C811C" w14:textId="7C6C1DFF"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Project File Review‡</w:t>
            </w:r>
          </w:p>
        </w:tc>
      </w:tr>
      <w:tr w:rsidR="00D80A0A" w:rsidRPr="00E66083" w14:paraId="553A55CC"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0768F40E" w14:textId="5AC7BE7D"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DHW Tune Up</w:t>
            </w:r>
          </w:p>
        </w:tc>
        <w:tc>
          <w:tcPr>
            <w:tcW w:w="769" w:type="pct"/>
          </w:tcPr>
          <w:p w14:paraId="606774FB" w14:textId="3BE3AF2E"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7BFFAE5A" w14:textId="28C45586"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1AD0A57D" w14:textId="0F11B90B"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51696A60" w14:textId="35F499C9"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5422C708" w14:textId="7183C5C1"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4.3.10 and PTD*</w:t>
            </w:r>
          </w:p>
        </w:tc>
      </w:tr>
      <w:tr w:rsidR="00F81E85" w:rsidRPr="00E66083" w14:paraId="2FB5C113"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39FA4F6C" w14:textId="74D7345D"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Exhaust Damper</w:t>
            </w:r>
          </w:p>
        </w:tc>
        <w:tc>
          <w:tcPr>
            <w:tcW w:w="769" w:type="pct"/>
          </w:tcPr>
          <w:p w14:paraId="52C5B3AE" w14:textId="7F00DA94"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58B0510" w14:textId="5ECE5746"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414DEB0A" w14:textId="2CF70DD8"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653EA942" w14:textId="1CDAE326"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2FF045E2" w14:textId="12D2C5C0"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4.4.23 and PTD*</w:t>
            </w:r>
          </w:p>
        </w:tc>
      </w:tr>
      <w:tr w:rsidR="00D80A0A" w:rsidRPr="00E66083" w14:paraId="62E2C72F"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6125045D" w14:textId="4CD82991"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Faucet Aerator - Bathroom (IU) - PGL MFIE</w:t>
            </w:r>
          </w:p>
        </w:tc>
        <w:tc>
          <w:tcPr>
            <w:tcW w:w="769" w:type="pct"/>
          </w:tcPr>
          <w:p w14:paraId="64255334" w14:textId="1BBF73D3"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6F5CF8E" w14:textId="1ACB1875"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1.70</w:t>
            </w:r>
          </w:p>
        </w:tc>
        <w:tc>
          <w:tcPr>
            <w:tcW w:w="626" w:type="pct"/>
          </w:tcPr>
          <w:p w14:paraId="1F283003" w14:textId="7C75F9D2"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1.69</w:t>
            </w:r>
          </w:p>
        </w:tc>
        <w:tc>
          <w:tcPr>
            <w:tcW w:w="547" w:type="pct"/>
          </w:tcPr>
          <w:p w14:paraId="63C6AA1F" w14:textId="54FDEBC4"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57794898" w14:textId="7F468206"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5.4.4 and PTD*</w:t>
            </w:r>
          </w:p>
        </w:tc>
      </w:tr>
      <w:tr w:rsidR="00F81E85" w:rsidRPr="00E66083" w14:paraId="0FDAB9C4"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3100395B" w14:textId="48388751"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Faucet Aerator - Bathroom (IU) - PGL IHWAP</w:t>
            </w:r>
          </w:p>
        </w:tc>
        <w:tc>
          <w:tcPr>
            <w:tcW w:w="769" w:type="pct"/>
          </w:tcPr>
          <w:p w14:paraId="70A52562" w14:textId="3BAC1A66"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A980BD4" w14:textId="547D8B14"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1.78</w:t>
            </w:r>
          </w:p>
        </w:tc>
        <w:tc>
          <w:tcPr>
            <w:tcW w:w="626" w:type="pct"/>
          </w:tcPr>
          <w:p w14:paraId="060A74CC" w14:textId="6F4D57CD"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1.78</w:t>
            </w:r>
          </w:p>
        </w:tc>
        <w:tc>
          <w:tcPr>
            <w:tcW w:w="547" w:type="pct"/>
          </w:tcPr>
          <w:p w14:paraId="5A2F731A" w14:textId="052E5600"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695F80BD" w14:textId="78185323"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5.4.4 and PTD*</w:t>
            </w:r>
          </w:p>
        </w:tc>
      </w:tr>
      <w:tr w:rsidR="00D80A0A" w:rsidRPr="00E66083" w14:paraId="47F5433E"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55154548" w14:textId="449A8B0F"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Faucet Aerator - Bathroom (IU) - NSG MFIE</w:t>
            </w:r>
          </w:p>
        </w:tc>
        <w:tc>
          <w:tcPr>
            <w:tcW w:w="769" w:type="pct"/>
          </w:tcPr>
          <w:p w14:paraId="2C0FB406" w14:textId="77D5900B"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717A0DFD" w14:textId="5703EEC8"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1.69</w:t>
            </w:r>
          </w:p>
        </w:tc>
        <w:tc>
          <w:tcPr>
            <w:tcW w:w="626" w:type="pct"/>
          </w:tcPr>
          <w:p w14:paraId="72778B82" w14:textId="4CEC4101"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1.69</w:t>
            </w:r>
          </w:p>
        </w:tc>
        <w:tc>
          <w:tcPr>
            <w:tcW w:w="547" w:type="pct"/>
          </w:tcPr>
          <w:p w14:paraId="6F2FE9F1" w14:textId="1E868EBE"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1C2EBC29" w14:textId="53C955AA"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5.4.4 and PTD*</w:t>
            </w:r>
          </w:p>
        </w:tc>
      </w:tr>
      <w:tr w:rsidR="00F81E85" w:rsidRPr="00E66083" w14:paraId="09463069"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27216CE7" w14:textId="5A4B89CD"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Faucet Aerator - Kitchen (IU) - PGL MFIE</w:t>
            </w:r>
          </w:p>
        </w:tc>
        <w:tc>
          <w:tcPr>
            <w:tcW w:w="769" w:type="pct"/>
          </w:tcPr>
          <w:p w14:paraId="485BA96B" w14:textId="1EF2767C"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7F7F3CFE" w14:textId="56B833EF"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2.83</w:t>
            </w:r>
          </w:p>
        </w:tc>
        <w:tc>
          <w:tcPr>
            <w:tcW w:w="626" w:type="pct"/>
          </w:tcPr>
          <w:p w14:paraId="4F53D548" w14:textId="73AD3D33"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2.82</w:t>
            </w:r>
          </w:p>
        </w:tc>
        <w:tc>
          <w:tcPr>
            <w:tcW w:w="547" w:type="pct"/>
          </w:tcPr>
          <w:p w14:paraId="5E2A127B" w14:textId="5811C483"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0F13E509" w14:textId="039D9C12"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5.4.4 and PTD*</w:t>
            </w:r>
          </w:p>
        </w:tc>
      </w:tr>
      <w:tr w:rsidR="00D80A0A" w:rsidRPr="00E66083" w14:paraId="7DA15CA6"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64BBF114" w14:textId="4A624325"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Faucet Aerator - Kitchen (IU) - PGL IHWAP</w:t>
            </w:r>
          </w:p>
        </w:tc>
        <w:tc>
          <w:tcPr>
            <w:tcW w:w="769" w:type="pct"/>
          </w:tcPr>
          <w:p w14:paraId="191C6A4E" w14:textId="36B6CF50"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7226E43C" w14:textId="1E3C06FB"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8.80</w:t>
            </w:r>
          </w:p>
        </w:tc>
        <w:tc>
          <w:tcPr>
            <w:tcW w:w="626" w:type="pct"/>
          </w:tcPr>
          <w:p w14:paraId="590ED0F3" w14:textId="7FE499A1"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8.80</w:t>
            </w:r>
          </w:p>
        </w:tc>
        <w:tc>
          <w:tcPr>
            <w:tcW w:w="547" w:type="pct"/>
          </w:tcPr>
          <w:p w14:paraId="2872DD8F" w14:textId="7FE6BC81"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59AA8446" w14:textId="523E97E6"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5.4.4 and PTD*</w:t>
            </w:r>
          </w:p>
        </w:tc>
      </w:tr>
      <w:tr w:rsidR="00F81E85" w:rsidRPr="00E66083" w14:paraId="3B854143"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326C49BC" w14:textId="4D3945B6"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Faucet Aerator - Kitchen (IU) - NSG MFIE</w:t>
            </w:r>
          </w:p>
        </w:tc>
        <w:tc>
          <w:tcPr>
            <w:tcW w:w="769" w:type="pct"/>
          </w:tcPr>
          <w:p w14:paraId="7F558DD4" w14:textId="2934462A"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102F0ABC" w14:textId="55747413"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2.82</w:t>
            </w:r>
          </w:p>
        </w:tc>
        <w:tc>
          <w:tcPr>
            <w:tcW w:w="626" w:type="pct"/>
          </w:tcPr>
          <w:p w14:paraId="77BB8691" w14:textId="6F95ED4B"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2.82</w:t>
            </w:r>
          </w:p>
        </w:tc>
        <w:tc>
          <w:tcPr>
            <w:tcW w:w="547" w:type="pct"/>
          </w:tcPr>
          <w:p w14:paraId="70265252" w14:textId="65BD41C4"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0931187E" w14:textId="71488380"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5.4.4 and PTD*</w:t>
            </w:r>
          </w:p>
        </w:tc>
      </w:tr>
      <w:tr w:rsidR="00D80A0A" w:rsidRPr="00E66083" w14:paraId="4CC06E27"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0225769E" w14:textId="5B360A37"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Furnace Filter</w:t>
            </w:r>
          </w:p>
        </w:tc>
        <w:tc>
          <w:tcPr>
            <w:tcW w:w="769" w:type="pct"/>
          </w:tcPr>
          <w:p w14:paraId="7244459D" w14:textId="4332B5C6"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402F9D69" w14:textId="0B7445F3"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10.05</w:t>
            </w:r>
          </w:p>
        </w:tc>
        <w:tc>
          <w:tcPr>
            <w:tcW w:w="626" w:type="pct"/>
          </w:tcPr>
          <w:p w14:paraId="7DB69BFC" w14:textId="06AC26AA"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10.05</w:t>
            </w:r>
          </w:p>
        </w:tc>
        <w:tc>
          <w:tcPr>
            <w:tcW w:w="547" w:type="pct"/>
          </w:tcPr>
          <w:p w14:paraId="618B0064" w14:textId="155401C1"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2C9AE142" w14:textId="73ABA3A3"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5.3.21 and PTD*</w:t>
            </w:r>
          </w:p>
        </w:tc>
      </w:tr>
      <w:tr w:rsidR="00F81E85" w:rsidRPr="00E66083" w14:paraId="5F7A75DC"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44A81489" w14:textId="2CF21779"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High Efficiency Boiler</w:t>
            </w:r>
          </w:p>
        </w:tc>
        <w:tc>
          <w:tcPr>
            <w:tcW w:w="769" w:type="pct"/>
          </w:tcPr>
          <w:p w14:paraId="7F289233" w14:textId="5ED74BCB" w:rsidR="00540794" w:rsidRPr="00981457" w:rsidRDefault="0093158E"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Pr>
                <w:rFonts w:ascii="Arial Narrow" w:hAnsi="Arial Narrow" w:cs="Calibri"/>
                <w:color w:val="000000"/>
                <w:sz w:val="20"/>
                <w:szCs w:val="20"/>
              </w:rPr>
              <w:t>MBH</w:t>
            </w:r>
          </w:p>
        </w:tc>
        <w:tc>
          <w:tcPr>
            <w:tcW w:w="624" w:type="pct"/>
          </w:tcPr>
          <w:p w14:paraId="527DA4D7" w14:textId="3A22BFC9"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39299EC1" w14:textId="62245869"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0CBC1301" w14:textId="27609E8B"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2631CC61" w14:textId="288AF63F"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4.4.10 and PTD*</w:t>
            </w:r>
          </w:p>
        </w:tc>
      </w:tr>
      <w:tr w:rsidR="00D80A0A" w:rsidRPr="00E66083" w14:paraId="2882F935"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780863D7" w14:textId="17447D93"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High Efficiency Furnace</w:t>
            </w:r>
          </w:p>
        </w:tc>
        <w:tc>
          <w:tcPr>
            <w:tcW w:w="769" w:type="pct"/>
          </w:tcPr>
          <w:p w14:paraId="74EB3706" w14:textId="39921E56"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MBH</w:t>
            </w:r>
          </w:p>
        </w:tc>
        <w:tc>
          <w:tcPr>
            <w:tcW w:w="624" w:type="pct"/>
          </w:tcPr>
          <w:p w14:paraId="7EAACE32" w14:textId="35A289FB"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79B55F74" w14:textId="379439A0"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3E1BD8C1" w14:textId="4C7387FD"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4D574871" w14:textId="37C5DB71"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4.4.11 and PTD*</w:t>
            </w:r>
          </w:p>
        </w:tc>
      </w:tr>
      <w:tr w:rsidR="00F81E85" w:rsidRPr="00E66083" w14:paraId="16D04694"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439F3E25" w14:textId="125F113B"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On Demand DHW Control</w:t>
            </w:r>
          </w:p>
        </w:tc>
        <w:tc>
          <w:tcPr>
            <w:tcW w:w="769" w:type="pct"/>
          </w:tcPr>
          <w:p w14:paraId="4F1FEDC1" w14:textId="6424CDC9"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16F0D690" w14:textId="72F7918D"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62.7</w:t>
            </w:r>
          </w:p>
        </w:tc>
        <w:tc>
          <w:tcPr>
            <w:tcW w:w="626" w:type="pct"/>
          </w:tcPr>
          <w:p w14:paraId="306416CC" w14:textId="1E97BFE4"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62.7</w:t>
            </w:r>
          </w:p>
        </w:tc>
        <w:tc>
          <w:tcPr>
            <w:tcW w:w="547" w:type="pct"/>
          </w:tcPr>
          <w:p w14:paraId="0ACB6AB4" w14:textId="3EA9566F"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38C91FA8" w14:textId="21AA63A9"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4.3.8 and PTD*</w:t>
            </w:r>
          </w:p>
        </w:tc>
      </w:tr>
      <w:tr w:rsidR="00D80A0A" w:rsidRPr="00E66083" w14:paraId="3FA614D3"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4F304760" w14:textId="36B20E49"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Pipe Insulation</w:t>
            </w:r>
          </w:p>
        </w:tc>
        <w:tc>
          <w:tcPr>
            <w:tcW w:w="769" w:type="pct"/>
          </w:tcPr>
          <w:p w14:paraId="0A2EFCC7" w14:textId="67DACB4E"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Ln Ft</w:t>
            </w:r>
          </w:p>
        </w:tc>
        <w:tc>
          <w:tcPr>
            <w:tcW w:w="624" w:type="pct"/>
          </w:tcPr>
          <w:p w14:paraId="47A41C09" w14:textId="4FB64AE6"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7DD45284" w14:textId="1F64320C"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556E9C92" w14:textId="61E0BDB0"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0F796861" w14:textId="343F9FFF"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4.4.14 and PTD*</w:t>
            </w:r>
          </w:p>
        </w:tc>
      </w:tr>
      <w:tr w:rsidR="00F81E85" w:rsidRPr="00E66083" w14:paraId="02AD43E4"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6179B658" w14:textId="182A80ED"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Programmable Thermostat</w:t>
            </w:r>
          </w:p>
        </w:tc>
        <w:tc>
          <w:tcPr>
            <w:tcW w:w="769" w:type="pct"/>
          </w:tcPr>
          <w:p w14:paraId="15554A0E" w14:textId="31A0C284"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406A6C6" w14:textId="7F530130"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0E38A970" w14:textId="2E619A54"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2EC8E74F" w14:textId="716A6726"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6C5E8F53" w14:textId="2C2431E1"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5.3.11 and PTD*</w:t>
            </w:r>
          </w:p>
        </w:tc>
      </w:tr>
      <w:tr w:rsidR="00D80A0A" w:rsidRPr="00E66083" w14:paraId="1C91BB9B"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4C12221F" w14:textId="27786E7A"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Reprogrammable Thermostat</w:t>
            </w:r>
          </w:p>
        </w:tc>
        <w:tc>
          <w:tcPr>
            <w:tcW w:w="769" w:type="pct"/>
          </w:tcPr>
          <w:p w14:paraId="6EB3E41D" w14:textId="52330C18"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643301D" w14:textId="0B63E364"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41</w:t>
            </w:r>
          </w:p>
        </w:tc>
        <w:tc>
          <w:tcPr>
            <w:tcW w:w="626" w:type="pct"/>
          </w:tcPr>
          <w:p w14:paraId="5A997A83" w14:textId="121731AC"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41</w:t>
            </w:r>
          </w:p>
        </w:tc>
        <w:tc>
          <w:tcPr>
            <w:tcW w:w="547" w:type="pct"/>
          </w:tcPr>
          <w:p w14:paraId="4CFDD359" w14:textId="1ED94BC2"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40A1DC6B" w14:textId="51D54056"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5.3.11 and PTD*</w:t>
            </w:r>
          </w:p>
        </w:tc>
      </w:tr>
      <w:tr w:rsidR="00F81E85" w:rsidRPr="00E66083" w14:paraId="6D130D17"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1DD6EEC5" w14:textId="48F55B06"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lastRenderedPageBreak/>
              <w:t>Shower Timer (IU)</w:t>
            </w:r>
          </w:p>
        </w:tc>
        <w:tc>
          <w:tcPr>
            <w:tcW w:w="769" w:type="pct"/>
          </w:tcPr>
          <w:p w14:paraId="5992BDA7" w14:textId="07B1DB63"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Each</w:t>
            </w:r>
          </w:p>
        </w:tc>
        <w:tc>
          <w:tcPr>
            <w:tcW w:w="624" w:type="pct"/>
          </w:tcPr>
          <w:p w14:paraId="6D829172" w14:textId="4D3A0F26"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3.79</w:t>
            </w:r>
          </w:p>
        </w:tc>
        <w:tc>
          <w:tcPr>
            <w:tcW w:w="626" w:type="pct"/>
          </w:tcPr>
          <w:p w14:paraId="4512C431" w14:textId="476408C2"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3.79</w:t>
            </w:r>
          </w:p>
        </w:tc>
        <w:tc>
          <w:tcPr>
            <w:tcW w:w="547" w:type="pct"/>
          </w:tcPr>
          <w:p w14:paraId="7BFD565A" w14:textId="63B0E027"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40E6B0A2" w14:textId="380F8A51"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5.4.9 and PTD*</w:t>
            </w:r>
          </w:p>
        </w:tc>
      </w:tr>
      <w:tr w:rsidR="00D80A0A" w:rsidRPr="00E66083" w14:paraId="5E03446E"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0EEA2E2F" w14:textId="354F6832"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Showerhead (IU) - PGL MFIE</w:t>
            </w:r>
          </w:p>
        </w:tc>
        <w:tc>
          <w:tcPr>
            <w:tcW w:w="769" w:type="pct"/>
          </w:tcPr>
          <w:p w14:paraId="48FA7A3F" w14:textId="425D2938"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4C308D11" w14:textId="0B032822"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12.36</w:t>
            </w:r>
          </w:p>
        </w:tc>
        <w:tc>
          <w:tcPr>
            <w:tcW w:w="626" w:type="pct"/>
          </w:tcPr>
          <w:p w14:paraId="7DA09845" w14:textId="13274B37"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12.36</w:t>
            </w:r>
          </w:p>
        </w:tc>
        <w:tc>
          <w:tcPr>
            <w:tcW w:w="547" w:type="pct"/>
          </w:tcPr>
          <w:p w14:paraId="14FE79C4" w14:textId="657D2C8F"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019220DC" w14:textId="1A3BD77C"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5.4.5 and PTD*</w:t>
            </w:r>
          </w:p>
        </w:tc>
      </w:tr>
      <w:tr w:rsidR="00F81E85" w:rsidRPr="00E66083" w14:paraId="0C2C6B81"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3E6505C1" w14:textId="7BE3776B"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Showerhead (IU) - PGL IHWAP</w:t>
            </w:r>
          </w:p>
        </w:tc>
        <w:tc>
          <w:tcPr>
            <w:tcW w:w="769" w:type="pct"/>
          </w:tcPr>
          <w:p w14:paraId="449AA198" w14:textId="60694B57"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7B360DF2" w14:textId="427C3208"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4.01</w:t>
            </w:r>
          </w:p>
        </w:tc>
        <w:tc>
          <w:tcPr>
            <w:tcW w:w="626" w:type="pct"/>
          </w:tcPr>
          <w:p w14:paraId="63C1F2ED" w14:textId="31982630"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4.01</w:t>
            </w:r>
          </w:p>
        </w:tc>
        <w:tc>
          <w:tcPr>
            <w:tcW w:w="547" w:type="pct"/>
          </w:tcPr>
          <w:p w14:paraId="22914B3C" w14:textId="34FDCBA4"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3B000E2B" w14:textId="4A0D1B8A"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5.4.5 and PTD*</w:t>
            </w:r>
          </w:p>
        </w:tc>
      </w:tr>
      <w:tr w:rsidR="00D80A0A" w:rsidRPr="00E66083" w14:paraId="76DC19C7"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1F24EC36" w14:textId="73774884"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Showerhead (IU) - NSG MFIE</w:t>
            </w:r>
          </w:p>
        </w:tc>
        <w:tc>
          <w:tcPr>
            <w:tcW w:w="769" w:type="pct"/>
          </w:tcPr>
          <w:p w14:paraId="66869DDE" w14:textId="4225ED15"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55634E13" w14:textId="440525A8"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12.36</w:t>
            </w:r>
          </w:p>
        </w:tc>
        <w:tc>
          <w:tcPr>
            <w:tcW w:w="626" w:type="pct"/>
          </w:tcPr>
          <w:p w14:paraId="5DB7157A" w14:textId="14826E82"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12.36</w:t>
            </w:r>
          </w:p>
        </w:tc>
        <w:tc>
          <w:tcPr>
            <w:tcW w:w="547" w:type="pct"/>
          </w:tcPr>
          <w:p w14:paraId="53BFDCB6" w14:textId="6AD627D9"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02830178" w14:textId="696C400E"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5.4.5 and PTD*</w:t>
            </w:r>
          </w:p>
        </w:tc>
      </w:tr>
      <w:tr w:rsidR="00F81E85" w:rsidRPr="00E66083" w14:paraId="6E2E6974"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74D5E88B" w14:textId="4EE9A19C"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Steam Pipe Averaging Controls</w:t>
            </w:r>
          </w:p>
        </w:tc>
        <w:tc>
          <w:tcPr>
            <w:tcW w:w="769" w:type="pct"/>
          </w:tcPr>
          <w:p w14:paraId="4D471A00" w14:textId="73E9BBA1"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3BBD556E" w14:textId="68D00726"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69833839" w14:textId="0FAF19CB"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6A10C5AF" w14:textId="4B7D442E"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207CC8C1" w14:textId="1ACDE87E"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4.4.36 and PTD*</w:t>
            </w:r>
          </w:p>
        </w:tc>
      </w:tr>
      <w:tr w:rsidR="00D80A0A" w:rsidRPr="00E66083" w14:paraId="3ECD7CD9"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05908313" w14:textId="5ECDBD56"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Steam Traps</w:t>
            </w:r>
          </w:p>
        </w:tc>
        <w:tc>
          <w:tcPr>
            <w:tcW w:w="769" w:type="pct"/>
          </w:tcPr>
          <w:p w14:paraId="1401342A" w14:textId="15E583E8"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0D3AF4F2" w14:textId="210211D5"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29D3988B" w14:textId="6772D4D8"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358FE1EA" w14:textId="3B5C52B6"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6BDAAA8B" w14:textId="51668678"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4.4.16 and PTD*</w:t>
            </w:r>
          </w:p>
        </w:tc>
      </w:tr>
      <w:tr w:rsidR="00F81E85" w:rsidRPr="00E66083" w14:paraId="5219EBAA" w14:textId="77777777" w:rsidTr="00A136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6C3B6F77" w14:textId="5FF4E735"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Tankless Water Heater</w:t>
            </w:r>
          </w:p>
        </w:tc>
        <w:tc>
          <w:tcPr>
            <w:tcW w:w="769" w:type="pct"/>
          </w:tcPr>
          <w:p w14:paraId="3F3011E1" w14:textId="5156CDC5" w:rsidR="00540794" w:rsidRPr="00981457" w:rsidRDefault="00540794" w:rsidP="00674E3D">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Unit</w:t>
            </w:r>
          </w:p>
        </w:tc>
        <w:tc>
          <w:tcPr>
            <w:tcW w:w="624" w:type="pct"/>
          </w:tcPr>
          <w:p w14:paraId="322AC313" w14:textId="0A20DF87"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42</w:t>
            </w:r>
          </w:p>
        </w:tc>
        <w:tc>
          <w:tcPr>
            <w:tcW w:w="626" w:type="pct"/>
          </w:tcPr>
          <w:p w14:paraId="2D8A7DAE" w14:textId="2A2BF32B"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42</w:t>
            </w:r>
          </w:p>
        </w:tc>
        <w:tc>
          <w:tcPr>
            <w:tcW w:w="547" w:type="pct"/>
          </w:tcPr>
          <w:p w14:paraId="35044485" w14:textId="731C8A24" w:rsidR="00540794" w:rsidRPr="00981457" w:rsidRDefault="00540794" w:rsidP="00A136B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7FC560A7" w14:textId="1CC0D1FB" w:rsidR="00540794" w:rsidRPr="00981457" w:rsidRDefault="00540794" w:rsidP="00674E3D">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4.3.1 and PTD*</w:t>
            </w:r>
          </w:p>
        </w:tc>
      </w:tr>
      <w:tr w:rsidR="00D80A0A" w:rsidRPr="00E66083" w14:paraId="79D1C9CD" w14:textId="77777777" w:rsidTr="00A136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962" w:type="pct"/>
          </w:tcPr>
          <w:p w14:paraId="4772C27B" w14:textId="12E6BFBD" w:rsidR="00540794" w:rsidRPr="00981457" w:rsidRDefault="00540794" w:rsidP="00674E3D">
            <w:pPr>
              <w:keepNext/>
              <w:keepLines/>
              <w:spacing w:before="0" w:after="0"/>
              <w:jc w:val="left"/>
              <w:rPr>
                <w:rFonts w:ascii="Arial Narrow" w:hAnsi="Arial Narrow"/>
                <w:sz w:val="20"/>
                <w:szCs w:val="20"/>
              </w:rPr>
            </w:pPr>
            <w:r w:rsidRPr="00981457">
              <w:rPr>
                <w:rFonts w:ascii="Arial Narrow" w:hAnsi="Arial Narrow" w:cs="Calibri"/>
                <w:color w:val="000000"/>
                <w:sz w:val="20"/>
                <w:szCs w:val="20"/>
              </w:rPr>
              <w:t>Wall Insulation</w:t>
            </w:r>
          </w:p>
        </w:tc>
        <w:tc>
          <w:tcPr>
            <w:tcW w:w="769" w:type="pct"/>
          </w:tcPr>
          <w:p w14:paraId="189BCDD7" w14:textId="39566145" w:rsidR="00540794" w:rsidRPr="00981457" w:rsidRDefault="00540794" w:rsidP="00674E3D">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Sq Ft</w:t>
            </w:r>
          </w:p>
        </w:tc>
        <w:tc>
          <w:tcPr>
            <w:tcW w:w="624" w:type="pct"/>
          </w:tcPr>
          <w:p w14:paraId="2C346CD3" w14:textId="41DE62F7"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626" w:type="pct"/>
          </w:tcPr>
          <w:p w14:paraId="723FAB92" w14:textId="0B8781D7"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81457">
              <w:rPr>
                <w:rFonts w:ascii="Arial Narrow" w:hAnsi="Arial Narrow" w:cs="Calibri"/>
                <w:color w:val="000000"/>
                <w:sz w:val="20"/>
                <w:szCs w:val="20"/>
              </w:rPr>
              <w:t>Varies</w:t>
            </w:r>
          </w:p>
        </w:tc>
        <w:tc>
          <w:tcPr>
            <w:tcW w:w="547" w:type="pct"/>
          </w:tcPr>
          <w:p w14:paraId="0FA606D7" w14:textId="688CBBFE" w:rsidR="00540794" w:rsidRPr="00981457" w:rsidRDefault="00540794" w:rsidP="00A136B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100%</w:t>
            </w:r>
          </w:p>
        </w:tc>
        <w:tc>
          <w:tcPr>
            <w:tcW w:w="1472" w:type="pct"/>
          </w:tcPr>
          <w:p w14:paraId="6F6110E3" w14:textId="558799D1" w:rsidR="00540794" w:rsidRPr="00981457" w:rsidRDefault="00540794" w:rsidP="00674E3D">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81457">
              <w:rPr>
                <w:rFonts w:ascii="Arial Narrow" w:hAnsi="Arial Narrow" w:cs="Calibri"/>
                <w:color w:val="000000"/>
                <w:sz w:val="20"/>
                <w:szCs w:val="20"/>
              </w:rPr>
              <w:t>Illinois</w:t>
            </w:r>
            <w:r w:rsidR="00434B54" w:rsidRPr="00981457">
              <w:rPr>
                <w:rFonts w:ascii="Arial Narrow" w:hAnsi="Arial Narrow" w:cs="Calibri"/>
                <w:color w:val="000000"/>
                <w:sz w:val="20"/>
                <w:szCs w:val="20"/>
              </w:rPr>
              <w:t xml:space="preserve"> </w:t>
            </w:r>
            <w:r w:rsidRPr="00981457">
              <w:rPr>
                <w:rFonts w:ascii="Arial Narrow" w:hAnsi="Arial Narrow" w:cs="Calibri"/>
                <w:color w:val="000000"/>
                <w:sz w:val="20"/>
                <w:szCs w:val="20"/>
              </w:rPr>
              <w:t>TRM, v12.0†, Section 5.6.4 and PTD*</w:t>
            </w:r>
          </w:p>
        </w:tc>
      </w:tr>
    </w:tbl>
    <w:p w14:paraId="11491C56" w14:textId="1DB61D43" w:rsidR="00E93A62" w:rsidRDefault="00E93A62" w:rsidP="00D25F4E">
      <w:pPr>
        <w:pStyle w:val="GraphFootnote"/>
        <w:keepNext/>
        <w:keepLines/>
        <w:rPr>
          <w:rFonts w:ascii="Arial" w:hAnsi="Arial" w:cs="Arial"/>
          <w:szCs w:val="18"/>
        </w:rPr>
      </w:pPr>
      <w:r w:rsidRPr="00F65903">
        <w:rPr>
          <w:rFonts w:ascii="Arial" w:hAnsi="Arial" w:cs="Arial"/>
          <w:szCs w:val="18"/>
        </w:rPr>
        <w:t xml:space="preserve">* Program Tracking Data (PTD) provided by Peoples Gas and North Shore </w:t>
      </w:r>
      <w:r w:rsidR="00A901EF" w:rsidRPr="00F65903">
        <w:rPr>
          <w:rFonts w:ascii="Arial" w:hAnsi="Arial" w:cs="Arial"/>
          <w:szCs w:val="18"/>
        </w:rPr>
        <w:t>Gas;</w:t>
      </w:r>
      <w:r w:rsidRPr="00F65903">
        <w:rPr>
          <w:rFonts w:ascii="Arial" w:hAnsi="Arial" w:cs="Arial"/>
          <w:szCs w:val="18"/>
        </w:rPr>
        <w:t xml:space="preserve"> extract dated January 30, </w:t>
      </w:r>
      <w:r w:rsidR="00F65903" w:rsidRPr="00F65903">
        <w:rPr>
          <w:rFonts w:ascii="Arial" w:hAnsi="Arial" w:cs="Arial"/>
          <w:szCs w:val="18"/>
        </w:rPr>
        <w:t>202</w:t>
      </w:r>
      <w:r w:rsidR="00D90A46">
        <w:rPr>
          <w:rFonts w:ascii="Arial" w:hAnsi="Arial" w:cs="Arial"/>
          <w:szCs w:val="18"/>
        </w:rPr>
        <w:t>5</w:t>
      </w:r>
      <w:r w:rsidRPr="00F65903">
        <w:rPr>
          <w:rFonts w:ascii="Arial" w:hAnsi="Arial" w:cs="Arial"/>
          <w:szCs w:val="18"/>
        </w:rPr>
        <w:t>.</w:t>
      </w:r>
      <w:r w:rsidR="00A9737A">
        <w:rPr>
          <w:rFonts w:ascii="Arial" w:hAnsi="Arial" w:cs="Arial"/>
          <w:szCs w:val="18"/>
        </w:rPr>
        <w:br/>
      </w:r>
      <w:r w:rsidRPr="00F65903">
        <w:rPr>
          <w:rFonts w:ascii="Arial" w:hAnsi="Arial" w:cs="Arial"/>
          <w:szCs w:val="18"/>
        </w:rPr>
        <w:t xml:space="preserve">† State of Illinois Technical Reference Manual version </w:t>
      </w:r>
      <w:r w:rsidR="004D5CB9">
        <w:rPr>
          <w:rFonts w:ascii="Arial" w:hAnsi="Arial" w:cs="Arial"/>
          <w:szCs w:val="18"/>
        </w:rPr>
        <w:t>1</w:t>
      </w:r>
      <w:r w:rsidR="00D90A46">
        <w:rPr>
          <w:rFonts w:ascii="Arial" w:hAnsi="Arial" w:cs="Arial"/>
          <w:szCs w:val="18"/>
        </w:rPr>
        <w:t>2</w:t>
      </w:r>
      <w:r w:rsidRPr="00F65903">
        <w:rPr>
          <w:rFonts w:ascii="Arial" w:hAnsi="Arial" w:cs="Arial"/>
          <w:szCs w:val="18"/>
        </w:rPr>
        <w:t xml:space="preserve">.0 from </w:t>
      </w:r>
      <w:hyperlink r:id="rId25" w:history="1">
        <w:r w:rsidRPr="00F65903">
          <w:rPr>
            <w:rStyle w:val="Hyperlink"/>
            <w:rFonts w:cs="Arial"/>
            <w:szCs w:val="18"/>
          </w:rPr>
          <w:t>http://www.ilsag.info/technical-reference-manual.html</w:t>
        </w:r>
      </w:hyperlink>
      <w:r w:rsidRPr="00F65903">
        <w:rPr>
          <w:rFonts w:ascii="Arial" w:hAnsi="Arial" w:cs="Arial"/>
          <w:szCs w:val="18"/>
        </w:rPr>
        <w:t>.</w:t>
      </w:r>
    </w:p>
    <w:p w14:paraId="17778340" w14:textId="77777777" w:rsidR="008746E7" w:rsidRPr="008746E7" w:rsidRDefault="008746E7" w:rsidP="008746E7"/>
    <w:p w14:paraId="3CD0D633" w14:textId="5508BD09" w:rsidR="00E93A62" w:rsidRPr="00617F91" w:rsidRDefault="00531754" w:rsidP="0034721B">
      <w:pPr>
        <w:pStyle w:val="Heading2"/>
      </w:pPr>
      <w:bookmarkStart w:id="78" w:name="_Toc193349169"/>
      <w:bookmarkStart w:id="79" w:name="_Toc193349917"/>
      <w:r w:rsidRPr="00617F91">
        <w:t>Findings and Recommendations</w:t>
      </w:r>
      <w:bookmarkEnd w:id="78"/>
      <w:bookmarkEnd w:id="79"/>
    </w:p>
    <w:p w14:paraId="6D9C8AD2" w14:textId="359786DD" w:rsidR="00B22224" w:rsidRDefault="00B22224" w:rsidP="00B22224">
      <w:pPr>
        <w:pStyle w:val="GHBodytext"/>
      </w:pPr>
      <w:r>
        <w:t>The evaluation team developed findings and recommendations based on the 202</w:t>
      </w:r>
      <w:r w:rsidR="00777696">
        <w:t>4</w:t>
      </w:r>
      <w:r>
        <w:t xml:space="preserve"> evaluation, organized by path type in the following sections. </w:t>
      </w:r>
    </w:p>
    <w:p w14:paraId="458A6422" w14:textId="77777777" w:rsidR="008746E7" w:rsidRDefault="008746E7" w:rsidP="00B22224">
      <w:pPr>
        <w:pStyle w:val="GHBodytext"/>
      </w:pPr>
    </w:p>
    <w:p w14:paraId="627976BE" w14:textId="77672B82" w:rsidR="00531754" w:rsidRPr="00531754" w:rsidRDefault="00531754" w:rsidP="0034721B">
      <w:pPr>
        <w:pStyle w:val="Heading3"/>
      </w:pPr>
      <w:r>
        <w:t>Multi-Family Income Eligible</w:t>
      </w:r>
    </w:p>
    <w:p w14:paraId="233343EB" w14:textId="5AFBFE30" w:rsidR="006E20E4" w:rsidRPr="00915A79" w:rsidRDefault="00915A79" w:rsidP="00004838">
      <w:pPr>
        <w:spacing w:line="264" w:lineRule="auto"/>
        <w:rPr>
          <w:b/>
        </w:rPr>
      </w:pPr>
      <w:r w:rsidRPr="00915A79">
        <w:rPr>
          <w:b/>
        </w:rPr>
        <w:t>Finding 1.</w:t>
      </w:r>
      <w:r w:rsidR="00004838">
        <w:rPr>
          <w:b/>
        </w:rPr>
        <w:t xml:space="preserve"> </w:t>
      </w:r>
      <w:r w:rsidR="00AB5DF6">
        <w:rPr>
          <w:bCs/>
        </w:rPr>
        <w:t>For one instance</w:t>
      </w:r>
      <w:r w:rsidR="00F3194B">
        <w:rPr>
          <w:bCs/>
        </w:rPr>
        <w:t xml:space="preserve">, Work Order ID </w:t>
      </w:r>
      <w:r w:rsidR="00F3194B" w:rsidRPr="00672AAC">
        <w:rPr>
          <w:bCs/>
        </w:rPr>
        <w:t>WO-6452982</w:t>
      </w:r>
      <w:r w:rsidR="00F3194B">
        <w:rPr>
          <w:bCs/>
        </w:rPr>
        <w:t>, of the</w:t>
      </w:r>
      <w:r w:rsidR="000739DE">
        <w:rPr>
          <w:bCs/>
        </w:rPr>
        <w:t xml:space="preserve"> </w:t>
      </w:r>
      <w:r w:rsidR="00AB5DF6" w:rsidRPr="00004838">
        <w:rPr>
          <w:bCs/>
        </w:rPr>
        <w:t>Steam Pipe Averaging Controls</w:t>
      </w:r>
      <w:r w:rsidR="00AB5DF6">
        <w:rPr>
          <w:bCs/>
        </w:rPr>
        <w:t>, t</w:t>
      </w:r>
      <w:r w:rsidR="00F706CE">
        <w:rPr>
          <w:bCs/>
        </w:rPr>
        <w:t xml:space="preserve">he evaluation team adjusted </w:t>
      </w:r>
      <w:r w:rsidR="00F706D9">
        <w:rPr>
          <w:bCs/>
        </w:rPr>
        <w:t>the</w:t>
      </w:r>
      <w:r w:rsidR="001F72D9">
        <w:rPr>
          <w:bCs/>
        </w:rPr>
        <w:t xml:space="preserve"> ex</w:t>
      </w:r>
      <w:r w:rsidR="00447980">
        <w:rPr>
          <w:bCs/>
        </w:rPr>
        <w:t>isting</w:t>
      </w:r>
      <w:r w:rsidR="00F706D9">
        <w:rPr>
          <w:bCs/>
        </w:rPr>
        <w:t xml:space="preserve"> </w:t>
      </w:r>
      <w:r w:rsidR="00B16579">
        <w:rPr>
          <w:bCs/>
        </w:rPr>
        <w:t xml:space="preserve">boiler </w:t>
      </w:r>
      <w:r w:rsidR="00447980">
        <w:rPr>
          <w:bCs/>
        </w:rPr>
        <w:t xml:space="preserve">annual fuel utilization </w:t>
      </w:r>
      <w:r w:rsidR="00B16579">
        <w:rPr>
          <w:bCs/>
        </w:rPr>
        <w:t>efficiency</w:t>
      </w:r>
      <w:r w:rsidR="007F624D">
        <w:rPr>
          <w:bCs/>
        </w:rPr>
        <w:t xml:space="preserve"> </w:t>
      </w:r>
      <w:r w:rsidR="00FF071C">
        <w:rPr>
          <w:bCs/>
        </w:rPr>
        <w:t xml:space="preserve">(AFUE) </w:t>
      </w:r>
      <w:r w:rsidR="007F624D">
        <w:rPr>
          <w:bCs/>
        </w:rPr>
        <w:t>rating</w:t>
      </w:r>
      <w:r w:rsidR="00F706CE">
        <w:rPr>
          <w:bCs/>
        </w:rPr>
        <w:t xml:space="preserve"> </w:t>
      </w:r>
      <w:r w:rsidR="00B16579">
        <w:rPr>
          <w:bCs/>
        </w:rPr>
        <w:t>from 61.6% to 64.8%</w:t>
      </w:r>
      <w:r w:rsidR="000113F9">
        <w:rPr>
          <w:bCs/>
        </w:rPr>
        <w:t xml:space="preserve">. </w:t>
      </w:r>
      <w:r w:rsidR="00F3194B" w:rsidRPr="00004838">
        <w:rPr>
          <w:bCs/>
        </w:rPr>
        <w:t xml:space="preserve">The </w:t>
      </w:r>
      <w:r w:rsidR="00F3194B">
        <w:rPr>
          <w:bCs/>
        </w:rPr>
        <w:t xml:space="preserve">existing </w:t>
      </w:r>
      <w:r w:rsidR="00F3194B" w:rsidRPr="00004838">
        <w:rPr>
          <w:bCs/>
        </w:rPr>
        <w:t>boiler efficiency of</w:t>
      </w:r>
      <w:r w:rsidR="00F3194B">
        <w:rPr>
          <w:bCs/>
        </w:rPr>
        <w:t xml:space="preserve"> </w:t>
      </w:r>
      <w:r w:rsidR="00F3194B" w:rsidRPr="00004838">
        <w:rPr>
          <w:bCs/>
        </w:rPr>
        <w:t>61.6</w:t>
      </w:r>
      <w:r w:rsidR="00F3194B">
        <w:rPr>
          <w:bCs/>
        </w:rPr>
        <w:t xml:space="preserve"> AFUE</w:t>
      </w:r>
      <w:r w:rsidR="00F3194B" w:rsidRPr="00004838">
        <w:rPr>
          <w:bCs/>
        </w:rPr>
        <w:t xml:space="preserve">% </w:t>
      </w:r>
      <w:r w:rsidR="00F3194B">
        <w:rPr>
          <w:bCs/>
        </w:rPr>
        <w:t>applies to</w:t>
      </w:r>
      <w:r w:rsidR="00F3194B" w:rsidRPr="00004838">
        <w:rPr>
          <w:bCs/>
        </w:rPr>
        <w:t xml:space="preserve"> in-unit existing boilers</w:t>
      </w:r>
      <w:r w:rsidR="00F3194B">
        <w:rPr>
          <w:bCs/>
        </w:rPr>
        <w:t>, whereas</w:t>
      </w:r>
      <w:r w:rsidR="00F3194B" w:rsidRPr="00004838">
        <w:rPr>
          <w:bCs/>
        </w:rPr>
        <w:t xml:space="preserve"> 64.8</w:t>
      </w:r>
      <w:r w:rsidR="00F3194B">
        <w:rPr>
          <w:bCs/>
        </w:rPr>
        <w:t xml:space="preserve"> AFUE</w:t>
      </w:r>
      <w:r w:rsidR="00F3194B" w:rsidRPr="00004838">
        <w:rPr>
          <w:bCs/>
        </w:rPr>
        <w:t xml:space="preserve">% </w:t>
      </w:r>
      <w:r w:rsidR="00F3194B">
        <w:rPr>
          <w:bCs/>
        </w:rPr>
        <w:t>applies to</w:t>
      </w:r>
      <w:r w:rsidR="00F3194B" w:rsidRPr="00004838">
        <w:rPr>
          <w:bCs/>
        </w:rPr>
        <w:t xml:space="preserve"> multifamily low-pressure boilers.</w:t>
      </w:r>
      <w:r w:rsidR="00F3194B">
        <w:rPr>
          <w:bCs/>
        </w:rPr>
        <w:t xml:space="preserve"> </w:t>
      </w:r>
      <w:r w:rsidR="00004838" w:rsidRPr="00004838">
        <w:rPr>
          <w:bCs/>
        </w:rPr>
        <w:t xml:space="preserve">This </w:t>
      </w:r>
      <w:r w:rsidR="000113F9">
        <w:rPr>
          <w:bCs/>
        </w:rPr>
        <w:t>modification</w:t>
      </w:r>
      <w:r w:rsidR="00004838" w:rsidRPr="00004838">
        <w:rPr>
          <w:bCs/>
        </w:rPr>
        <w:t xml:space="preserve"> </w:t>
      </w:r>
      <w:r w:rsidR="000113F9">
        <w:rPr>
          <w:bCs/>
        </w:rPr>
        <w:t>resulted in</w:t>
      </w:r>
      <w:r w:rsidR="00004838" w:rsidRPr="00004838">
        <w:rPr>
          <w:bCs/>
        </w:rPr>
        <w:t xml:space="preserve"> a realization rate of 95% for this </w:t>
      </w:r>
      <w:r w:rsidR="00062C63">
        <w:rPr>
          <w:bCs/>
        </w:rPr>
        <w:t>instance</w:t>
      </w:r>
      <w:r w:rsidR="00004838" w:rsidRPr="00004838">
        <w:rPr>
          <w:bCs/>
        </w:rPr>
        <w:t>.</w:t>
      </w:r>
    </w:p>
    <w:p w14:paraId="149A15E2" w14:textId="10535B18" w:rsidR="006E20E4" w:rsidRPr="00D73AC9" w:rsidRDefault="006E20E4" w:rsidP="00D73AC9">
      <w:pPr>
        <w:tabs>
          <w:tab w:val="left" w:pos="720"/>
        </w:tabs>
        <w:spacing w:line="264" w:lineRule="auto"/>
        <w:ind w:left="900" w:hanging="360"/>
        <w:rPr>
          <w:b/>
          <w:bCs/>
        </w:rPr>
      </w:pPr>
      <w:r w:rsidRPr="00BB5CF7">
        <w:rPr>
          <w:b/>
        </w:rPr>
        <w:t>Recommendation</w:t>
      </w:r>
      <w:r w:rsidRPr="00BB5CF7">
        <w:rPr>
          <w:b/>
          <w:bCs/>
        </w:rPr>
        <w:t xml:space="preserve"> 1.</w:t>
      </w:r>
      <w:r>
        <w:rPr>
          <w:b/>
          <w:bCs/>
        </w:rPr>
        <w:t xml:space="preserve"> </w:t>
      </w:r>
      <w:r w:rsidR="0007702A" w:rsidRPr="000113F9">
        <w:t>Use the appropriate boiler efficiency depending on the specific use case, consistent with the Illinois Statewide Technical Reference Manual v12.0 (IL</w:t>
      </w:r>
      <w:r w:rsidR="000113F9">
        <w:t>-</w:t>
      </w:r>
      <w:r w:rsidR="0007702A" w:rsidRPr="000113F9">
        <w:t>TRM)</w:t>
      </w:r>
      <w:r w:rsidR="000113F9">
        <w:t>.</w:t>
      </w:r>
      <w:r w:rsidR="000113F9">
        <w:rPr>
          <w:rStyle w:val="FootnoteReference"/>
        </w:rPr>
        <w:footnoteReference w:id="2"/>
      </w:r>
      <w:r w:rsidR="000113F9">
        <w:t xml:space="preserve"> </w:t>
      </w:r>
    </w:p>
    <w:p w14:paraId="76463AA1" w14:textId="5B20F72E" w:rsidR="006E20E4" w:rsidRPr="00915A79" w:rsidRDefault="00915A79" w:rsidP="001359C8">
      <w:pPr>
        <w:rPr>
          <w:b/>
        </w:rPr>
      </w:pPr>
      <w:r w:rsidRPr="00915A79">
        <w:rPr>
          <w:b/>
        </w:rPr>
        <w:t>Finding 2.</w:t>
      </w:r>
      <w:r w:rsidR="001359C8">
        <w:rPr>
          <w:b/>
        </w:rPr>
        <w:t xml:space="preserve"> </w:t>
      </w:r>
      <w:r w:rsidR="001359C8" w:rsidRPr="001359C8">
        <w:rPr>
          <w:bCs/>
        </w:rPr>
        <w:t xml:space="preserve">For </w:t>
      </w:r>
      <w:r w:rsidR="004403F1">
        <w:rPr>
          <w:bCs/>
        </w:rPr>
        <w:t>425</w:t>
      </w:r>
      <w:r w:rsidR="001359C8" w:rsidRPr="001359C8">
        <w:rPr>
          <w:bCs/>
        </w:rPr>
        <w:t xml:space="preserve"> out of</w:t>
      </w:r>
      <w:r w:rsidR="00B335D7">
        <w:rPr>
          <w:bCs/>
        </w:rPr>
        <w:t xml:space="preserve"> 2,222</w:t>
      </w:r>
      <w:r w:rsidR="001359C8" w:rsidRPr="001359C8">
        <w:rPr>
          <w:bCs/>
        </w:rPr>
        <w:t xml:space="preserve"> </w:t>
      </w:r>
      <w:r w:rsidR="008B3C10">
        <w:rPr>
          <w:bCs/>
        </w:rPr>
        <w:t>units</w:t>
      </w:r>
      <w:r w:rsidR="00120F33">
        <w:rPr>
          <w:bCs/>
        </w:rPr>
        <w:t xml:space="preserve">, or three </w:t>
      </w:r>
      <w:r w:rsidR="00D33BB2">
        <w:rPr>
          <w:bCs/>
        </w:rPr>
        <w:t>W</w:t>
      </w:r>
      <w:r w:rsidR="00120F33">
        <w:rPr>
          <w:bCs/>
        </w:rPr>
        <w:t xml:space="preserve">ork </w:t>
      </w:r>
      <w:r w:rsidR="00D33BB2">
        <w:rPr>
          <w:bCs/>
        </w:rPr>
        <w:t>O</w:t>
      </w:r>
      <w:r w:rsidR="00120F33">
        <w:rPr>
          <w:bCs/>
        </w:rPr>
        <w:t>rder</w:t>
      </w:r>
      <w:r w:rsidR="00D33BB2">
        <w:rPr>
          <w:bCs/>
        </w:rPr>
        <w:t xml:space="preserve"> IDs</w:t>
      </w:r>
      <w:r w:rsidR="00F3194B">
        <w:rPr>
          <w:bCs/>
        </w:rPr>
        <w:t xml:space="preserve"> (</w:t>
      </w:r>
      <w:r w:rsidR="00F3194B" w:rsidRPr="005048E1">
        <w:rPr>
          <w:bCs/>
        </w:rPr>
        <w:t>WO-5511628</w:t>
      </w:r>
      <w:r w:rsidR="00F3194B">
        <w:rPr>
          <w:bCs/>
        </w:rPr>
        <w:t xml:space="preserve">, </w:t>
      </w:r>
      <w:r w:rsidR="00F3194B" w:rsidRPr="00D836D1">
        <w:rPr>
          <w:bCs/>
        </w:rPr>
        <w:t>WO-5213964</w:t>
      </w:r>
      <w:r w:rsidR="00F3194B">
        <w:rPr>
          <w:bCs/>
        </w:rPr>
        <w:t xml:space="preserve">, and </w:t>
      </w:r>
      <w:r w:rsidR="00F3194B" w:rsidRPr="00D836D1">
        <w:rPr>
          <w:bCs/>
        </w:rPr>
        <w:t>WO-5785719</w:t>
      </w:r>
      <w:r w:rsidR="00F3194B">
        <w:rPr>
          <w:bCs/>
        </w:rPr>
        <w:t>),</w:t>
      </w:r>
      <w:r w:rsidR="001359C8" w:rsidRPr="001359C8">
        <w:rPr>
          <w:bCs/>
        </w:rPr>
        <w:t xml:space="preserve"> </w:t>
      </w:r>
      <w:r w:rsidR="00620656">
        <w:rPr>
          <w:bCs/>
        </w:rPr>
        <w:t xml:space="preserve">for </w:t>
      </w:r>
      <w:r w:rsidR="001359C8" w:rsidRPr="001359C8">
        <w:rPr>
          <w:bCs/>
        </w:rPr>
        <w:t>the AC Cover and Gap Sealer measure</w:t>
      </w:r>
      <w:r w:rsidR="002B123D">
        <w:rPr>
          <w:bCs/>
        </w:rPr>
        <w:t>,</w:t>
      </w:r>
      <w:r w:rsidR="003F3AD0">
        <w:rPr>
          <w:bCs/>
        </w:rPr>
        <w:t xml:space="preserve"> the </w:t>
      </w:r>
      <w:r w:rsidR="0089699D">
        <w:rPr>
          <w:bCs/>
        </w:rPr>
        <w:t xml:space="preserve">ex ante </w:t>
      </w:r>
      <w:r w:rsidR="002D306B">
        <w:rPr>
          <w:bCs/>
        </w:rPr>
        <w:t>d</w:t>
      </w:r>
      <w:r w:rsidR="001359C8" w:rsidRPr="001359C8">
        <w:rPr>
          <w:bCs/>
        </w:rPr>
        <w:t xml:space="preserve">eemed </w:t>
      </w:r>
      <w:r w:rsidR="002D306B">
        <w:rPr>
          <w:bCs/>
        </w:rPr>
        <w:t>s</w:t>
      </w:r>
      <w:r w:rsidR="001359C8" w:rsidRPr="001359C8">
        <w:rPr>
          <w:bCs/>
        </w:rPr>
        <w:t>avings</w:t>
      </w:r>
      <w:r w:rsidR="002763A0">
        <w:rPr>
          <w:bCs/>
        </w:rPr>
        <w:t xml:space="preserve"> per unit</w:t>
      </w:r>
      <w:r w:rsidR="002B123D">
        <w:rPr>
          <w:bCs/>
        </w:rPr>
        <w:t xml:space="preserve"> did not align with </w:t>
      </w:r>
      <w:r w:rsidR="002B123D" w:rsidRPr="001359C8">
        <w:rPr>
          <w:bCs/>
        </w:rPr>
        <w:t>the Number of Floors</w:t>
      </w:r>
      <w:r w:rsidR="002B123D">
        <w:rPr>
          <w:bCs/>
        </w:rPr>
        <w:t xml:space="preserve"> provided in the program data</w:t>
      </w:r>
      <w:r w:rsidR="007E009C">
        <w:rPr>
          <w:bCs/>
        </w:rPr>
        <w:t>.</w:t>
      </w:r>
      <w:r w:rsidR="00DF3999">
        <w:rPr>
          <w:bCs/>
        </w:rPr>
        <w:t xml:space="preserve"> </w:t>
      </w:r>
      <w:r w:rsidR="00662F5A" w:rsidRPr="00341C0B">
        <w:rPr>
          <w:bCs/>
        </w:rPr>
        <w:t>For example, the Number of Floors for WO-5511628 is listed in the program data as 22. In this example, the ex ante savings calculation utilized 4 floors.</w:t>
      </w:r>
    </w:p>
    <w:p w14:paraId="3FD340FA" w14:textId="624EB546" w:rsidR="006E20E4" w:rsidRPr="00341C0B" w:rsidRDefault="006E20E4" w:rsidP="009E1E48">
      <w:pPr>
        <w:tabs>
          <w:tab w:val="left" w:pos="720"/>
        </w:tabs>
        <w:spacing w:line="264" w:lineRule="auto"/>
        <w:ind w:left="900" w:hanging="360"/>
        <w:rPr>
          <w:bCs/>
        </w:rPr>
      </w:pPr>
      <w:r w:rsidRPr="00BE1CA5">
        <w:rPr>
          <w:b/>
        </w:rPr>
        <w:t>Recommendation</w:t>
      </w:r>
      <w:r>
        <w:rPr>
          <w:b/>
          <w:bCs/>
        </w:rPr>
        <w:t xml:space="preserve"> 2. </w:t>
      </w:r>
      <w:r w:rsidR="009E1E48" w:rsidRPr="00341C0B">
        <w:rPr>
          <w:bCs/>
        </w:rPr>
        <w:t>Utilize the</w:t>
      </w:r>
      <w:r w:rsidR="001E3262" w:rsidRPr="00341C0B">
        <w:rPr>
          <w:bCs/>
        </w:rPr>
        <w:t xml:space="preserve"> Number of Floors </w:t>
      </w:r>
      <w:r w:rsidR="009E1E48" w:rsidRPr="00341C0B">
        <w:rPr>
          <w:bCs/>
        </w:rPr>
        <w:t>to determine</w:t>
      </w:r>
      <w:r w:rsidR="008F2791" w:rsidRPr="00341C0B">
        <w:rPr>
          <w:bCs/>
        </w:rPr>
        <w:t xml:space="preserve"> </w:t>
      </w:r>
      <w:r w:rsidR="002D306B">
        <w:rPr>
          <w:bCs/>
        </w:rPr>
        <w:t>d</w:t>
      </w:r>
      <w:r w:rsidR="00F15A20" w:rsidRPr="00341C0B">
        <w:rPr>
          <w:bCs/>
        </w:rPr>
        <w:t xml:space="preserve">eemed </w:t>
      </w:r>
      <w:r w:rsidR="002D306B">
        <w:rPr>
          <w:bCs/>
        </w:rPr>
        <w:t>s</w:t>
      </w:r>
      <w:r w:rsidR="00F15A20" w:rsidRPr="00341C0B">
        <w:rPr>
          <w:bCs/>
        </w:rPr>
        <w:t>avings</w:t>
      </w:r>
      <w:r w:rsidR="008F2791" w:rsidRPr="00341C0B">
        <w:rPr>
          <w:bCs/>
        </w:rPr>
        <w:t xml:space="preserve"> per unit.</w:t>
      </w:r>
      <w:r w:rsidR="009E1E48" w:rsidRPr="00341C0B">
        <w:rPr>
          <w:bCs/>
        </w:rPr>
        <w:t xml:space="preserve"> </w:t>
      </w:r>
      <w:r w:rsidR="0089699D">
        <w:rPr>
          <w:bCs/>
        </w:rPr>
        <w:t>T</w:t>
      </w:r>
      <w:r w:rsidR="0089699D" w:rsidRPr="00F373D3">
        <w:rPr>
          <w:bCs/>
        </w:rPr>
        <w:t>he evalua</w:t>
      </w:r>
      <w:r w:rsidR="00AC1FF2">
        <w:rPr>
          <w:bCs/>
        </w:rPr>
        <w:t>tion team</w:t>
      </w:r>
      <w:r w:rsidR="0089699D" w:rsidRPr="00F373D3">
        <w:rPr>
          <w:bCs/>
        </w:rPr>
        <w:t xml:space="preserve"> </w:t>
      </w:r>
      <w:r w:rsidR="0089699D">
        <w:rPr>
          <w:bCs/>
        </w:rPr>
        <w:t>referenced</w:t>
      </w:r>
      <w:r w:rsidR="0089699D" w:rsidRPr="00F373D3">
        <w:rPr>
          <w:bCs/>
        </w:rPr>
        <w:t xml:space="preserve"> the program data</w:t>
      </w:r>
      <w:r w:rsidR="0089699D">
        <w:rPr>
          <w:bCs/>
        </w:rPr>
        <w:t xml:space="preserve"> for the </w:t>
      </w:r>
      <w:r w:rsidR="0089699D" w:rsidRPr="00341C0B">
        <w:rPr>
          <w:bCs/>
        </w:rPr>
        <w:t xml:space="preserve">Number of Floors. </w:t>
      </w:r>
    </w:p>
    <w:p w14:paraId="7FBF1E2B" w14:textId="438F4EA0" w:rsidR="00E93A62" w:rsidRPr="00915A79" w:rsidRDefault="00915A79" w:rsidP="00E93A62">
      <w:pPr>
        <w:rPr>
          <w:b/>
        </w:rPr>
      </w:pPr>
      <w:r w:rsidRPr="00915A79">
        <w:rPr>
          <w:b/>
        </w:rPr>
        <w:lastRenderedPageBreak/>
        <w:t>Finding 3.</w:t>
      </w:r>
      <w:r w:rsidR="00071CB3">
        <w:rPr>
          <w:b/>
        </w:rPr>
        <w:t xml:space="preserve"> </w:t>
      </w:r>
      <w:r w:rsidR="00A065F8">
        <w:rPr>
          <w:bCs/>
        </w:rPr>
        <w:t>For</w:t>
      </w:r>
      <w:r w:rsidR="00A065F8" w:rsidRPr="00F537A8">
        <w:rPr>
          <w:bCs/>
        </w:rPr>
        <w:t xml:space="preserve"> </w:t>
      </w:r>
      <w:r w:rsidR="00A065F8">
        <w:rPr>
          <w:bCs/>
        </w:rPr>
        <w:t>two Work Order IDs</w:t>
      </w:r>
      <w:r w:rsidR="00F3194B">
        <w:rPr>
          <w:bCs/>
        </w:rPr>
        <w:t xml:space="preserve"> (</w:t>
      </w:r>
      <w:r w:rsidR="00F3194B" w:rsidRPr="00AD6B56">
        <w:rPr>
          <w:bCs/>
        </w:rPr>
        <w:t>WO-6098648</w:t>
      </w:r>
      <w:r w:rsidR="00F3194B">
        <w:rPr>
          <w:bCs/>
        </w:rPr>
        <w:t xml:space="preserve"> and </w:t>
      </w:r>
      <w:r w:rsidR="00F3194B" w:rsidRPr="00876B9C">
        <w:rPr>
          <w:bCs/>
        </w:rPr>
        <w:t>WO-6109718</w:t>
      </w:r>
      <w:r w:rsidR="00F3194B">
        <w:rPr>
          <w:bCs/>
        </w:rPr>
        <w:t>)</w:t>
      </w:r>
      <w:r w:rsidR="00A065F8">
        <w:rPr>
          <w:bCs/>
        </w:rPr>
        <w:t>, t</w:t>
      </w:r>
      <w:r w:rsidR="005B6485">
        <w:rPr>
          <w:bCs/>
        </w:rPr>
        <w:t xml:space="preserve">he evaluation team </w:t>
      </w:r>
      <w:r w:rsidR="00AC49FD">
        <w:rPr>
          <w:bCs/>
        </w:rPr>
        <w:t>selected</w:t>
      </w:r>
      <w:r w:rsidR="005B6485">
        <w:rPr>
          <w:bCs/>
        </w:rPr>
        <w:t xml:space="preserve"> the </w:t>
      </w:r>
      <w:r w:rsidR="00A0490B">
        <w:rPr>
          <w:bCs/>
        </w:rPr>
        <w:t>E</w:t>
      </w:r>
      <w:r w:rsidR="000B50FE">
        <w:rPr>
          <w:bCs/>
        </w:rPr>
        <w:t>quivalent</w:t>
      </w:r>
      <w:r w:rsidR="00A0490B">
        <w:rPr>
          <w:bCs/>
        </w:rPr>
        <w:t xml:space="preserve"> Full Load Hours (EFLH) </w:t>
      </w:r>
      <w:r w:rsidR="00D40CF0">
        <w:rPr>
          <w:bCs/>
        </w:rPr>
        <w:t>based on</w:t>
      </w:r>
      <w:r w:rsidR="004F4C6B">
        <w:rPr>
          <w:bCs/>
        </w:rPr>
        <w:t xml:space="preserve"> </w:t>
      </w:r>
      <w:r w:rsidR="005B6485">
        <w:rPr>
          <w:bCs/>
        </w:rPr>
        <w:t xml:space="preserve">the </w:t>
      </w:r>
      <w:r w:rsidR="004F4C6B">
        <w:rPr>
          <w:bCs/>
        </w:rPr>
        <w:t xml:space="preserve">Building Type listed in the </w:t>
      </w:r>
      <w:r w:rsidR="005B6485">
        <w:rPr>
          <w:bCs/>
        </w:rPr>
        <w:t xml:space="preserve">Work Order Measure Name. </w:t>
      </w:r>
      <w:r w:rsidR="00AC49FD">
        <w:rPr>
          <w:bCs/>
        </w:rPr>
        <w:t>In both instances, t</w:t>
      </w:r>
      <w:r w:rsidR="00AC41B9">
        <w:rPr>
          <w:bCs/>
        </w:rPr>
        <w:t xml:space="preserve">he </w:t>
      </w:r>
      <w:r w:rsidR="00690FDE">
        <w:rPr>
          <w:bCs/>
        </w:rPr>
        <w:t xml:space="preserve">ex ante savings calculation </w:t>
      </w:r>
      <w:r w:rsidR="00D40CF0">
        <w:rPr>
          <w:bCs/>
        </w:rPr>
        <w:t>utilized</w:t>
      </w:r>
      <w:r w:rsidR="00690FDE">
        <w:rPr>
          <w:bCs/>
        </w:rPr>
        <w:t xml:space="preserve"> </w:t>
      </w:r>
      <w:r w:rsidR="00D40CF0">
        <w:rPr>
          <w:bCs/>
        </w:rPr>
        <w:t xml:space="preserve">the </w:t>
      </w:r>
      <w:r w:rsidR="00AC41B9">
        <w:rPr>
          <w:bCs/>
        </w:rPr>
        <w:t xml:space="preserve">Mid Rise </w:t>
      </w:r>
      <w:r w:rsidR="00AC49FD">
        <w:rPr>
          <w:bCs/>
        </w:rPr>
        <w:t>B</w:t>
      </w:r>
      <w:r w:rsidR="00AC41B9">
        <w:rPr>
          <w:bCs/>
        </w:rPr>
        <w:t xml:space="preserve">uilding </w:t>
      </w:r>
      <w:r w:rsidR="00AC49FD">
        <w:rPr>
          <w:bCs/>
        </w:rPr>
        <w:t>T</w:t>
      </w:r>
      <w:r w:rsidR="00AC41B9">
        <w:rPr>
          <w:bCs/>
        </w:rPr>
        <w:t>ype</w:t>
      </w:r>
      <w:r w:rsidR="00B6507D">
        <w:rPr>
          <w:bCs/>
        </w:rPr>
        <w:t xml:space="preserve"> and 1,782 </w:t>
      </w:r>
      <w:r w:rsidR="000B50FE">
        <w:rPr>
          <w:bCs/>
        </w:rPr>
        <w:t>EFLH</w:t>
      </w:r>
      <w:r w:rsidR="00AC41B9">
        <w:rPr>
          <w:bCs/>
        </w:rPr>
        <w:t xml:space="preserve">. </w:t>
      </w:r>
      <w:r w:rsidR="00916D5D">
        <w:rPr>
          <w:bCs/>
        </w:rPr>
        <w:t>The evalu</w:t>
      </w:r>
      <w:r w:rsidR="00AC1FF2">
        <w:rPr>
          <w:bCs/>
        </w:rPr>
        <w:t>ation team</w:t>
      </w:r>
      <w:r w:rsidR="00916D5D">
        <w:rPr>
          <w:bCs/>
        </w:rPr>
        <w:t xml:space="preserve"> utilized </w:t>
      </w:r>
      <w:r w:rsidR="00D40CF0">
        <w:rPr>
          <w:bCs/>
        </w:rPr>
        <w:t>the</w:t>
      </w:r>
      <w:r w:rsidR="00916D5D">
        <w:rPr>
          <w:bCs/>
        </w:rPr>
        <w:t xml:space="preserve"> </w:t>
      </w:r>
      <w:r w:rsidR="00D40CF0">
        <w:rPr>
          <w:bCs/>
        </w:rPr>
        <w:t>High-Rise</w:t>
      </w:r>
      <w:r w:rsidR="00916D5D">
        <w:rPr>
          <w:bCs/>
        </w:rPr>
        <w:t xml:space="preserve"> </w:t>
      </w:r>
      <w:r w:rsidR="00B35289">
        <w:rPr>
          <w:bCs/>
        </w:rPr>
        <w:t>B</w:t>
      </w:r>
      <w:r w:rsidR="00916D5D">
        <w:rPr>
          <w:bCs/>
        </w:rPr>
        <w:t xml:space="preserve">uilding </w:t>
      </w:r>
      <w:r w:rsidR="00B35289">
        <w:rPr>
          <w:bCs/>
        </w:rPr>
        <w:t>T</w:t>
      </w:r>
      <w:r w:rsidR="00916D5D">
        <w:rPr>
          <w:bCs/>
        </w:rPr>
        <w:t xml:space="preserve">ype and 1,540 </w:t>
      </w:r>
      <w:r w:rsidR="000B50FE">
        <w:rPr>
          <w:bCs/>
        </w:rPr>
        <w:t>EFLH</w:t>
      </w:r>
      <w:r w:rsidR="00916D5D">
        <w:rPr>
          <w:bCs/>
        </w:rPr>
        <w:t>.</w:t>
      </w:r>
    </w:p>
    <w:p w14:paraId="48D81006" w14:textId="610355C7" w:rsidR="00AE43FA" w:rsidRDefault="00E93A62" w:rsidP="00AE43FA">
      <w:pPr>
        <w:tabs>
          <w:tab w:val="left" w:pos="720"/>
        </w:tabs>
        <w:spacing w:line="264" w:lineRule="auto"/>
        <w:ind w:left="900" w:hanging="360"/>
      </w:pPr>
      <w:r w:rsidRPr="00BE1CA5">
        <w:rPr>
          <w:b/>
        </w:rPr>
        <w:t>Recommendation</w:t>
      </w:r>
      <w:r>
        <w:rPr>
          <w:b/>
          <w:bCs/>
        </w:rPr>
        <w:t xml:space="preserve"> 3. </w:t>
      </w:r>
      <w:r w:rsidR="008F60E2" w:rsidRPr="008F60E2">
        <w:t>For</w:t>
      </w:r>
      <w:r w:rsidR="008F60E2">
        <w:rPr>
          <w:b/>
          <w:bCs/>
        </w:rPr>
        <w:t xml:space="preserve"> </w:t>
      </w:r>
      <w:r w:rsidR="00984D4A">
        <w:rPr>
          <w:bCs/>
        </w:rPr>
        <w:t>Multifamily Space Heating Low Pressure Steam Systems</w:t>
      </w:r>
      <w:r w:rsidR="007E335B">
        <w:rPr>
          <w:rStyle w:val="FootnoteReference"/>
          <w:bCs/>
        </w:rPr>
        <w:footnoteReference w:id="3"/>
      </w:r>
      <w:r w:rsidR="00984D4A">
        <w:rPr>
          <w:bCs/>
        </w:rPr>
        <w:t xml:space="preserve"> </w:t>
      </w:r>
      <w:r w:rsidR="008F60E2">
        <w:rPr>
          <w:bCs/>
        </w:rPr>
        <w:t xml:space="preserve">at High-Rise or Mid-Rise Multifamily buildings, </w:t>
      </w:r>
      <w:r w:rsidR="00984D4A">
        <w:t>s</w:t>
      </w:r>
      <w:r w:rsidR="00485F90">
        <w:t>elect</w:t>
      </w:r>
      <w:r w:rsidR="00FD6802" w:rsidRPr="00485F90">
        <w:t xml:space="preserve"> </w:t>
      </w:r>
      <w:r w:rsidR="00AC49FD">
        <w:t>EFLH</w:t>
      </w:r>
      <w:r w:rsidR="00485F90">
        <w:t xml:space="preserve"> based on the </w:t>
      </w:r>
      <w:r w:rsidR="005C478A">
        <w:t>B</w:t>
      </w:r>
      <w:r w:rsidR="00485F90">
        <w:t xml:space="preserve">uilding </w:t>
      </w:r>
      <w:r w:rsidR="005C478A">
        <w:t>T</w:t>
      </w:r>
      <w:r w:rsidR="00485F90">
        <w:t>ype</w:t>
      </w:r>
      <w:r w:rsidR="00FD6802" w:rsidRPr="00485F90">
        <w:t>, consistent with the IL-TRM</w:t>
      </w:r>
      <w:r w:rsidR="008866A0">
        <w:t xml:space="preserve"> v12.0</w:t>
      </w:r>
      <w:r w:rsidR="0049175C">
        <w:t>.</w:t>
      </w:r>
    </w:p>
    <w:p w14:paraId="534C6787" w14:textId="435C36EC" w:rsidR="00AE43FA" w:rsidRPr="00915A79" w:rsidRDefault="00AE43FA" w:rsidP="00AE43FA">
      <w:pPr>
        <w:rPr>
          <w:b/>
        </w:rPr>
      </w:pPr>
      <w:r w:rsidRPr="00915A79">
        <w:rPr>
          <w:b/>
        </w:rPr>
        <w:t xml:space="preserve">Finding </w:t>
      </w:r>
      <w:r>
        <w:rPr>
          <w:b/>
        </w:rPr>
        <w:t>4</w:t>
      </w:r>
      <w:r w:rsidRPr="00915A79">
        <w:rPr>
          <w:b/>
        </w:rPr>
        <w:t>.</w:t>
      </w:r>
      <w:r>
        <w:rPr>
          <w:b/>
        </w:rPr>
        <w:t xml:space="preserve"> </w:t>
      </w:r>
      <w:r w:rsidR="003E44DA">
        <w:rPr>
          <w:bCs/>
        </w:rPr>
        <w:t xml:space="preserve">For </w:t>
      </w:r>
      <w:r w:rsidR="00F3194B">
        <w:rPr>
          <w:bCs/>
        </w:rPr>
        <w:t>five</w:t>
      </w:r>
      <w:r w:rsidR="002900A8">
        <w:rPr>
          <w:bCs/>
        </w:rPr>
        <w:t xml:space="preserve"> </w:t>
      </w:r>
      <w:r>
        <w:rPr>
          <w:bCs/>
        </w:rPr>
        <w:t>Work Order IDs</w:t>
      </w:r>
      <w:r w:rsidR="000C77B3">
        <w:rPr>
          <w:bCs/>
        </w:rPr>
        <w:t xml:space="preserve"> with Faucet Aerator </w:t>
      </w:r>
      <w:r w:rsidR="006C01FC">
        <w:rPr>
          <w:bCs/>
        </w:rPr>
        <w:t>m</w:t>
      </w:r>
      <w:r w:rsidR="000C77B3">
        <w:rPr>
          <w:bCs/>
        </w:rPr>
        <w:t>easures</w:t>
      </w:r>
      <w:r w:rsidR="008764BE">
        <w:rPr>
          <w:bCs/>
        </w:rPr>
        <w:t>,</w:t>
      </w:r>
      <w:r w:rsidR="00145F6E">
        <w:rPr>
          <w:bCs/>
        </w:rPr>
        <w:t xml:space="preserve"> </w:t>
      </w:r>
      <w:r w:rsidR="00744E26">
        <w:rPr>
          <w:bCs/>
        </w:rPr>
        <w:t>t</w:t>
      </w:r>
      <w:r w:rsidR="00AE27CD" w:rsidRPr="00AE27CD">
        <w:rPr>
          <w:bCs/>
        </w:rPr>
        <w:t>he evaluat</w:t>
      </w:r>
      <w:r w:rsidR="00AC1FF2">
        <w:rPr>
          <w:bCs/>
        </w:rPr>
        <w:t>ion team</w:t>
      </w:r>
      <w:r w:rsidR="000B00FA">
        <w:rPr>
          <w:bCs/>
        </w:rPr>
        <w:t xml:space="preserve"> </w:t>
      </w:r>
      <w:r w:rsidR="0024581A">
        <w:rPr>
          <w:bCs/>
        </w:rPr>
        <w:t>deemed</w:t>
      </w:r>
      <w:r w:rsidR="008B4722">
        <w:rPr>
          <w:bCs/>
        </w:rPr>
        <w:t xml:space="preserve"> the</w:t>
      </w:r>
      <w:r w:rsidR="00D83947">
        <w:rPr>
          <w:bCs/>
        </w:rPr>
        <w:t xml:space="preserve"> installation</w:t>
      </w:r>
      <w:r w:rsidR="008B4722">
        <w:rPr>
          <w:bCs/>
        </w:rPr>
        <w:t xml:space="preserve"> location to be</w:t>
      </w:r>
      <w:r w:rsidR="00D83947">
        <w:rPr>
          <w:bCs/>
        </w:rPr>
        <w:t xml:space="preserve"> in a</w:t>
      </w:r>
      <w:r w:rsidR="00AE27CD" w:rsidRPr="00AE27CD">
        <w:rPr>
          <w:bCs/>
        </w:rPr>
        <w:t xml:space="preserve"> residential setting</w:t>
      </w:r>
      <w:r w:rsidR="00F3194B">
        <w:rPr>
          <w:bCs/>
        </w:rPr>
        <w:t xml:space="preserve">, </w:t>
      </w:r>
      <w:r w:rsidR="00F3194B" w:rsidRPr="00F3194B">
        <w:rPr>
          <w:bCs/>
        </w:rPr>
        <w:t>whereas the implementer deemed the installation location to be in a commercial setting. Three out of five Work Order IDs (WO-5818259, WO-5990253, and WO-6627230) include Faucet Aerators located in Kitchens only. Two out of five Work Order IDs (WO-6032791 and WO-6732671) include Faucet Aerators located in both Bathrooms and Kitchens.</w:t>
      </w:r>
    </w:p>
    <w:p w14:paraId="352C892D" w14:textId="4B3BA344" w:rsidR="00AE43FA" w:rsidRDefault="00AE43FA" w:rsidP="00AE43FA">
      <w:pPr>
        <w:tabs>
          <w:tab w:val="left" w:pos="720"/>
        </w:tabs>
        <w:spacing w:line="264" w:lineRule="auto"/>
        <w:ind w:left="900" w:hanging="360"/>
      </w:pPr>
      <w:r w:rsidRPr="00BE1CA5">
        <w:rPr>
          <w:b/>
        </w:rPr>
        <w:t>Recommendation</w:t>
      </w:r>
      <w:r>
        <w:rPr>
          <w:b/>
          <w:bCs/>
        </w:rPr>
        <w:t xml:space="preserve"> 4. </w:t>
      </w:r>
      <w:r w:rsidR="000E17D7">
        <w:t xml:space="preserve">Consider </w:t>
      </w:r>
      <w:r w:rsidR="00AC050C">
        <w:t>enhancing</w:t>
      </w:r>
      <w:r w:rsidR="00E70217">
        <w:t xml:space="preserve"> program data collection to </w:t>
      </w:r>
      <w:r w:rsidR="0013380B">
        <w:t>distinguish</w:t>
      </w:r>
      <w:r w:rsidR="00E70217">
        <w:t xml:space="preserve"> </w:t>
      </w:r>
      <w:r w:rsidR="00A53484">
        <w:t xml:space="preserve">Faucet Aerator </w:t>
      </w:r>
      <w:r w:rsidR="00E70217">
        <w:t>installation</w:t>
      </w:r>
      <w:r w:rsidR="00A53484">
        <w:t xml:space="preserve"> locations</w:t>
      </w:r>
      <w:r w:rsidR="00AC050C">
        <w:t xml:space="preserve"> </w:t>
      </w:r>
      <w:r w:rsidR="003B2CA9">
        <w:t xml:space="preserve">in Multifamily buildings (i.e., </w:t>
      </w:r>
      <w:r w:rsidR="00AC050C">
        <w:t>in-unit or common area</w:t>
      </w:r>
      <w:r w:rsidR="003B2CA9">
        <w:t>)</w:t>
      </w:r>
      <w:r w:rsidR="00AC050C">
        <w:t>.</w:t>
      </w:r>
      <w:r w:rsidR="003B2CA9">
        <w:t xml:space="preserve"> R</w:t>
      </w:r>
      <w:r w:rsidR="003B2CA9" w:rsidRPr="003B2CA9">
        <w:t xml:space="preserve">eference IL TRM v12 5.4.4 </w:t>
      </w:r>
      <w:r w:rsidR="00AC595B">
        <w:t>for</w:t>
      </w:r>
      <w:r w:rsidR="003B2CA9" w:rsidRPr="003B2CA9">
        <w:t xml:space="preserve"> installation in a residential setting</w:t>
      </w:r>
      <w:r w:rsidR="00AC595B">
        <w:t xml:space="preserve"> (i.e., in-unit)</w:t>
      </w:r>
      <w:r w:rsidR="003B2CA9" w:rsidRPr="003B2CA9">
        <w:t xml:space="preserve">. </w:t>
      </w:r>
      <w:r w:rsidR="003B2CA9">
        <w:t xml:space="preserve">Reference </w:t>
      </w:r>
      <w:r w:rsidR="003B2CA9" w:rsidRPr="003B2CA9">
        <w:t>IL TRM v12 4.3.2 for installation in a commercial setting</w:t>
      </w:r>
      <w:r w:rsidR="00AC595B">
        <w:t xml:space="preserve"> (i.e., common area)</w:t>
      </w:r>
      <w:r w:rsidR="003B2CA9" w:rsidRPr="003B2CA9">
        <w:t>.</w:t>
      </w:r>
    </w:p>
    <w:p w14:paraId="727D7739" w14:textId="43B3CA7C" w:rsidR="004848F0" w:rsidRPr="00915A79" w:rsidRDefault="004848F0" w:rsidP="004848F0">
      <w:pPr>
        <w:rPr>
          <w:b/>
        </w:rPr>
      </w:pPr>
      <w:r w:rsidRPr="00915A79">
        <w:rPr>
          <w:b/>
        </w:rPr>
        <w:t xml:space="preserve">Finding </w:t>
      </w:r>
      <w:r>
        <w:rPr>
          <w:b/>
        </w:rPr>
        <w:t>5</w:t>
      </w:r>
      <w:r w:rsidRPr="00915A79">
        <w:rPr>
          <w:b/>
        </w:rPr>
        <w:t>.</w:t>
      </w:r>
      <w:r>
        <w:rPr>
          <w:b/>
        </w:rPr>
        <w:t xml:space="preserve"> </w:t>
      </w:r>
      <w:r>
        <w:rPr>
          <w:bCs/>
        </w:rPr>
        <w:t xml:space="preserve">For </w:t>
      </w:r>
      <w:r w:rsidR="00394AC3">
        <w:rPr>
          <w:bCs/>
        </w:rPr>
        <w:t>one</w:t>
      </w:r>
      <w:r>
        <w:rPr>
          <w:bCs/>
        </w:rPr>
        <w:t xml:space="preserve"> Work Order ID</w:t>
      </w:r>
      <w:r w:rsidR="00F3194B">
        <w:rPr>
          <w:bCs/>
        </w:rPr>
        <w:t xml:space="preserve"> (</w:t>
      </w:r>
      <w:r w:rsidR="00F3194B" w:rsidRPr="003A247C">
        <w:rPr>
          <w:bCs/>
        </w:rPr>
        <w:t>WO-5990480</w:t>
      </w:r>
      <w:r w:rsidR="00F3194B">
        <w:rPr>
          <w:bCs/>
        </w:rPr>
        <w:t>)</w:t>
      </w:r>
      <w:r>
        <w:rPr>
          <w:bCs/>
        </w:rPr>
        <w:t xml:space="preserve"> with </w:t>
      </w:r>
      <w:r w:rsidR="00394AC3">
        <w:rPr>
          <w:bCs/>
        </w:rPr>
        <w:t xml:space="preserve">a Showerhead </w:t>
      </w:r>
      <w:r w:rsidR="006C01FC">
        <w:rPr>
          <w:bCs/>
        </w:rPr>
        <w:t>m</w:t>
      </w:r>
      <w:r w:rsidR="00394AC3">
        <w:rPr>
          <w:bCs/>
        </w:rPr>
        <w:t>easure</w:t>
      </w:r>
      <w:r>
        <w:rPr>
          <w:bCs/>
        </w:rPr>
        <w:t>, t</w:t>
      </w:r>
      <w:r w:rsidRPr="00AE27CD">
        <w:rPr>
          <w:bCs/>
        </w:rPr>
        <w:t xml:space="preserve">he </w:t>
      </w:r>
      <w:r w:rsidR="0024581A">
        <w:rPr>
          <w:bCs/>
        </w:rPr>
        <w:t>evaluation team deemed</w:t>
      </w:r>
      <w:r>
        <w:rPr>
          <w:bCs/>
        </w:rPr>
        <w:t xml:space="preserve"> the installation location to be in a</w:t>
      </w:r>
      <w:r w:rsidRPr="00AE27CD">
        <w:rPr>
          <w:bCs/>
        </w:rPr>
        <w:t xml:space="preserve"> residential setting</w:t>
      </w:r>
      <w:r w:rsidR="00F3194B">
        <w:rPr>
          <w:bCs/>
        </w:rPr>
        <w:t>, whereas the implementer deemed the installation location to be in a commercial setting.</w:t>
      </w:r>
    </w:p>
    <w:p w14:paraId="76B94E56" w14:textId="60030C00" w:rsidR="00AE43FA" w:rsidRDefault="004848F0" w:rsidP="00777696">
      <w:pPr>
        <w:tabs>
          <w:tab w:val="left" w:pos="720"/>
        </w:tabs>
        <w:spacing w:line="264" w:lineRule="auto"/>
        <w:ind w:left="900" w:hanging="360"/>
      </w:pPr>
      <w:r w:rsidRPr="00BE1CA5">
        <w:rPr>
          <w:b/>
        </w:rPr>
        <w:t>Recommendation</w:t>
      </w:r>
      <w:r>
        <w:rPr>
          <w:b/>
          <w:bCs/>
        </w:rPr>
        <w:t xml:space="preserve"> 5. </w:t>
      </w:r>
      <w:r>
        <w:t xml:space="preserve">Consider enhancing program data collection to distinguish </w:t>
      </w:r>
      <w:r w:rsidR="00E2627B">
        <w:t>Showerhead</w:t>
      </w:r>
      <w:r>
        <w:t xml:space="preserve"> installation locations in Multifamily buildings (i.e., in-unit or common area). R</w:t>
      </w:r>
      <w:r w:rsidRPr="003B2CA9">
        <w:t xml:space="preserve">eference IL TRM </w:t>
      </w:r>
      <w:r w:rsidR="0056770C" w:rsidRPr="0056770C">
        <w:t>IL TRM v12 5.4.5</w:t>
      </w:r>
      <w:r w:rsidR="0056770C">
        <w:t xml:space="preserve"> </w:t>
      </w:r>
      <w:r>
        <w:t>for</w:t>
      </w:r>
      <w:r w:rsidRPr="003B2CA9">
        <w:t xml:space="preserve"> installation in a residential setting</w:t>
      </w:r>
      <w:r>
        <w:t xml:space="preserve"> (i.e., in-unit)</w:t>
      </w:r>
      <w:r w:rsidRPr="003B2CA9">
        <w:t xml:space="preserve">. </w:t>
      </w:r>
      <w:r>
        <w:t xml:space="preserve">Reference </w:t>
      </w:r>
      <w:r w:rsidR="0056770C" w:rsidRPr="0056770C">
        <w:t>IL TRM v12 4.3.3</w:t>
      </w:r>
      <w:r w:rsidR="0056770C">
        <w:t xml:space="preserve"> </w:t>
      </w:r>
      <w:r w:rsidRPr="003B2CA9">
        <w:t>for installation in a commercial setting</w:t>
      </w:r>
      <w:r>
        <w:t xml:space="preserve"> (i.e., common area)</w:t>
      </w:r>
      <w:r w:rsidRPr="003B2CA9">
        <w:t>.</w:t>
      </w:r>
    </w:p>
    <w:p w14:paraId="6B8AE193" w14:textId="57AE5B79" w:rsidR="00924B54" w:rsidRPr="00915A79" w:rsidRDefault="00924B54" w:rsidP="00924B54">
      <w:pPr>
        <w:rPr>
          <w:b/>
        </w:rPr>
      </w:pPr>
      <w:r w:rsidRPr="00915A79">
        <w:rPr>
          <w:b/>
        </w:rPr>
        <w:t xml:space="preserve">Finding </w:t>
      </w:r>
      <w:r w:rsidR="00D76F4A">
        <w:rPr>
          <w:b/>
        </w:rPr>
        <w:t>6</w:t>
      </w:r>
      <w:r w:rsidRPr="00915A79">
        <w:rPr>
          <w:b/>
        </w:rPr>
        <w:t>.</w:t>
      </w:r>
      <w:r>
        <w:rPr>
          <w:b/>
        </w:rPr>
        <w:t xml:space="preserve"> </w:t>
      </w:r>
      <w:r w:rsidR="004C1660">
        <w:rPr>
          <w:bCs/>
        </w:rPr>
        <w:t xml:space="preserve">For Work Order ID </w:t>
      </w:r>
      <w:r w:rsidR="004C1660" w:rsidRPr="004C1660">
        <w:rPr>
          <w:bCs/>
        </w:rPr>
        <w:t>WO-6256746</w:t>
      </w:r>
      <w:r w:rsidR="004C1660">
        <w:rPr>
          <w:bCs/>
        </w:rPr>
        <w:t>, t</w:t>
      </w:r>
      <w:r>
        <w:rPr>
          <w:bCs/>
        </w:rPr>
        <w:t>he program data reported</w:t>
      </w:r>
      <w:r w:rsidR="00883C2B">
        <w:rPr>
          <w:bCs/>
        </w:rPr>
        <w:t xml:space="preserve"> a</w:t>
      </w:r>
      <w:r>
        <w:rPr>
          <w:bCs/>
        </w:rPr>
        <w:t xml:space="preserve"> negative </w:t>
      </w:r>
      <w:r w:rsidR="002A3507">
        <w:rPr>
          <w:bCs/>
        </w:rPr>
        <w:t>savings and incentives amount.</w:t>
      </w:r>
      <w:r w:rsidR="00883C2B">
        <w:rPr>
          <w:bCs/>
        </w:rPr>
        <w:t xml:space="preserve"> </w:t>
      </w:r>
      <w:r w:rsidR="00883C2B" w:rsidRPr="00883C2B">
        <w:rPr>
          <w:bCs/>
        </w:rPr>
        <w:t xml:space="preserve">The evaluation team </w:t>
      </w:r>
      <w:r w:rsidR="002A3507">
        <w:rPr>
          <w:bCs/>
        </w:rPr>
        <w:t>did not change the reported savings</w:t>
      </w:r>
      <w:r w:rsidR="00E27B12">
        <w:rPr>
          <w:bCs/>
        </w:rPr>
        <w:t>,</w:t>
      </w:r>
      <w:r w:rsidR="00883C2B" w:rsidRPr="00883C2B">
        <w:rPr>
          <w:bCs/>
        </w:rPr>
        <w:t xml:space="preserve"> consistent with the program data.</w:t>
      </w:r>
    </w:p>
    <w:p w14:paraId="6AB4D0DE" w14:textId="28883243" w:rsidR="00E634B5" w:rsidRDefault="00924B54" w:rsidP="001640E7">
      <w:pPr>
        <w:tabs>
          <w:tab w:val="left" w:pos="720"/>
        </w:tabs>
        <w:spacing w:line="264" w:lineRule="auto"/>
        <w:ind w:left="900" w:hanging="360"/>
      </w:pPr>
      <w:r w:rsidRPr="007838D8">
        <w:rPr>
          <w:b/>
        </w:rPr>
        <w:t>Recommendation</w:t>
      </w:r>
      <w:r w:rsidRPr="007838D8">
        <w:rPr>
          <w:b/>
          <w:bCs/>
        </w:rPr>
        <w:t xml:space="preserve"> </w:t>
      </w:r>
      <w:r w:rsidR="00D76F4A" w:rsidRPr="007838D8">
        <w:rPr>
          <w:b/>
          <w:bCs/>
        </w:rPr>
        <w:t>6</w:t>
      </w:r>
      <w:r w:rsidRPr="007838D8">
        <w:rPr>
          <w:b/>
          <w:bCs/>
        </w:rPr>
        <w:t xml:space="preserve">. </w:t>
      </w:r>
      <w:r w:rsidR="00731EAE">
        <w:t xml:space="preserve">Ensure there are </w:t>
      </w:r>
      <w:r w:rsidR="002A3507">
        <w:t xml:space="preserve">additional notes in the tracking system where </w:t>
      </w:r>
      <w:r w:rsidR="00731EAE">
        <w:t xml:space="preserve">negative savings </w:t>
      </w:r>
      <w:r w:rsidR="002A3507">
        <w:t xml:space="preserve">are </w:t>
      </w:r>
      <w:r w:rsidR="001640E7">
        <w:t>reported in the program data.</w:t>
      </w:r>
    </w:p>
    <w:p w14:paraId="7E893B14" w14:textId="77777777" w:rsidR="00220AE5" w:rsidRPr="00731EAE" w:rsidRDefault="00220AE5" w:rsidP="00220AE5"/>
    <w:p w14:paraId="1159B8C6" w14:textId="27494323" w:rsidR="00531754" w:rsidRPr="007838D8" w:rsidRDefault="00531754" w:rsidP="0034721B">
      <w:pPr>
        <w:pStyle w:val="Heading3"/>
      </w:pPr>
      <w:r w:rsidRPr="007838D8">
        <w:t>Multi-Family I</w:t>
      </w:r>
      <w:r w:rsidR="00A91205" w:rsidRPr="007838D8">
        <w:t>HWAP</w:t>
      </w:r>
    </w:p>
    <w:p w14:paraId="4FC89F20" w14:textId="574A3CBE" w:rsidR="00E93A62" w:rsidRPr="00777696" w:rsidRDefault="006E6084" w:rsidP="00777696">
      <w:pPr>
        <w:pStyle w:val="Instructions"/>
        <w:rPr>
          <w:color w:val="auto"/>
        </w:rPr>
      </w:pPr>
      <w:r>
        <w:rPr>
          <w:color w:val="auto"/>
        </w:rPr>
        <w:t>The evaluation team verif</w:t>
      </w:r>
      <w:r w:rsidR="00B07FD8">
        <w:rPr>
          <w:color w:val="auto"/>
        </w:rPr>
        <w:t>ied</w:t>
      </w:r>
      <w:r>
        <w:rPr>
          <w:color w:val="auto"/>
        </w:rPr>
        <w:t xml:space="preserve"> all savings for the IHWAP program track</w:t>
      </w:r>
      <w:r w:rsidR="00B07FD8">
        <w:rPr>
          <w:color w:val="auto"/>
        </w:rPr>
        <w:t>,</w:t>
      </w:r>
      <w:r w:rsidR="00D100F1">
        <w:rPr>
          <w:color w:val="auto"/>
        </w:rPr>
        <w:t xml:space="preserve"> and the realization rate was 1.00. There are no findings and recommendations for IHWAP measures. </w:t>
      </w:r>
    </w:p>
    <w:p w14:paraId="05638738" w14:textId="68FC9137" w:rsidR="001722DE" w:rsidRDefault="00C849EB" w:rsidP="001722DE">
      <w:pPr>
        <w:pStyle w:val="Heading10"/>
      </w:pPr>
      <w:bookmarkStart w:id="80" w:name="_Toc193349170"/>
      <w:bookmarkStart w:id="81" w:name="_Toc193349918"/>
      <w:r>
        <w:lastRenderedPageBreak/>
        <w:t>Public Housing Energy Savings</w:t>
      </w:r>
      <w:r w:rsidR="001722DE" w:rsidRPr="00DE3458">
        <w:t xml:space="preserve"> Program</w:t>
      </w:r>
      <w:bookmarkEnd w:id="80"/>
      <w:bookmarkEnd w:id="81"/>
    </w:p>
    <w:p w14:paraId="56472AC3" w14:textId="77777777" w:rsidR="001722DE" w:rsidRDefault="001722DE" w:rsidP="001722DE">
      <w:pPr>
        <w:pStyle w:val="Heading2"/>
      </w:pPr>
      <w:bookmarkStart w:id="82" w:name="_Toc193349171"/>
      <w:bookmarkStart w:id="83" w:name="_Toc193349919"/>
      <w:r w:rsidRPr="00DE3458">
        <w:t>Program Description</w:t>
      </w:r>
      <w:bookmarkEnd w:id="82"/>
      <w:bookmarkEnd w:id="83"/>
    </w:p>
    <w:p w14:paraId="33A49DB8" w14:textId="4532C9A4" w:rsidR="003E668B" w:rsidRDefault="003E668B" w:rsidP="003E668B">
      <w:pPr>
        <w:pStyle w:val="Instructions"/>
        <w:rPr>
          <w:color w:val="auto"/>
          <w:szCs w:val="24"/>
        </w:rPr>
      </w:pPr>
      <w:r w:rsidRPr="003E668B">
        <w:rPr>
          <w:color w:val="auto"/>
          <w:szCs w:val="24"/>
        </w:rPr>
        <w:t>The Public Housing Energy Savings Program (PHES) works with Public Housing Authorities (PH</w:t>
      </w:r>
      <w:r w:rsidR="002A3507">
        <w:rPr>
          <w:color w:val="auto"/>
          <w:szCs w:val="24"/>
        </w:rPr>
        <w:t>As</w:t>
      </w:r>
      <w:r w:rsidRPr="003E668B">
        <w:rPr>
          <w:color w:val="auto"/>
          <w:szCs w:val="24"/>
        </w:rPr>
        <w:t>) in ComEd, Nicor Gas, PGL, and NSG territories to achieve electricity and natural gas savings. The P</w:t>
      </w:r>
      <w:r w:rsidR="002A3507">
        <w:rPr>
          <w:color w:val="auto"/>
          <w:szCs w:val="24"/>
        </w:rPr>
        <w:t>HA</w:t>
      </w:r>
      <w:r w:rsidRPr="003E668B">
        <w:rPr>
          <w:color w:val="auto"/>
          <w:szCs w:val="24"/>
        </w:rPr>
        <w:t xml:space="preserve"> is the program participant, though the residents of the properties are directly affected by the program through in</w:t>
      </w:r>
      <w:r w:rsidR="00297EC5">
        <w:rPr>
          <w:color w:val="auto"/>
          <w:szCs w:val="24"/>
        </w:rPr>
        <w:t>-</w:t>
      </w:r>
      <w:r w:rsidRPr="003E668B">
        <w:rPr>
          <w:color w:val="auto"/>
          <w:szCs w:val="24"/>
        </w:rPr>
        <w:t xml:space="preserve">unit and common area upgrades. Gas savings opportunities </w:t>
      </w:r>
      <w:r w:rsidR="00294E15">
        <w:rPr>
          <w:color w:val="auto"/>
          <w:szCs w:val="24"/>
        </w:rPr>
        <w:t xml:space="preserve">for NSG </w:t>
      </w:r>
      <w:r w:rsidRPr="003E668B">
        <w:rPr>
          <w:color w:val="auto"/>
          <w:szCs w:val="24"/>
        </w:rPr>
        <w:t xml:space="preserve">included room air conditioner (AC) covers and gap sealing, and </w:t>
      </w:r>
      <w:r w:rsidR="00F97988">
        <w:rPr>
          <w:color w:val="auto"/>
          <w:szCs w:val="24"/>
        </w:rPr>
        <w:t>furnace</w:t>
      </w:r>
      <w:r w:rsidRPr="003E668B">
        <w:rPr>
          <w:color w:val="auto"/>
          <w:szCs w:val="24"/>
        </w:rPr>
        <w:t xml:space="preserve"> tune-ups. </w:t>
      </w:r>
      <w:r w:rsidR="0025444C" w:rsidRPr="003E668B">
        <w:rPr>
          <w:color w:val="auto"/>
          <w:szCs w:val="24"/>
        </w:rPr>
        <w:t xml:space="preserve">Gas savings opportunities </w:t>
      </w:r>
      <w:r w:rsidR="0025444C">
        <w:rPr>
          <w:color w:val="auto"/>
          <w:szCs w:val="24"/>
        </w:rPr>
        <w:t xml:space="preserve">for </w:t>
      </w:r>
      <w:r w:rsidR="00F97988">
        <w:rPr>
          <w:color w:val="auto"/>
          <w:szCs w:val="24"/>
        </w:rPr>
        <w:t>PGL</w:t>
      </w:r>
      <w:r w:rsidR="0025444C">
        <w:rPr>
          <w:color w:val="auto"/>
          <w:szCs w:val="24"/>
        </w:rPr>
        <w:t xml:space="preserve"> </w:t>
      </w:r>
      <w:r w:rsidR="0025444C" w:rsidRPr="003E668B">
        <w:rPr>
          <w:color w:val="auto"/>
          <w:szCs w:val="24"/>
        </w:rPr>
        <w:t xml:space="preserve">included </w:t>
      </w:r>
      <w:r w:rsidR="003C0C2C">
        <w:rPr>
          <w:color w:val="auto"/>
          <w:szCs w:val="24"/>
        </w:rPr>
        <w:t xml:space="preserve">bathroom and kitchen faucet aerators, </w:t>
      </w:r>
      <w:r w:rsidR="007202C1">
        <w:rPr>
          <w:color w:val="auto"/>
          <w:szCs w:val="24"/>
        </w:rPr>
        <w:t xml:space="preserve">showerheads, shower timers, </w:t>
      </w:r>
      <w:r w:rsidR="0025444C" w:rsidRPr="003E668B">
        <w:rPr>
          <w:color w:val="auto"/>
          <w:szCs w:val="24"/>
        </w:rPr>
        <w:t xml:space="preserve">room AC covers and gap sealing, boiler </w:t>
      </w:r>
      <w:r w:rsidR="00710439">
        <w:rPr>
          <w:color w:val="auto"/>
          <w:szCs w:val="24"/>
        </w:rPr>
        <w:t xml:space="preserve">and furnace </w:t>
      </w:r>
      <w:r w:rsidR="0025444C" w:rsidRPr="003E668B">
        <w:rPr>
          <w:color w:val="auto"/>
          <w:szCs w:val="24"/>
        </w:rPr>
        <w:t>tune-ups</w:t>
      </w:r>
      <w:r w:rsidR="00710439">
        <w:rPr>
          <w:color w:val="auto"/>
          <w:szCs w:val="24"/>
        </w:rPr>
        <w:t>, pipe insulation</w:t>
      </w:r>
      <w:r w:rsidR="00E04F9D">
        <w:rPr>
          <w:color w:val="auto"/>
          <w:szCs w:val="24"/>
        </w:rPr>
        <w:t>, water heaters, and steam traps</w:t>
      </w:r>
      <w:r w:rsidR="0025444C" w:rsidRPr="003E668B">
        <w:rPr>
          <w:color w:val="auto"/>
          <w:szCs w:val="24"/>
        </w:rPr>
        <w:t>.</w:t>
      </w:r>
    </w:p>
    <w:p w14:paraId="754F95CC" w14:textId="21191004" w:rsidR="001722DE" w:rsidRPr="0056539A" w:rsidRDefault="001722DE" w:rsidP="00A9737A">
      <w:pPr>
        <w:pStyle w:val="BodyText"/>
      </w:pPr>
      <w:r w:rsidRPr="0056539A">
        <w:t xml:space="preserve">The PGL </w:t>
      </w:r>
      <w:r w:rsidR="005836AE">
        <w:t xml:space="preserve">PHES </w:t>
      </w:r>
      <w:r w:rsidRPr="0056539A">
        <w:t xml:space="preserve">program had </w:t>
      </w:r>
      <w:r w:rsidR="009F5A73" w:rsidRPr="0056539A">
        <w:t>14</w:t>
      </w:r>
      <w:r w:rsidRPr="0056539A">
        <w:t xml:space="preserve"> participants in 2024</w:t>
      </w:r>
      <w:r w:rsidR="007872C6">
        <w:t xml:space="preserve">, </w:t>
      </w:r>
      <w:r w:rsidRPr="0056539A">
        <w:t xml:space="preserve">completed </w:t>
      </w:r>
      <w:r w:rsidR="009F5A73" w:rsidRPr="0056539A">
        <w:t>127</w:t>
      </w:r>
      <w:r w:rsidRPr="0056539A">
        <w:t xml:space="preserve"> projects</w:t>
      </w:r>
      <w:r w:rsidR="007872C6">
        <w:t xml:space="preserve">, and installed </w:t>
      </w:r>
      <w:r w:rsidR="007872C6" w:rsidRPr="00595B3F">
        <w:t>13</w:t>
      </w:r>
      <w:r w:rsidR="007872C6">
        <w:t xml:space="preserve"> measure types</w:t>
      </w:r>
      <w:r w:rsidRPr="0056539A">
        <w:t xml:space="preserve"> as shown </w:t>
      </w:r>
      <w:r w:rsidRPr="00560ED1">
        <w:t>in</w:t>
      </w:r>
      <w:r w:rsidR="00893DCF" w:rsidRPr="00560ED1">
        <w:t xml:space="preserve"> </w:t>
      </w:r>
      <w:r w:rsidR="00893DCF" w:rsidRPr="00560ED1">
        <w:fldChar w:fldCharType="begin"/>
      </w:r>
      <w:r w:rsidR="00893DCF" w:rsidRPr="00560ED1">
        <w:instrText xml:space="preserve"> REF _Ref192762147 \h </w:instrText>
      </w:r>
      <w:r w:rsidR="00893DCF" w:rsidRPr="00560ED1">
        <w:fldChar w:fldCharType="separate"/>
      </w:r>
      <w:r w:rsidR="00434B54">
        <w:t xml:space="preserve">Table </w:t>
      </w:r>
      <w:r w:rsidR="00434B54">
        <w:rPr>
          <w:noProof/>
        </w:rPr>
        <w:t>10</w:t>
      </w:r>
      <w:r w:rsidR="00893DCF" w:rsidRPr="00560ED1">
        <w:fldChar w:fldCharType="end"/>
      </w:r>
      <w:r w:rsidRPr="00560ED1">
        <w:t>.</w:t>
      </w:r>
    </w:p>
    <w:p w14:paraId="0932A707" w14:textId="700E83E5" w:rsidR="001722DE" w:rsidRDefault="001722DE" w:rsidP="004B73FE">
      <w:pPr>
        <w:pStyle w:val="Caption"/>
      </w:pPr>
      <w:bookmarkStart w:id="84" w:name="_Ref192762147"/>
      <w:bookmarkStart w:id="85" w:name="_Toc193349185"/>
      <w:bookmarkStart w:id="86" w:name="_Toc193349219"/>
      <w:bookmarkStart w:id="87" w:name="_Toc193349934"/>
      <w:r>
        <w:t xml:space="preserve">Table </w:t>
      </w:r>
      <w:r w:rsidR="0034721B">
        <w:fldChar w:fldCharType="begin"/>
      </w:r>
      <w:r w:rsidR="0034721B">
        <w:instrText xml:space="preserve"> SEQ Table \* ARABIC </w:instrText>
      </w:r>
      <w:r w:rsidR="0034721B">
        <w:fldChar w:fldCharType="separate"/>
      </w:r>
      <w:r w:rsidR="0034721B">
        <w:rPr>
          <w:noProof/>
        </w:rPr>
        <w:t>10</w:t>
      </w:r>
      <w:r w:rsidR="0034721B">
        <w:rPr>
          <w:noProof/>
        </w:rPr>
        <w:fldChar w:fldCharType="end"/>
      </w:r>
      <w:bookmarkEnd w:id="84"/>
      <w:r>
        <w:t xml:space="preserve">. 2024 </w:t>
      </w:r>
      <w:r w:rsidR="000F23B7">
        <w:t xml:space="preserve">PHES Program </w:t>
      </w:r>
      <w:r>
        <w:t>Volumetric Summary for PGL</w:t>
      </w:r>
      <w:bookmarkEnd w:id="85"/>
      <w:bookmarkEnd w:id="86"/>
      <w:bookmarkEnd w:id="87"/>
    </w:p>
    <w:tbl>
      <w:tblPr>
        <w:tblStyle w:val="EnergyTable"/>
        <w:tblW w:w="0" w:type="auto"/>
        <w:tblLook w:val="04A0" w:firstRow="1" w:lastRow="0" w:firstColumn="1" w:lastColumn="0" w:noHBand="0" w:noVBand="1"/>
      </w:tblPr>
      <w:tblGrid>
        <w:gridCol w:w="2140"/>
        <w:gridCol w:w="2003"/>
      </w:tblGrid>
      <w:tr w:rsidR="000754B6" w:rsidRPr="00FA7FC9" w14:paraId="4F0584B6" w14:textId="77777777" w:rsidTr="00434B54">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773E6B04" w14:textId="7A7949A5" w:rsidR="000754B6" w:rsidRPr="00FA7FC9" w:rsidRDefault="000754B6" w:rsidP="000754B6">
            <w:pPr>
              <w:keepNext/>
              <w:keepLines/>
              <w:jc w:val="left"/>
              <w:rPr>
                <w:rFonts w:ascii="Arial Narrow" w:eastAsia="Calibri" w:hAnsi="Arial Narrow"/>
                <w:b w:val="0"/>
                <w:bCs/>
                <w:sz w:val="20"/>
                <w:szCs w:val="20"/>
              </w:rPr>
            </w:pPr>
            <w:r w:rsidRPr="00FA7FC9">
              <w:rPr>
                <w:rFonts w:ascii="Arial Narrow" w:hAnsi="Arial Narrow"/>
                <w:b w:val="0"/>
                <w:bCs/>
                <w:color w:val="FFFFFF"/>
                <w:sz w:val="20"/>
                <w:szCs w:val="20"/>
              </w:rPr>
              <w:t>Participation</w:t>
            </w:r>
          </w:p>
        </w:tc>
        <w:tc>
          <w:tcPr>
            <w:tcW w:w="0" w:type="auto"/>
            <w:hideMark/>
          </w:tcPr>
          <w:p w14:paraId="309C707D" w14:textId="397A231B" w:rsidR="000754B6" w:rsidRPr="00FA7FC9" w:rsidRDefault="000754B6" w:rsidP="000754B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FA7FC9">
              <w:rPr>
                <w:rFonts w:ascii="Arial Narrow" w:hAnsi="Arial Narrow"/>
                <w:b w:val="0"/>
                <w:bCs/>
                <w:color w:val="FFFFFF"/>
                <w:sz w:val="20"/>
                <w:szCs w:val="20"/>
              </w:rPr>
              <w:t>Public Housing Authority</w:t>
            </w:r>
          </w:p>
        </w:tc>
      </w:tr>
      <w:tr w:rsidR="000754B6" w:rsidRPr="00FA7FC9" w14:paraId="18066DC7" w14:textId="77777777" w:rsidTr="00434B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noWrap/>
          </w:tcPr>
          <w:p w14:paraId="21C114C8" w14:textId="5D033277" w:rsidR="000754B6" w:rsidRPr="00FA7FC9" w:rsidRDefault="000754B6" w:rsidP="000754B6">
            <w:pPr>
              <w:keepNext/>
              <w:keepLines/>
              <w:jc w:val="left"/>
              <w:rPr>
                <w:rFonts w:ascii="Arial Narrow" w:eastAsia="Calibri" w:hAnsi="Arial Narrow"/>
                <w:color w:val="000000"/>
                <w:sz w:val="20"/>
                <w:szCs w:val="20"/>
              </w:rPr>
            </w:pPr>
            <w:r w:rsidRPr="00FA7FC9">
              <w:rPr>
                <w:rFonts w:ascii="Arial Narrow" w:hAnsi="Arial Narrow"/>
                <w:color w:val="000000"/>
                <w:sz w:val="20"/>
                <w:szCs w:val="20"/>
              </w:rPr>
              <w:t>Participants *</w:t>
            </w:r>
          </w:p>
        </w:tc>
        <w:tc>
          <w:tcPr>
            <w:tcW w:w="0" w:type="auto"/>
            <w:noWrap/>
          </w:tcPr>
          <w:p w14:paraId="07470E42" w14:textId="5EB3E97A" w:rsidR="000754B6" w:rsidRPr="00FA7FC9" w:rsidRDefault="000754B6" w:rsidP="000754B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FA7FC9">
              <w:rPr>
                <w:rFonts w:ascii="Arial Narrow" w:hAnsi="Arial Narrow"/>
                <w:color w:val="000000"/>
                <w:sz w:val="20"/>
                <w:szCs w:val="20"/>
              </w:rPr>
              <w:t>14</w:t>
            </w:r>
          </w:p>
        </w:tc>
      </w:tr>
      <w:tr w:rsidR="000754B6" w:rsidRPr="00FA7FC9" w14:paraId="37F75489" w14:textId="77777777" w:rsidTr="00434B5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49AE3ACB" w14:textId="1CF6DC10" w:rsidR="000754B6" w:rsidRPr="00FA7FC9" w:rsidRDefault="000754B6" w:rsidP="000754B6">
            <w:pPr>
              <w:keepNext/>
              <w:keepLines/>
              <w:jc w:val="left"/>
              <w:rPr>
                <w:rFonts w:ascii="Arial Narrow" w:eastAsia="Calibri" w:hAnsi="Arial Narrow"/>
                <w:bCs/>
                <w:color w:val="000000"/>
                <w:sz w:val="20"/>
                <w:szCs w:val="20"/>
              </w:rPr>
            </w:pPr>
            <w:r w:rsidRPr="00FA7FC9">
              <w:rPr>
                <w:rFonts w:ascii="Arial Narrow" w:hAnsi="Arial Narrow"/>
                <w:color w:val="000000"/>
                <w:sz w:val="20"/>
                <w:szCs w:val="20"/>
              </w:rPr>
              <w:t>Installed Projects †</w:t>
            </w:r>
          </w:p>
        </w:tc>
        <w:tc>
          <w:tcPr>
            <w:tcW w:w="0" w:type="auto"/>
            <w:noWrap/>
          </w:tcPr>
          <w:p w14:paraId="3C124CDF" w14:textId="4565255C" w:rsidR="000754B6" w:rsidRPr="00FA7FC9" w:rsidRDefault="000754B6" w:rsidP="000754B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A7FC9">
              <w:rPr>
                <w:rFonts w:ascii="Arial Narrow" w:hAnsi="Arial Narrow"/>
                <w:color w:val="000000"/>
                <w:sz w:val="20"/>
                <w:szCs w:val="20"/>
              </w:rPr>
              <w:t>127</w:t>
            </w:r>
          </w:p>
        </w:tc>
      </w:tr>
      <w:tr w:rsidR="000754B6" w:rsidRPr="00FA7FC9" w14:paraId="30BC0CAC" w14:textId="77777777" w:rsidTr="00434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2672DC65" w14:textId="28FC5F2E" w:rsidR="000754B6" w:rsidRPr="00FA7FC9" w:rsidRDefault="000754B6" w:rsidP="000754B6">
            <w:pPr>
              <w:keepNext/>
              <w:keepLines/>
              <w:jc w:val="left"/>
              <w:rPr>
                <w:rFonts w:ascii="Arial Narrow" w:hAnsi="Arial Narrow"/>
                <w:color w:val="000000"/>
                <w:sz w:val="20"/>
                <w:szCs w:val="20"/>
              </w:rPr>
            </w:pPr>
            <w:r w:rsidRPr="00FA7FC9">
              <w:rPr>
                <w:rFonts w:ascii="Arial Narrow" w:hAnsi="Arial Narrow"/>
                <w:color w:val="000000"/>
                <w:sz w:val="20"/>
                <w:szCs w:val="20"/>
              </w:rPr>
              <w:t>Measure Types Installed ‡</w:t>
            </w:r>
          </w:p>
        </w:tc>
        <w:tc>
          <w:tcPr>
            <w:tcW w:w="0" w:type="auto"/>
            <w:noWrap/>
          </w:tcPr>
          <w:p w14:paraId="1F7DD341" w14:textId="74DC3CD4" w:rsidR="000754B6" w:rsidRPr="00FA7FC9" w:rsidRDefault="000754B6" w:rsidP="000754B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highlight w:val="magenta"/>
              </w:rPr>
            </w:pPr>
            <w:r w:rsidRPr="00FA7FC9">
              <w:rPr>
                <w:rFonts w:ascii="Arial Narrow" w:hAnsi="Arial Narrow"/>
                <w:color w:val="000000"/>
                <w:sz w:val="20"/>
                <w:szCs w:val="20"/>
              </w:rPr>
              <w:t>13</w:t>
            </w:r>
          </w:p>
        </w:tc>
      </w:tr>
    </w:tbl>
    <w:p w14:paraId="70B7FD99" w14:textId="77777777" w:rsidR="00696505" w:rsidRPr="00696505" w:rsidRDefault="00696505" w:rsidP="00D80A0A">
      <w:pPr>
        <w:spacing w:before="0" w:after="0"/>
        <w:ind w:left="2418" w:firstLine="86"/>
        <w:rPr>
          <w:rFonts w:cs="Arial"/>
          <w:sz w:val="18"/>
          <w:szCs w:val="18"/>
        </w:rPr>
      </w:pPr>
      <w:r w:rsidRPr="00696505">
        <w:rPr>
          <w:rFonts w:cs="Arial"/>
          <w:sz w:val="18"/>
          <w:szCs w:val="18"/>
        </w:rPr>
        <w:t>* Participants are defined as unique Gas Account Numbers.</w:t>
      </w:r>
    </w:p>
    <w:p w14:paraId="5D88D0F0" w14:textId="77777777" w:rsidR="00696505" w:rsidRPr="00BC7DF9" w:rsidRDefault="00696505" w:rsidP="00D80A0A">
      <w:pPr>
        <w:spacing w:before="0" w:after="0"/>
        <w:ind w:left="2418" w:firstLine="86"/>
        <w:rPr>
          <w:rFonts w:ascii="Arial Narrow" w:hAnsi="Arial Narrow" w:cs="Arial"/>
          <w:sz w:val="18"/>
          <w:szCs w:val="18"/>
        </w:rPr>
      </w:pPr>
      <w:r w:rsidRPr="00BC7DF9">
        <w:rPr>
          <w:rFonts w:ascii="Arial Narrow" w:hAnsi="Arial Narrow" w:cs="Arial"/>
          <w:sz w:val="18"/>
          <w:szCs w:val="18"/>
        </w:rPr>
        <w:t>† Installed Projects are defined as unique Work Order IDs.</w:t>
      </w:r>
    </w:p>
    <w:p w14:paraId="62400B5A" w14:textId="2DF1A5E0" w:rsidR="001722DE" w:rsidRPr="00622728" w:rsidRDefault="00696505" w:rsidP="00D80A0A">
      <w:pPr>
        <w:spacing w:before="0" w:after="0"/>
        <w:ind w:left="2418" w:firstLine="86"/>
        <w:rPr>
          <w:rFonts w:cs="Arial"/>
          <w:sz w:val="18"/>
          <w:szCs w:val="18"/>
        </w:rPr>
      </w:pPr>
      <w:r w:rsidRPr="00BC7DF9">
        <w:rPr>
          <w:rFonts w:ascii="Arial Narrow" w:hAnsi="Arial Narrow" w:cs="Arial"/>
          <w:sz w:val="18"/>
          <w:szCs w:val="18"/>
        </w:rPr>
        <w:t>‡ Measure Types Installed are the distinct count of PGL measure names.</w:t>
      </w:r>
      <w:r w:rsidRPr="00696505">
        <w:rPr>
          <w:rFonts w:cs="Arial"/>
          <w:sz w:val="18"/>
          <w:szCs w:val="18"/>
        </w:rPr>
        <w:t xml:space="preserve"> </w:t>
      </w:r>
      <w:r>
        <w:rPr>
          <w:rFonts w:cs="Arial"/>
          <w:sz w:val="18"/>
          <w:szCs w:val="18"/>
        </w:rPr>
        <w:br/>
      </w:r>
      <w:r w:rsidR="00D80A0A">
        <w:rPr>
          <w:rFonts w:cs="Arial"/>
          <w:i/>
          <w:iCs/>
          <w:sz w:val="18"/>
          <w:szCs w:val="18"/>
        </w:rPr>
        <w:t xml:space="preserve"> </w:t>
      </w:r>
      <w:r w:rsidR="00622728" w:rsidRPr="00696505">
        <w:rPr>
          <w:rFonts w:cs="Arial"/>
          <w:i/>
          <w:iCs/>
          <w:sz w:val="18"/>
          <w:szCs w:val="18"/>
        </w:rPr>
        <w:t>Source: Peoples Gas tracking data and Guidehouse evaluation team analysis.</w:t>
      </w:r>
      <w:r w:rsidR="00837602">
        <w:rPr>
          <w:rFonts w:cs="Arial"/>
          <w:sz w:val="18"/>
          <w:szCs w:val="18"/>
        </w:rPr>
        <w:br/>
      </w:r>
    </w:p>
    <w:p w14:paraId="62B1FC1F" w14:textId="2BD93FF4" w:rsidR="001722DE" w:rsidRDefault="00480F8F" w:rsidP="001722DE">
      <w:r>
        <w:fldChar w:fldCharType="begin"/>
      </w:r>
      <w:r>
        <w:instrText xml:space="preserve"> REF _Ref192762958 \h </w:instrText>
      </w:r>
      <w:r>
        <w:fldChar w:fldCharType="separate"/>
      </w:r>
      <w:r w:rsidR="00434B54">
        <w:t xml:space="preserve">Table </w:t>
      </w:r>
      <w:r w:rsidR="00434B54">
        <w:rPr>
          <w:noProof/>
        </w:rPr>
        <w:t>11</w:t>
      </w:r>
      <w:r>
        <w:fldChar w:fldCharType="end"/>
      </w:r>
      <w:r>
        <w:t xml:space="preserve"> </w:t>
      </w:r>
      <w:r w:rsidR="001722DE" w:rsidRPr="00A90B62">
        <w:t>summarize</w:t>
      </w:r>
      <w:r w:rsidR="001722DE">
        <w:t>s</w:t>
      </w:r>
      <w:r w:rsidR="001722DE" w:rsidRPr="00A90B62">
        <w:t xml:space="preserve"> the</w:t>
      </w:r>
      <w:r w:rsidR="001722DE">
        <w:t xml:space="preserve"> installed measure quantities that are the basis for verified energy savings.</w:t>
      </w:r>
    </w:p>
    <w:p w14:paraId="612213CB" w14:textId="2686FAD9" w:rsidR="001722DE" w:rsidRDefault="001722DE" w:rsidP="004B73FE">
      <w:pPr>
        <w:pStyle w:val="Caption"/>
      </w:pPr>
      <w:bookmarkStart w:id="88" w:name="_Ref192762958"/>
      <w:bookmarkStart w:id="89" w:name="_Toc193349186"/>
      <w:bookmarkStart w:id="90" w:name="_Toc193349220"/>
      <w:bookmarkStart w:id="91" w:name="_Toc193349935"/>
      <w:r>
        <w:t xml:space="preserve">Table </w:t>
      </w:r>
      <w:r w:rsidR="0034721B">
        <w:fldChar w:fldCharType="begin"/>
      </w:r>
      <w:r w:rsidR="0034721B">
        <w:instrText xml:space="preserve"> SEQ Table \* ARABIC </w:instrText>
      </w:r>
      <w:r w:rsidR="0034721B">
        <w:fldChar w:fldCharType="separate"/>
      </w:r>
      <w:r w:rsidR="0034721B">
        <w:rPr>
          <w:noProof/>
        </w:rPr>
        <w:t>11</w:t>
      </w:r>
      <w:r w:rsidR="0034721B">
        <w:rPr>
          <w:noProof/>
        </w:rPr>
        <w:fldChar w:fldCharType="end"/>
      </w:r>
      <w:bookmarkEnd w:id="88"/>
      <w:r>
        <w:t xml:space="preserve">. </w:t>
      </w:r>
      <w:r w:rsidR="007228E1">
        <w:t>2024 PHES</w:t>
      </w:r>
      <w:r w:rsidR="00A47CAF">
        <w:t xml:space="preserve"> Program</w:t>
      </w:r>
      <w:r>
        <w:t xml:space="preserve"> Installed </w:t>
      </w:r>
      <w:r w:rsidRPr="0084176E">
        <w:t>Measure</w:t>
      </w:r>
      <w:r>
        <w:t xml:space="preserve"> Quantities for PGL</w:t>
      </w:r>
      <w:bookmarkEnd w:id="89"/>
      <w:bookmarkEnd w:id="90"/>
      <w:bookmarkEnd w:id="91"/>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1779"/>
        <w:gridCol w:w="1398"/>
        <w:gridCol w:w="3164"/>
        <w:gridCol w:w="1325"/>
        <w:gridCol w:w="1694"/>
      </w:tblGrid>
      <w:tr w:rsidR="001722DE" w:rsidRPr="00D56EDB" w14:paraId="4D1156D5" w14:textId="77777777" w:rsidTr="00A9737A">
        <w:trPr>
          <w:cnfStyle w:val="100000000000" w:firstRow="1" w:lastRow="0" w:firstColumn="0" w:lastColumn="0" w:oddVBand="0" w:evenVBand="0" w:oddHBand="0" w:evenHBand="0" w:firstRowFirstColumn="0" w:firstRowLastColumn="0" w:lastRowFirstColumn="0" w:lastRowLastColumn="0"/>
          <w:trHeight w:val="549"/>
          <w:tblHeader/>
          <w:jc w:val="left"/>
        </w:trPr>
        <w:tc>
          <w:tcPr>
            <w:cnfStyle w:val="001000000000" w:firstRow="0" w:lastRow="0" w:firstColumn="1" w:lastColumn="0" w:oddVBand="0" w:evenVBand="0" w:oddHBand="0" w:evenHBand="0" w:firstRowFirstColumn="0" w:firstRowLastColumn="0" w:lastRowFirstColumn="0" w:lastRowLastColumn="0"/>
            <w:tcW w:w="950" w:type="pct"/>
          </w:tcPr>
          <w:p w14:paraId="735E3294" w14:textId="77777777" w:rsidR="001722DE" w:rsidRPr="00D56EDB" w:rsidRDefault="001722DE" w:rsidP="00A9737A">
            <w:pPr>
              <w:keepNext/>
              <w:keepLines/>
              <w:jc w:val="left"/>
              <w:rPr>
                <w:rFonts w:ascii="Arial Narrow" w:hAnsi="Arial Narrow" w:cs="Arial"/>
                <w:b w:val="0"/>
                <w:bCs/>
                <w:color w:val="FFFFFF"/>
                <w:sz w:val="20"/>
                <w:szCs w:val="20"/>
              </w:rPr>
            </w:pPr>
            <w:r w:rsidRPr="00D56EDB">
              <w:rPr>
                <w:rFonts w:ascii="Arial Narrow" w:hAnsi="Arial Narrow" w:cs="Arial"/>
                <w:b w:val="0"/>
                <w:bCs/>
                <w:color w:val="FFFFFF"/>
                <w:sz w:val="20"/>
                <w:szCs w:val="20"/>
              </w:rPr>
              <w:t>Program Category</w:t>
            </w:r>
          </w:p>
        </w:tc>
        <w:tc>
          <w:tcPr>
            <w:tcW w:w="747" w:type="pct"/>
          </w:tcPr>
          <w:p w14:paraId="7FC73DD0" w14:textId="77777777" w:rsidR="001722DE" w:rsidRPr="00D56EDB" w:rsidRDefault="001722DE" w:rsidP="00A9737A">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D56EDB">
              <w:rPr>
                <w:rFonts w:ascii="Arial Narrow" w:hAnsi="Arial Narrow" w:cs="Arial"/>
                <w:b w:val="0"/>
                <w:bCs/>
                <w:color w:val="FFFFFF"/>
                <w:sz w:val="20"/>
                <w:szCs w:val="20"/>
              </w:rPr>
              <w:t>Program Path</w:t>
            </w:r>
          </w:p>
        </w:tc>
        <w:tc>
          <w:tcPr>
            <w:tcW w:w="1690" w:type="pct"/>
            <w:hideMark/>
          </w:tcPr>
          <w:p w14:paraId="199B640E" w14:textId="77777777" w:rsidR="001722DE" w:rsidRPr="00D56EDB" w:rsidRDefault="001722DE" w:rsidP="00A9737A">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D56EDB">
              <w:rPr>
                <w:rFonts w:ascii="Arial Narrow" w:hAnsi="Arial Narrow" w:cs="Arial"/>
                <w:b w:val="0"/>
                <w:bCs/>
                <w:color w:val="FFFFFF"/>
                <w:sz w:val="20"/>
                <w:szCs w:val="20"/>
              </w:rPr>
              <w:t>Measure</w:t>
            </w:r>
          </w:p>
        </w:tc>
        <w:tc>
          <w:tcPr>
            <w:tcW w:w="708" w:type="pct"/>
          </w:tcPr>
          <w:p w14:paraId="795A1A90" w14:textId="77777777" w:rsidR="001722DE" w:rsidRPr="00D56EDB" w:rsidRDefault="001722DE" w:rsidP="00A9737A">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D56EDB">
              <w:rPr>
                <w:rFonts w:ascii="Arial Narrow" w:hAnsi="Arial Narrow"/>
                <w:b w:val="0"/>
                <w:sz w:val="20"/>
                <w:szCs w:val="20"/>
              </w:rPr>
              <w:t>Quantity Unit</w:t>
            </w:r>
          </w:p>
        </w:tc>
        <w:tc>
          <w:tcPr>
            <w:tcW w:w="906" w:type="pct"/>
          </w:tcPr>
          <w:p w14:paraId="10BA1055" w14:textId="77777777" w:rsidR="001722DE" w:rsidRPr="00D56EDB" w:rsidRDefault="001722DE" w:rsidP="00A9737A">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D56EDB">
              <w:rPr>
                <w:rFonts w:ascii="Arial Narrow" w:hAnsi="Arial Narrow"/>
                <w:b w:val="0"/>
                <w:sz w:val="20"/>
                <w:szCs w:val="20"/>
              </w:rPr>
              <w:t>Installed Quantity</w:t>
            </w:r>
          </w:p>
        </w:tc>
      </w:tr>
      <w:tr w:rsidR="006224D4" w:rsidRPr="00D56EDB" w14:paraId="66674F57" w14:textId="77777777" w:rsidTr="00A9737A">
        <w:trPr>
          <w:cnfStyle w:val="000000100000" w:firstRow="0" w:lastRow="0" w:firstColumn="0" w:lastColumn="0" w:oddVBand="0" w:evenVBand="0" w:oddHBand="1" w:evenHBand="0"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2D3D0DEF" w14:textId="6EC50B40" w:rsidR="006224D4" w:rsidRPr="00D56EDB" w:rsidRDefault="006224D4" w:rsidP="00A9737A">
            <w:pPr>
              <w:keepNext/>
              <w:keepLines/>
              <w:jc w:val="left"/>
              <w:rPr>
                <w:rFonts w:ascii="Arial Narrow" w:hAnsi="Arial Narrow"/>
                <w:b/>
                <w:bCs/>
                <w:color w:val="000000"/>
                <w:sz w:val="20"/>
                <w:szCs w:val="20"/>
              </w:rPr>
            </w:pPr>
            <w:r w:rsidRPr="00D56EDB">
              <w:rPr>
                <w:rFonts w:ascii="Arial Narrow" w:hAnsi="Arial Narrow"/>
                <w:b/>
                <w:bCs/>
                <w:color w:val="000000"/>
                <w:sz w:val="20"/>
                <w:szCs w:val="20"/>
              </w:rPr>
              <w:t>Multi-Family</w:t>
            </w:r>
          </w:p>
        </w:tc>
        <w:tc>
          <w:tcPr>
            <w:tcW w:w="747" w:type="pct"/>
          </w:tcPr>
          <w:p w14:paraId="1A4C5A86" w14:textId="4323FC10" w:rsidR="006224D4" w:rsidRPr="00D56EDB" w:rsidRDefault="006224D4" w:rsidP="00A9737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Public Housing</w:t>
            </w:r>
          </w:p>
        </w:tc>
        <w:tc>
          <w:tcPr>
            <w:tcW w:w="1690" w:type="pct"/>
          </w:tcPr>
          <w:p w14:paraId="7E399234" w14:textId="38729F67" w:rsidR="006224D4" w:rsidRPr="00D56EDB" w:rsidRDefault="006224D4" w:rsidP="00A9737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Furnace Tune Up</w:t>
            </w:r>
          </w:p>
        </w:tc>
        <w:tc>
          <w:tcPr>
            <w:tcW w:w="708" w:type="pct"/>
            <w:noWrap/>
          </w:tcPr>
          <w:p w14:paraId="01AAD8B2" w14:textId="38224255" w:rsidR="006224D4" w:rsidRPr="00D56EDB" w:rsidRDefault="006224D4" w:rsidP="00A9737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1247C543" w14:textId="5A749EBB" w:rsidR="006224D4" w:rsidRPr="00D56EDB" w:rsidRDefault="006224D4" w:rsidP="00A9737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1,519</w:t>
            </w:r>
          </w:p>
        </w:tc>
      </w:tr>
      <w:tr w:rsidR="006224D4" w:rsidRPr="00D56EDB" w14:paraId="2748DBCC" w14:textId="77777777" w:rsidTr="00A9737A">
        <w:trPr>
          <w:cnfStyle w:val="000000010000" w:firstRow="0" w:lastRow="0" w:firstColumn="0" w:lastColumn="0" w:oddVBand="0" w:evenVBand="0" w:oddHBand="0" w:evenHBand="1"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245BAFB3" w14:textId="77777777" w:rsidR="006224D4" w:rsidRPr="00D56EDB" w:rsidRDefault="006224D4" w:rsidP="00A9737A">
            <w:pPr>
              <w:keepNext/>
              <w:keepLines/>
              <w:jc w:val="left"/>
              <w:rPr>
                <w:rFonts w:ascii="Arial Narrow" w:hAnsi="Arial Narrow"/>
                <w:color w:val="000000"/>
                <w:sz w:val="20"/>
                <w:szCs w:val="20"/>
              </w:rPr>
            </w:pPr>
          </w:p>
        </w:tc>
        <w:tc>
          <w:tcPr>
            <w:tcW w:w="747" w:type="pct"/>
          </w:tcPr>
          <w:p w14:paraId="6C701980" w14:textId="4652ED17" w:rsidR="006224D4" w:rsidRPr="00D56EDB" w:rsidRDefault="006224D4" w:rsidP="00A9737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238F3B8A" w14:textId="0D0E0F2E" w:rsidR="006224D4" w:rsidRPr="00D56EDB" w:rsidRDefault="006224D4" w:rsidP="00A9737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Assessment/No Savings</w:t>
            </w:r>
          </w:p>
        </w:tc>
        <w:tc>
          <w:tcPr>
            <w:tcW w:w="708" w:type="pct"/>
            <w:noWrap/>
          </w:tcPr>
          <w:p w14:paraId="48EBD04F" w14:textId="2B3569BE" w:rsidR="006224D4" w:rsidRPr="00D56EDB" w:rsidRDefault="006224D4" w:rsidP="00A9737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19A342DD" w14:textId="49F45772" w:rsidR="006224D4" w:rsidRPr="00D56EDB" w:rsidRDefault="006224D4" w:rsidP="00A9737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389</w:t>
            </w:r>
          </w:p>
        </w:tc>
      </w:tr>
      <w:tr w:rsidR="006224D4" w:rsidRPr="00D56EDB" w14:paraId="27B1D320" w14:textId="77777777" w:rsidTr="00A9737A">
        <w:trPr>
          <w:cnfStyle w:val="000000100000" w:firstRow="0" w:lastRow="0" w:firstColumn="0" w:lastColumn="0" w:oddVBand="0" w:evenVBand="0" w:oddHBand="1" w:evenHBand="0"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3124EDD6" w14:textId="77777777" w:rsidR="006224D4" w:rsidRPr="00D56EDB" w:rsidRDefault="006224D4" w:rsidP="00A9737A">
            <w:pPr>
              <w:keepNext/>
              <w:keepLines/>
              <w:jc w:val="left"/>
              <w:rPr>
                <w:rFonts w:ascii="Arial Narrow" w:hAnsi="Arial Narrow"/>
                <w:color w:val="000000"/>
                <w:sz w:val="20"/>
                <w:szCs w:val="20"/>
              </w:rPr>
            </w:pPr>
          </w:p>
        </w:tc>
        <w:tc>
          <w:tcPr>
            <w:tcW w:w="747" w:type="pct"/>
          </w:tcPr>
          <w:p w14:paraId="70C50494" w14:textId="159DE4E1" w:rsidR="006224D4" w:rsidRPr="00D56EDB" w:rsidRDefault="006224D4" w:rsidP="00A9737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514D99CD" w14:textId="442D752A" w:rsidR="006224D4" w:rsidRPr="00D56EDB" w:rsidRDefault="006224D4" w:rsidP="00A9737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Pipe Insulation</w:t>
            </w:r>
          </w:p>
        </w:tc>
        <w:tc>
          <w:tcPr>
            <w:tcW w:w="708" w:type="pct"/>
            <w:noWrap/>
          </w:tcPr>
          <w:p w14:paraId="29122704" w14:textId="2BCB50CA" w:rsidR="006224D4" w:rsidRPr="00D56EDB" w:rsidRDefault="006224D4" w:rsidP="00A9737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Ln Ft</w:t>
            </w:r>
          </w:p>
        </w:tc>
        <w:tc>
          <w:tcPr>
            <w:tcW w:w="906" w:type="pct"/>
            <w:noWrap/>
          </w:tcPr>
          <w:p w14:paraId="386F7A41" w14:textId="0984D7FE" w:rsidR="006224D4" w:rsidRPr="00D56EDB" w:rsidRDefault="006224D4" w:rsidP="00A9737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200</w:t>
            </w:r>
          </w:p>
        </w:tc>
      </w:tr>
      <w:tr w:rsidR="006224D4" w:rsidRPr="00D56EDB" w14:paraId="7E9020A3" w14:textId="77777777" w:rsidTr="00A9737A">
        <w:trPr>
          <w:cnfStyle w:val="000000010000" w:firstRow="0" w:lastRow="0" w:firstColumn="0" w:lastColumn="0" w:oddVBand="0" w:evenVBand="0" w:oddHBand="0" w:evenHBand="1"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6BFD3F59" w14:textId="77556B4B" w:rsidR="006224D4" w:rsidRPr="00D56EDB" w:rsidRDefault="006224D4" w:rsidP="00A9737A">
            <w:pPr>
              <w:keepNext/>
              <w:keepLines/>
              <w:jc w:val="left"/>
              <w:rPr>
                <w:rFonts w:ascii="Arial Narrow" w:hAnsi="Arial Narrow"/>
                <w:color w:val="000000"/>
                <w:sz w:val="20"/>
                <w:szCs w:val="20"/>
              </w:rPr>
            </w:pPr>
          </w:p>
        </w:tc>
        <w:tc>
          <w:tcPr>
            <w:tcW w:w="747" w:type="pct"/>
          </w:tcPr>
          <w:p w14:paraId="6D743988" w14:textId="72E95A9F" w:rsidR="006224D4" w:rsidRPr="00D56EDB" w:rsidRDefault="006224D4" w:rsidP="00A9737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1ED00E85" w14:textId="78F6500B" w:rsidR="006224D4" w:rsidRPr="00D56EDB" w:rsidRDefault="006224D4" w:rsidP="00A9737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Shower Timer (IU)</w:t>
            </w:r>
          </w:p>
        </w:tc>
        <w:tc>
          <w:tcPr>
            <w:tcW w:w="708" w:type="pct"/>
            <w:noWrap/>
          </w:tcPr>
          <w:p w14:paraId="2EC9BE63" w14:textId="1B60783B" w:rsidR="006224D4" w:rsidRPr="00D56EDB" w:rsidRDefault="006224D4" w:rsidP="00A9737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Each</w:t>
            </w:r>
          </w:p>
        </w:tc>
        <w:tc>
          <w:tcPr>
            <w:tcW w:w="906" w:type="pct"/>
            <w:noWrap/>
          </w:tcPr>
          <w:p w14:paraId="0C99AD0A" w14:textId="6405F41E" w:rsidR="006224D4" w:rsidRPr="00D56EDB" w:rsidRDefault="006224D4" w:rsidP="00A9737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114</w:t>
            </w:r>
          </w:p>
        </w:tc>
      </w:tr>
      <w:tr w:rsidR="006224D4" w:rsidRPr="00D56EDB" w14:paraId="6BC8F180" w14:textId="77777777" w:rsidTr="00A9737A">
        <w:trPr>
          <w:cnfStyle w:val="000000100000" w:firstRow="0" w:lastRow="0" w:firstColumn="0" w:lastColumn="0" w:oddVBand="0" w:evenVBand="0" w:oddHBand="1" w:evenHBand="0"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7A40FC68" w14:textId="77777777" w:rsidR="006224D4" w:rsidRPr="00D56EDB" w:rsidRDefault="006224D4" w:rsidP="00A9737A">
            <w:pPr>
              <w:keepNext/>
              <w:keepLines/>
              <w:jc w:val="left"/>
              <w:rPr>
                <w:rFonts w:ascii="Arial Narrow" w:hAnsi="Arial Narrow"/>
                <w:color w:val="000000"/>
                <w:sz w:val="20"/>
                <w:szCs w:val="20"/>
              </w:rPr>
            </w:pPr>
          </w:p>
        </w:tc>
        <w:tc>
          <w:tcPr>
            <w:tcW w:w="747" w:type="pct"/>
          </w:tcPr>
          <w:p w14:paraId="2A2010E7" w14:textId="3131B9EF" w:rsidR="006224D4" w:rsidRPr="00D56EDB" w:rsidRDefault="006224D4" w:rsidP="00A9737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2B352FC8" w14:textId="7E454598" w:rsidR="006224D4" w:rsidRPr="00D56EDB" w:rsidRDefault="006224D4" w:rsidP="00A9737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xml:space="preserve">Covers and Gap Sealers for Room AC </w:t>
            </w:r>
          </w:p>
        </w:tc>
        <w:tc>
          <w:tcPr>
            <w:tcW w:w="708" w:type="pct"/>
            <w:noWrap/>
          </w:tcPr>
          <w:p w14:paraId="3276D889" w14:textId="0A64D420" w:rsidR="006224D4" w:rsidRPr="00D56EDB" w:rsidRDefault="006224D4" w:rsidP="00A9737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145DC12F" w14:textId="4F086D36" w:rsidR="006224D4" w:rsidRPr="00D56EDB" w:rsidRDefault="006224D4" w:rsidP="00A9737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113</w:t>
            </w:r>
          </w:p>
        </w:tc>
      </w:tr>
      <w:tr w:rsidR="006224D4" w:rsidRPr="00D56EDB" w14:paraId="3674CDA4" w14:textId="77777777" w:rsidTr="00A9737A">
        <w:trPr>
          <w:cnfStyle w:val="000000010000" w:firstRow="0" w:lastRow="0" w:firstColumn="0" w:lastColumn="0" w:oddVBand="0" w:evenVBand="0" w:oddHBand="0" w:evenHBand="1"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16E5BC01" w14:textId="77777777" w:rsidR="006224D4" w:rsidRPr="00D56EDB" w:rsidRDefault="006224D4" w:rsidP="00A9737A">
            <w:pPr>
              <w:keepNext/>
              <w:keepLines/>
              <w:jc w:val="left"/>
              <w:rPr>
                <w:rFonts w:ascii="Arial Narrow" w:hAnsi="Arial Narrow"/>
                <w:color w:val="000000"/>
                <w:sz w:val="20"/>
                <w:szCs w:val="20"/>
              </w:rPr>
            </w:pPr>
          </w:p>
        </w:tc>
        <w:tc>
          <w:tcPr>
            <w:tcW w:w="747" w:type="pct"/>
          </w:tcPr>
          <w:p w14:paraId="066A39A0" w14:textId="1C009F58" w:rsidR="006224D4" w:rsidRPr="00D56EDB" w:rsidRDefault="006224D4" w:rsidP="00A9737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343158A3" w14:textId="27F24C87" w:rsidR="006224D4" w:rsidRPr="00D56EDB" w:rsidRDefault="006224D4" w:rsidP="00A9737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Faucet Aerator - Bathroom (IU)</w:t>
            </w:r>
          </w:p>
        </w:tc>
        <w:tc>
          <w:tcPr>
            <w:tcW w:w="708" w:type="pct"/>
            <w:noWrap/>
          </w:tcPr>
          <w:p w14:paraId="642230D1" w14:textId="5276406B" w:rsidR="006224D4" w:rsidRPr="00D56EDB" w:rsidRDefault="006224D4" w:rsidP="00A9737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0EB7A655" w14:textId="0D4FAF01" w:rsidR="006224D4" w:rsidRPr="00D56EDB" w:rsidRDefault="006224D4" w:rsidP="00A9737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90</w:t>
            </w:r>
          </w:p>
        </w:tc>
      </w:tr>
      <w:tr w:rsidR="006224D4" w:rsidRPr="00D56EDB" w14:paraId="42E4A0D2" w14:textId="77777777" w:rsidTr="00A9737A">
        <w:trPr>
          <w:cnfStyle w:val="000000100000" w:firstRow="0" w:lastRow="0" w:firstColumn="0" w:lastColumn="0" w:oddVBand="0" w:evenVBand="0" w:oddHBand="1" w:evenHBand="0"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3C5ABE0A" w14:textId="77777777" w:rsidR="006224D4" w:rsidRPr="00D56EDB" w:rsidRDefault="006224D4" w:rsidP="00A9737A">
            <w:pPr>
              <w:keepNext/>
              <w:keepLines/>
              <w:rPr>
                <w:rFonts w:ascii="Arial Narrow" w:hAnsi="Arial Narrow"/>
                <w:color w:val="000000"/>
                <w:sz w:val="20"/>
                <w:szCs w:val="20"/>
              </w:rPr>
            </w:pPr>
          </w:p>
        </w:tc>
        <w:tc>
          <w:tcPr>
            <w:tcW w:w="747" w:type="pct"/>
          </w:tcPr>
          <w:p w14:paraId="00394C38" w14:textId="4B1A2280" w:rsidR="006224D4" w:rsidRPr="00D56EDB" w:rsidRDefault="006224D4" w:rsidP="00A9737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312DB7DE" w14:textId="30585FB3" w:rsidR="006224D4" w:rsidRPr="00D56EDB" w:rsidRDefault="006224D4" w:rsidP="00A9737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Steam Traps</w:t>
            </w:r>
          </w:p>
        </w:tc>
        <w:tc>
          <w:tcPr>
            <w:tcW w:w="708" w:type="pct"/>
            <w:noWrap/>
          </w:tcPr>
          <w:p w14:paraId="41F389FB" w14:textId="704C0D54" w:rsidR="006224D4" w:rsidRPr="00D56EDB" w:rsidRDefault="006224D4" w:rsidP="00A9737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37012B3D" w14:textId="401BE4CD" w:rsidR="006224D4" w:rsidRPr="00D56EDB" w:rsidRDefault="006224D4" w:rsidP="00A9737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84</w:t>
            </w:r>
          </w:p>
        </w:tc>
      </w:tr>
      <w:tr w:rsidR="006224D4" w:rsidRPr="00D56EDB" w14:paraId="09D8A520" w14:textId="77777777" w:rsidTr="00A9737A">
        <w:trPr>
          <w:cnfStyle w:val="000000010000" w:firstRow="0" w:lastRow="0" w:firstColumn="0" w:lastColumn="0" w:oddVBand="0" w:evenVBand="0" w:oddHBand="0" w:evenHBand="1"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57FA7413" w14:textId="77777777" w:rsidR="006224D4" w:rsidRPr="00D56EDB" w:rsidRDefault="006224D4" w:rsidP="00A9737A">
            <w:pPr>
              <w:keepNext/>
              <w:keepLines/>
              <w:rPr>
                <w:rFonts w:ascii="Arial Narrow" w:hAnsi="Arial Narrow"/>
                <w:color w:val="000000"/>
                <w:sz w:val="20"/>
                <w:szCs w:val="20"/>
              </w:rPr>
            </w:pPr>
          </w:p>
        </w:tc>
        <w:tc>
          <w:tcPr>
            <w:tcW w:w="747" w:type="pct"/>
          </w:tcPr>
          <w:p w14:paraId="3E43EA4C" w14:textId="77FAF04B" w:rsidR="006224D4" w:rsidRPr="00D56EDB" w:rsidRDefault="006224D4" w:rsidP="00A9737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4E8046F1" w14:textId="79EA0735" w:rsidR="006224D4" w:rsidRPr="00D56EDB" w:rsidRDefault="006224D4" w:rsidP="00A9737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Faucet Aerator - Kitchen (IU)</w:t>
            </w:r>
          </w:p>
        </w:tc>
        <w:tc>
          <w:tcPr>
            <w:tcW w:w="708" w:type="pct"/>
            <w:noWrap/>
          </w:tcPr>
          <w:p w14:paraId="2A2E6385" w14:textId="44A15ABD" w:rsidR="006224D4" w:rsidRPr="00D56EDB" w:rsidRDefault="006224D4" w:rsidP="00A9737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50ACA23B" w14:textId="3E2341A5" w:rsidR="006224D4" w:rsidRPr="00D56EDB" w:rsidRDefault="006224D4" w:rsidP="00A9737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83</w:t>
            </w:r>
          </w:p>
        </w:tc>
      </w:tr>
      <w:tr w:rsidR="006224D4" w:rsidRPr="00D56EDB" w14:paraId="1576775F" w14:textId="77777777" w:rsidTr="00A9737A">
        <w:trPr>
          <w:cnfStyle w:val="000000100000" w:firstRow="0" w:lastRow="0" w:firstColumn="0" w:lastColumn="0" w:oddVBand="0" w:evenVBand="0" w:oddHBand="1" w:evenHBand="0"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5743817C" w14:textId="77777777" w:rsidR="006224D4" w:rsidRPr="00D56EDB" w:rsidRDefault="006224D4" w:rsidP="00A9737A">
            <w:pPr>
              <w:keepNext/>
              <w:keepLines/>
              <w:rPr>
                <w:rFonts w:ascii="Arial Narrow" w:hAnsi="Arial Narrow"/>
                <w:color w:val="000000"/>
                <w:sz w:val="20"/>
                <w:szCs w:val="20"/>
              </w:rPr>
            </w:pPr>
          </w:p>
        </w:tc>
        <w:tc>
          <w:tcPr>
            <w:tcW w:w="747" w:type="pct"/>
          </w:tcPr>
          <w:p w14:paraId="53CB491D" w14:textId="668464FE" w:rsidR="006224D4" w:rsidRPr="00D56EDB" w:rsidRDefault="006224D4" w:rsidP="00A9737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38C0B9EC" w14:textId="5CA16B11" w:rsidR="006224D4" w:rsidRPr="00D56EDB" w:rsidRDefault="006224D4" w:rsidP="00A9737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Showerhead (IU)</w:t>
            </w:r>
          </w:p>
        </w:tc>
        <w:tc>
          <w:tcPr>
            <w:tcW w:w="708" w:type="pct"/>
            <w:noWrap/>
          </w:tcPr>
          <w:p w14:paraId="54A96B26" w14:textId="7651676E" w:rsidR="006224D4" w:rsidRPr="00D56EDB" w:rsidRDefault="006224D4" w:rsidP="00A9737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02807789" w14:textId="2C00D533" w:rsidR="006224D4" w:rsidRPr="00D56EDB" w:rsidRDefault="006224D4" w:rsidP="00A9737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65</w:t>
            </w:r>
          </w:p>
        </w:tc>
      </w:tr>
      <w:tr w:rsidR="006224D4" w:rsidRPr="00D56EDB" w14:paraId="539E5CF1" w14:textId="77777777" w:rsidTr="00A9737A">
        <w:trPr>
          <w:cnfStyle w:val="000000010000" w:firstRow="0" w:lastRow="0" w:firstColumn="0" w:lastColumn="0" w:oddVBand="0" w:evenVBand="0" w:oddHBand="0" w:evenHBand="1"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7CCE3E9E" w14:textId="77777777" w:rsidR="006224D4" w:rsidRPr="00D56EDB" w:rsidRDefault="006224D4" w:rsidP="00A9737A">
            <w:pPr>
              <w:keepNext/>
              <w:keepLines/>
              <w:rPr>
                <w:rFonts w:ascii="Arial Narrow" w:hAnsi="Arial Narrow"/>
                <w:color w:val="000000"/>
                <w:sz w:val="20"/>
                <w:szCs w:val="20"/>
              </w:rPr>
            </w:pPr>
          </w:p>
        </w:tc>
        <w:tc>
          <w:tcPr>
            <w:tcW w:w="747" w:type="pct"/>
          </w:tcPr>
          <w:p w14:paraId="0F4532B4" w14:textId="612F1EE4" w:rsidR="006224D4" w:rsidRPr="00D56EDB" w:rsidRDefault="006224D4" w:rsidP="00A9737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6CB6EE3E" w14:textId="0C2404A2" w:rsidR="006224D4" w:rsidRPr="00D56EDB" w:rsidRDefault="006224D4" w:rsidP="00A9737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Boiler Tune Up</w:t>
            </w:r>
          </w:p>
        </w:tc>
        <w:tc>
          <w:tcPr>
            <w:tcW w:w="708" w:type="pct"/>
            <w:noWrap/>
          </w:tcPr>
          <w:p w14:paraId="40DEABF9" w14:textId="0FE7FDCE" w:rsidR="006224D4" w:rsidRPr="00D56EDB" w:rsidRDefault="006224D4" w:rsidP="00A9737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39783537" w14:textId="759BF3D9" w:rsidR="006224D4" w:rsidRPr="00D56EDB" w:rsidRDefault="006224D4" w:rsidP="00A9737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19</w:t>
            </w:r>
          </w:p>
        </w:tc>
      </w:tr>
      <w:tr w:rsidR="006224D4" w:rsidRPr="00D56EDB" w14:paraId="5B4CE702" w14:textId="77777777" w:rsidTr="00A9737A">
        <w:trPr>
          <w:cnfStyle w:val="000000100000" w:firstRow="0" w:lastRow="0" w:firstColumn="0" w:lastColumn="0" w:oddVBand="0" w:evenVBand="0" w:oddHBand="1" w:evenHBand="0" w:firstRowFirstColumn="0" w:firstRowLastColumn="0" w:lastRowFirstColumn="0" w:lastRowLastColumn="0"/>
          <w:trHeight w:val="20"/>
          <w:jc w:val="left"/>
        </w:trPr>
        <w:tc>
          <w:tcPr>
            <w:cnfStyle w:val="001000000000" w:firstRow="0" w:lastRow="0" w:firstColumn="1" w:lastColumn="0" w:oddVBand="0" w:evenVBand="0" w:oddHBand="0" w:evenHBand="0" w:firstRowFirstColumn="0" w:firstRowLastColumn="0" w:lastRowFirstColumn="0" w:lastRowLastColumn="0"/>
            <w:tcW w:w="950" w:type="pct"/>
          </w:tcPr>
          <w:p w14:paraId="7D605AD8" w14:textId="77777777" w:rsidR="006224D4" w:rsidRPr="00D56EDB" w:rsidRDefault="006224D4" w:rsidP="00A9737A">
            <w:pPr>
              <w:keepNext/>
              <w:keepLines/>
              <w:rPr>
                <w:rFonts w:ascii="Arial Narrow" w:hAnsi="Arial Narrow"/>
                <w:color w:val="000000"/>
                <w:sz w:val="20"/>
                <w:szCs w:val="20"/>
              </w:rPr>
            </w:pPr>
          </w:p>
        </w:tc>
        <w:tc>
          <w:tcPr>
            <w:tcW w:w="747" w:type="pct"/>
          </w:tcPr>
          <w:p w14:paraId="748A13BD" w14:textId="7D89C718" w:rsidR="006224D4" w:rsidRPr="00D56EDB" w:rsidRDefault="006224D4" w:rsidP="00A9737A">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 </w:t>
            </w:r>
          </w:p>
        </w:tc>
        <w:tc>
          <w:tcPr>
            <w:tcW w:w="1690" w:type="pct"/>
          </w:tcPr>
          <w:p w14:paraId="702442DA" w14:textId="7F7C91A3" w:rsidR="006224D4" w:rsidRPr="00D56EDB" w:rsidRDefault="006224D4" w:rsidP="00A9737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Water Heater</w:t>
            </w:r>
          </w:p>
        </w:tc>
        <w:tc>
          <w:tcPr>
            <w:tcW w:w="708" w:type="pct"/>
            <w:noWrap/>
          </w:tcPr>
          <w:p w14:paraId="3A259583" w14:textId="42FDE0CB" w:rsidR="006224D4" w:rsidRPr="00D56EDB" w:rsidRDefault="006224D4" w:rsidP="00A9737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Unit</w:t>
            </w:r>
          </w:p>
        </w:tc>
        <w:tc>
          <w:tcPr>
            <w:tcW w:w="906" w:type="pct"/>
            <w:noWrap/>
          </w:tcPr>
          <w:p w14:paraId="4EE5A738" w14:textId="0D63E1F4" w:rsidR="006224D4" w:rsidRPr="00D56EDB" w:rsidRDefault="006224D4" w:rsidP="00A9737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D56EDB">
              <w:rPr>
                <w:rFonts w:ascii="Arial Narrow" w:hAnsi="Arial Narrow" w:cs="Calibri"/>
                <w:color w:val="000000"/>
                <w:sz w:val="20"/>
                <w:szCs w:val="20"/>
              </w:rPr>
              <w:t>2</w:t>
            </w:r>
          </w:p>
        </w:tc>
      </w:tr>
    </w:tbl>
    <w:p w14:paraId="3A01E059" w14:textId="77777777" w:rsidR="001722DE" w:rsidRPr="00F65903" w:rsidRDefault="001722DE" w:rsidP="00FA7FC9">
      <w:pPr>
        <w:pStyle w:val="Source"/>
        <w:keepNext/>
        <w:keepLines/>
        <w:rPr>
          <w:sz w:val="18"/>
          <w:szCs w:val="18"/>
        </w:rPr>
      </w:pPr>
      <w:r w:rsidRPr="00F65903">
        <w:rPr>
          <w:sz w:val="18"/>
          <w:szCs w:val="18"/>
        </w:rPr>
        <w:t>Source: Peoples Gas tracking data and Guidehouse evaluation team analysis.</w:t>
      </w:r>
    </w:p>
    <w:p w14:paraId="7F1EB363" w14:textId="77777777" w:rsidR="00220AE5" w:rsidRDefault="00220AE5" w:rsidP="001722DE"/>
    <w:p w14:paraId="5745F344" w14:textId="1F3CEB61" w:rsidR="001722DE" w:rsidRDefault="001722DE" w:rsidP="001722DE">
      <w:r>
        <w:t>The NSG</w:t>
      </w:r>
      <w:r w:rsidR="005836AE">
        <w:t xml:space="preserve"> PHES</w:t>
      </w:r>
      <w:r>
        <w:t xml:space="preserve"> program had </w:t>
      </w:r>
      <w:r w:rsidR="001B0921">
        <w:t>2</w:t>
      </w:r>
      <w:r>
        <w:t xml:space="preserve"> participants in 2024</w:t>
      </w:r>
      <w:r w:rsidR="00EC0824">
        <w:t>,</w:t>
      </w:r>
      <w:r>
        <w:t xml:space="preserve"> completed </w:t>
      </w:r>
      <w:r w:rsidR="001B0921">
        <w:t>2</w:t>
      </w:r>
      <w:r>
        <w:t xml:space="preserve"> projects</w:t>
      </w:r>
      <w:r w:rsidR="00EC0824">
        <w:t>, and installed 2 measure types</w:t>
      </w:r>
      <w:r>
        <w:t xml:space="preserve"> as shown in </w:t>
      </w:r>
      <w:r w:rsidR="00480F8F">
        <w:fldChar w:fldCharType="begin"/>
      </w:r>
      <w:r w:rsidR="00480F8F">
        <w:instrText xml:space="preserve"> REF _Ref192762978 \h </w:instrText>
      </w:r>
      <w:r w:rsidR="00480F8F">
        <w:fldChar w:fldCharType="separate"/>
      </w:r>
      <w:r w:rsidR="00434B54">
        <w:t xml:space="preserve">Table </w:t>
      </w:r>
      <w:r w:rsidR="00434B54">
        <w:rPr>
          <w:noProof/>
        </w:rPr>
        <w:t>12</w:t>
      </w:r>
      <w:r w:rsidR="00480F8F">
        <w:fldChar w:fldCharType="end"/>
      </w:r>
      <w:r>
        <w:t xml:space="preserve">. </w:t>
      </w:r>
    </w:p>
    <w:p w14:paraId="3192542A" w14:textId="7CA7011D" w:rsidR="001722DE" w:rsidRDefault="001722DE" w:rsidP="004B73FE">
      <w:pPr>
        <w:pStyle w:val="Caption"/>
      </w:pPr>
      <w:bookmarkStart w:id="92" w:name="_Ref192762978"/>
      <w:bookmarkStart w:id="93" w:name="_Toc193349187"/>
      <w:bookmarkStart w:id="94" w:name="_Toc193349221"/>
      <w:bookmarkStart w:id="95" w:name="_Toc193349936"/>
      <w:r>
        <w:t xml:space="preserve">Table </w:t>
      </w:r>
      <w:r w:rsidR="0034721B">
        <w:fldChar w:fldCharType="begin"/>
      </w:r>
      <w:r w:rsidR="0034721B">
        <w:instrText xml:space="preserve"> SEQ Table \* ARABIC </w:instrText>
      </w:r>
      <w:r w:rsidR="0034721B">
        <w:fldChar w:fldCharType="separate"/>
      </w:r>
      <w:r w:rsidR="0034721B">
        <w:rPr>
          <w:noProof/>
        </w:rPr>
        <w:t>12</w:t>
      </w:r>
      <w:r w:rsidR="0034721B">
        <w:rPr>
          <w:noProof/>
        </w:rPr>
        <w:fldChar w:fldCharType="end"/>
      </w:r>
      <w:bookmarkEnd w:id="92"/>
      <w:r>
        <w:t xml:space="preserve">. </w:t>
      </w:r>
      <w:r w:rsidR="00A47CAF">
        <w:t>2024 PHES Program</w:t>
      </w:r>
      <w:r>
        <w:t xml:space="preserve"> Volumetric Summary for NSG</w:t>
      </w:r>
      <w:bookmarkEnd w:id="93"/>
      <w:bookmarkEnd w:id="94"/>
      <w:bookmarkEnd w:id="95"/>
    </w:p>
    <w:tbl>
      <w:tblPr>
        <w:tblStyle w:val="EnergyTable"/>
        <w:tblW w:w="0" w:type="auto"/>
        <w:tblLook w:val="04A0" w:firstRow="1" w:lastRow="0" w:firstColumn="1" w:lastColumn="0" w:noHBand="0" w:noVBand="1"/>
      </w:tblPr>
      <w:tblGrid>
        <w:gridCol w:w="2140"/>
        <w:gridCol w:w="2003"/>
      </w:tblGrid>
      <w:tr w:rsidR="00E406D4" w:rsidRPr="00FA7FC9" w14:paraId="5328AC6A" w14:textId="77777777" w:rsidTr="00434B54">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55B3AEA4" w14:textId="486F03C0" w:rsidR="00E406D4" w:rsidRPr="00FA7FC9" w:rsidRDefault="00E406D4" w:rsidP="00FA7FC9">
            <w:pPr>
              <w:keepNext/>
              <w:keepLines/>
              <w:spacing w:before="0"/>
              <w:jc w:val="left"/>
              <w:rPr>
                <w:rFonts w:ascii="Arial Narrow" w:eastAsia="Calibri" w:hAnsi="Arial Narrow"/>
                <w:b w:val="0"/>
                <w:bCs/>
                <w:sz w:val="20"/>
                <w:szCs w:val="20"/>
              </w:rPr>
            </w:pPr>
            <w:r w:rsidRPr="00FA7FC9">
              <w:rPr>
                <w:rFonts w:ascii="Arial Narrow" w:hAnsi="Arial Narrow" w:cs="Calibri"/>
                <w:b w:val="0"/>
                <w:bCs/>
                <w:color w:val="FFFFFF"/>
                <w:sz w:val="20"/>
                <w:szCs w:val="20"/>
              </w:rPr>
              <w:t>Participation</w:t>
            </w:r>
          </w:p>
        </w:tc>
        <w:tc>
          <w:tcPr>
            <w:tcW w:w="0" w:type="auto"/>
          </w:tcPr>
          <w:p w14:paraId="4ABD6269" w14:textId="67B2710F" w:rsidR="00E406D4" w:rsidRPr="00FA7FC9" w:rsidRDefault="00E406D4" w:rsidP="00FA7FC9">
            <w:pPr>
              <w:keepNext/>
              <w:keepLines/>
              <w:spacing w:before="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FA7FC9">
              <w:rPr>
                <w:rFonts w:ascii="Arial Narrow" w:hAnsi="Arial Narrow" w:cs="Calibri"/>
                <w:b w:val="0"/>
                <w:bCs/>
                <w:color w:val="FFFFFF"/>
                <w:sz w:val="20"/>
                <w:szCs w:val="20"/>
              </w:rPr>
              <w:t>Public Housing</w:t>
            </w:r>
            <w:r w:rsidR="004F12A1" w:rsidRPr="00FA7FC9">
              <w:rPr>
                <w:rFonts w:ascii="Arial Narrow" w:hAnsi="Arial Narrow" w:cs="Calibri"/>
                <w:b w:val="0"/>
                <w:bCs/>
                <w:color w:val="FFFFFF"/>
                <w:sz w:val="20"/>
                <w:szCs w:val="20"/>
              </w:rPr>
              <w:t xml:space="preserve"> Authority</w:t>
            </w:r>
          </w:p>
        </w:tc>
      </w:tr>
      <w:tr w:rsidR="00E406D4" w:rsidRPr="00FA7FC9" w14:paraId="4947C1FC" w14:textId="77777777" w:rsidTr="00434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27861B8C" w14:textId="12555DA3" w:rsidR="00E406D4" w:rsidRPr="00FA7FC9" w:rsidRDefault="00E406D4" w:rsidP="00FA7FC9">
            <w:pPr>
              <w:keepNext/>
              <w:keepLines/>
              <w:spacing w:before="0"/>
              <w:jc w:val="left"/>
              <w:rPr>
                <w:rFonts w:ascii="Arial Narrow" w:eastAsia="Calibri" w:hAnsi="Arial Narrow"/>
                <w:bCs/>
                <w:color w:val="000000"/>
                <w:sz w:val="20"/>
                <w:szCs w:val="20"/>
              </w:rPr>
            </w:pPr>
            <w:r w:rsidRPr="00FA7FC9">
              <w:rPr>
                <w:rFonts w:ascii="Arial Narrow" w:hAnsi="Arial Narrow" w:cs="Calibri"/>
                <w:color w:val="000000"/>
                <w:sz w:val="20"/>
                <w:szCs w:val="20"/>
              </w:rPr>
              <w:t>Participants *</w:t>
            </w:r>
          </w:p>
        </w:tc>
        <w:tc>
          <w:tcPr>
            <w:tcW w:w="0" w:type="auto"/>
          </w:tcPr>
          <w:p w14:paraId="28411CF0" w14:textId="4B20D9CC" w:rsidR="00E406D4" w:rsidRPr="00FA7FC9" w:rsidRDefault="00E406D4" w:rsidP="00FA7FC9">
            <w:pPr>
              <w:keepNext/>
              <w:keepLines/>
              <w:spacing w:before="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A7FC9">
              <w:rPr>
                <w:rFonts w:ascii="Arial Narrow" w:hAnsi="Arial Narrow" w:cs="Calibri"/>
                <w:color w:val="000000"/>
                <w:sz w:val="20"/>
                <w:szCs w:val="20"/>
              </w:rPr>
              <w:t>2</w:t>
            </w:r>
          </w:p>
        </w:tc>
      </w:tr>
      <w:tr w:rsidR="00E406D4" w:rsidRPr="00FA7FC9" w14:paraId="094424F4" w14:textId="77777777" w:rsidTr="00434B5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60E9C300" w14:textId="072FF75B" w:rsidR="00E406D4" w:rsidRPr="00FA7FC9" w:rsidRDefault="00E406D4" w:rsidP="00FA7FC9">
            <w:pPr>
              <w:keepNext/>
              <w:keepLines/>
              <w:spacing w:before="0"/>
              <w:jc w:val="left"/>
              <w:rPr>
                <w:rFonts w:ascii="Arial Narrow" w:hAnsi="Arial Narrow"/>
                <w:color w:val="7030A0"/>
                <w:sz w:val="20"/>
                <w:szCs w:val="20"/>
              </w:rPr>
            </w:pPr>
            <w:r w:rsidRPr="00FA7FC9">
              <w:rPr>
                <w:rFonts w:ascii="Arial Narrow" w:hAnsi="Arial Narrow" w:cs="Calibri"/>
                <w:color w:val="000000"/>
                <w:sz w:val="20"/>
                <w:szCs w:val="20"/>
              </w:rPr>
              <w:t>Installed Projects †</w:t>
            </w:r>
          </w:p>
        </w:tc>
        <w:tc>
          <w:tcPr>
            <w:tcW w:w="0" w:type="auto"/>
          </w:tcPr>
          <w:p w14:paraId="04718D09" w14:textId="30F98348" w:rsidR="00E406D4" w:rsidRPr="00FA7FC9" w:rsidRDefault="00E406D4" w:rsidP="00FA7FC9">
            <w:pPr>
              <w:keepNext/>
              <w:keepLines/>
              <w:spacing w:before="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FA7FC9">
              <w:rPr>
                <w:rFonts w:ascii="Arial Narrow" w:hAnsi="Arial Narrow" w:cs="Calibri"/>
                <w:color w:val="000000"/>
                <w:sz w:val="20"/>
                <w:szCs w:val="20"/>
              </w:rPr>
              <w:t>2</w:t>
            </w:r>
          </w:p>
        </w:tc>
      </w:tr>
      <w:tr w:rsidR="00E406D4" w:rsidRPr="00FA7FC9" w14:paraId="4491F875" w14:textId="77777777" w:rsidTr="00434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164A6139" w14:textId="54B66492" w:rsidR="00E406D4" w:rsidRPr="00FA7FC9" w:rsidRDefault="00E406D4" w:rsidP="00FA7FC9">
            <w:pPr>
              <w:keepNext/>
              <w:keepLines/>
              <w:spacing w:before="0"/>
              <w:jc w:val="left"/>
              <w:rPr>
                <w:rFonts w:ascii="Arial Narrow" w:hAnsi="Arial Narrow"/>
                <w:color w:val="000000"/>
                <w:sz w:val="20"/>
                <w:szCs w:val="20"/>
              </w:rPr>
            </w:pPr>
            <w:r w:rsidRPr="00FA7FC9">
              <w:rPr>
                <w:rFonts w:ascii="Arial Narrow" w:hAnsi="Arial Narrow" w:cs="Calibri"/>
                <w:color w:val="000000"/>
                <w:sz w:val="20"/>
                <w:szCs w:val="20"/>
              </w:rPr>
              <w:t>Measure Types Installed ‡</w:t>
            </w:r>
          </w:p>
        </w:tc>
        <w:tc>
          <w:tcPr>
            <w:tcW w:w="0" w:type="auto"/>
          </w:tcPr>
          <w:p w14:paraId="640F2424" w14:textId="668492FE" w:rsidR="00E406D4" w:rsidRPr="00FA7FC9" w:rsidRDefault="00E406D4" w:rsidP="00FA7FC9">
            <w:pPr>
              <w:keepNext/>
              <w:keepLines/>
              <w:spacing w:before="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FA7FC9">
              <w:rPr>
                <w:rFonts w:ascii="Arial Narrow" w:hAnsi="Arial Narrow" w:cs="Calibri"/>
                <w:color w:val="000000"/>
                <w:sz w:val="20"/>
                <w:szCs w:val="20"/>
              </w:rPr>
              <w:t>2</w:t>
            </w:r>
          </w:p>
        </w:tc>
      </w:tr>
    </w:tbl>
    <w:p w14:paraId="44803BCF" w14:textId="77777777" w:rsidR="00696505" w:rsidRPr="00696505" w:rsidRDefault="00696505" w:rsidP="00033CC1">
      <w:pPr>
        <w:spacing w:before="0" w:after="0"/>
        <w:ind w:left="2160"/>
        <w:rPr>
          <w:rFonts w:cs="Arial"/>
          <w:sz w:val="18"/>
          <w:szCs w:val="18"/>
        </w:rPr>
      </w:pPr>
      <w:r w:rsidRPr="00696505">
        <w:rPr>
          <w:rFonts w:cs="Arial"/>
          <w:sz w:val="18"/>
          <w:szCs w:val="18"/>
        </w:rPr>
        <w:t>* Participants are defined as unique Gas Account Numbers.</w:t>
      </w:r>
    </w:p>
    <w:p w14:paraId="5F7BA7B5" w14:textId="57DA5A5A" w:rsidR="001722DE" w:rsidRPr="00F65903" w:rsidRDefault="00696505" w:rsidP="00033CC1">
      <w:pPr>
        <w:spacing w:before="0" w:after="0"/>
        <w:ind w:left="2160"/>
        <w:rPr>
          <w:rFonts w:cs="Arial"/>
          <w:sz w:val="18"/>
          <w:szCs w:val="18"/>
        </w:rPr>
      </w:pPr>
      <w:r w:rsidRPr="00BC7DF9">
        <w:rPr>
          <w:rFonts w:ascii="Arial Narrow" w:hAnsi="Arial Narrow" w:cs="Arial"/>
          <w:sz w:val="18"/>
          <w:szCs w:val="18"/>
        </w:rPr>
        <w:t>† Installed Projects are defined as unique Work Order IDs.</w:t>
      </w:r>
      <w:r w:rsidRPr="00BC7DF9">
        <w:rPr>
          <w:rFonts w:ascii="Arial Narrow" w:hAnsi="Arial Narrow" w:cs="Arial"/>
          <w:sz w:val="18"/>
          <w:szCs w:val="18"/>
        </w:rPr>
        <w:br/>
        <w:t>‡ Measure Types Installed are the distinct count of NSG measure names.</w:t>
      </w:r>
      <w:r w:rsidRPr="00EE5E4C">
        <w:rPr>
          <w:rFonts w:cs="Arial"/>
          <w:sz w:val="18"/>
          <w:szCs w:val="18"/>
        </w:rPr>
        <w:t xml:space="preserve"> </w:t>
      </w:r>
      <w:r w:rsidRPr="00EE5E4C">
        <w:rPr>
          <w:rFonts w:cs="Arial"/>
          <w:sz w:val="18"/>
          <w:szCs w:val="18"/>
        </w:rPr>
        <w:br/>
      </w:r>
      <w:r w:rsidR="001722DE" w:rsidRPr="00696505">
        <w:rPr>
          <w:rFonts w:cs="Arial"/>
          <w:i/>
          <w:iCs/>
          <w:sz w:val="18"/>
          <w:szCs w:val="18"/>
        </w:rPr>
        <w:t>Source: North Shore Gas tracking data and Guidehouse evaluation team analysis.</w:t>
      </w:r>
    </w:p>
    <w:p w14:paraId="44E3172A" w14:textId="05017D7D" w:rsidR="001722DE" w:rsidRDefault="00480F8F" w:rsidP="001722DE">
      <w:r>
        <w:fldChar w:fldCharType="begin"/>
      </w:r>
      <w:r>
        <w:instrText xml:space="preserve"> REF _Ref192762996 \h </w:instrText>
      </w:r>
      <w:r>
        <w:fldChar w:fldCharType="separate"/>
      </w:r>
      <w:r w:rsidR="00434B54">
        <w:t xml:space="preserve">Table </w:t>
      </w:r>
      <w:r w:rsidR="00434B54">
        <w:rPr>
          <w:noProof/>
        </w:rPr>
        <w:t>13</w:t>
      </w:r>
      <w:r>
        <w:fldChar w:fldCharType="end"/>
      </w:r>
      <w:r>
        <w:t xml:space="preserve"> </w:t>
      </w:r>
      <w:r w:rsidR="001722DE" w:rsidRPr="00A90B62">
        <w:t>summarize</w:t>
      </w:r>
      <w:r w:rsidR="001722DE">
        <w:t>s</w:t>
      </w:r>
      <w:r w:rsidR="001722DE" w:rsidRPr="00A90B62">
        <w:t xml:space="preserve"> the</w:t>
      </w:r>
      <w:r w:rsidR="001722DE">
        <w:t xml:space="preserve"> installed measure quantities that are the basis for verified energy savings.</w:t>
      </w:r>
    </w:p>
    <w:p w14:paraId="2F74D4A3" w14:textId="6D930DE6" w:rsidR="001722DE" w:rsidRDefault="001722DE" w:rsidP="004B73FE">
      <w:pPr>
        <w:pStyle w:val="Caption"/>
      </w:pPr>
      <w:bookmarkStart w:id="96" w:name="_Ref192762996"/>
      <w:bookmarkStart w:id="97" w:name="_Toc193349188"/>
      <w:bookmarkStart w:id="98" w:name="_Toc193349222"/>
      <w:bookmarkStart w:id="99" w:name="_Toc193349937"/>
      <w:r>
        <w:t xml:space="preserve">Table </w:t>
      </w:r>
      <w:r w:rsidR="0034721B">
        <w:fldChar w:fldCharType="begin"/>
      </w:r>
      <w:r w:rsidR="0034721B">
        <w:instrText xml:space="preserve"> SEQ Table \* ARABIC </w:instrText>
      </w:r>
      <w:r w:rsidR="0034721B">
        <w:fldChar w:fldCharType="separate"/>
      </w:r>
      <w:r w:rsidR="0034721B">
        <w:rPr>
          <w:noProof/>
        </w:rPr>
        <w:t>13</w:t>
      </w:r>
      <w:r w:rsidR="0034721B">
        <w:rPr>
          <w:noProof/>
        </w:rPr>
        <w:fldChar w:fldCharType="end"/>
      </w:r>
      <w:bookmarkEnd w:id="96"/>
      <w:r>
        <w:t xml:space="preserve">. </w:t>
      </w:r>
      <w:r w:rsidR="00273785">
        <w:t>2024 PHES Program</w:t>
      </w:r>
      <w:r>
        <w:t xml:space="preserve"> Installed </w:t>
      </w:r>
      <w:r w:rsidRPr="0084176E">
        <w:t>Measure</w:t>
      </w:r>
      <w:r>
        <w:t xml:space="preserve"> Quantities for NSG</w:t>
      </w:r>
      <w:bookmarkEnd w:id="97"/>
      <w:bookmarkEnd w:id="98"/>
      <w:bookmarkEnd w:id="99"/>
    </w:p>
    <w:tbl>
      <w:tblPr>
        <w:tblStyle w:val="EnergyTable"/>
        <w:tblW w:w="5000" w:type="pct"/>
        <w:tblLook w:val="04A0" w:firstRow="1" w:lastRow="0" w:firstColumn="1" w:lastColumn="0" w:noHBand="0" w:noVBand="1"/>
      </w:tblPr>
      <w:tblGrid>
        <w:gridCol w:w="1709"/>
        <w:gridCol w:w="1440"/>
        <w:gridCol w:w="3302"/>
        <w:gridCol w:w="1280"/>
        <w:gridCol w:w="1629"/>
      </w:tblGrid>
      <w:tr w:rsidR="001722DE" w:rsidRPr="00FA7FC9" w14:paraId="29D822C4" w14:textId="77777777" w:rsidTr="00FF39A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3" w:type="pct"/>
          </w:tcPr>
          <w:p w14:paraId="300E2CC9" w14:textId="77777777" w:rsidR="001722DE" w:rsidRPr="00FA7FC9" w:rsidRDefault="001722DE" w:rsidP="00855CA9">
            <w:pPr>
              <w:keepNext/>
              <w:keepLines/>
              <w:jc w:val="left"/>
              <w:rPr>
                <w:rFonts w:ascii="Arial Narrow" w:hAnsi="Arial Narrow" w:cs="Arial"/>
                <w:b w:val="0"/>
                <w:bCs/>
                <w:color w:val="FFFFFF"/>
                <w:sz w:val="20"/>
                <w:szCs w:val="20"/>
              </w:rPr>
            </w:pPr>
            <w:r w:rsidRPr="00FA7FC9">
              <w:rPr>
                <w:rFonts w:ascii="Arial Narrow" w:hAnsi="Arial Narrow" w:cs="Arial"/>
                <w:b w:val="0"/>
                <w:bCs/>
                <w:color w:val="FFFFFF"/>
                <w:sz w:val="20"/>
                <w:szCs w:val="20"/>
              </w:rPr>
              <w:t>Program Category</w:t>
            </w:r>
          </w:p>
        </w:tc>
        <w:tc>
          <w:tcPr>
            <w:tcW w:w="769" w:type="pct"/>
          </w:tcPr>
          <w:p w14:paraId="2AD8DE02" w14:textId="77777777" w:rsidR="001722DE" w:rsidRPr="00FA7FC9" w:rsidRDefault="001722DE" w:rsidP="00855CA9">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FA7FC9">
              <w:rPr>
                <w:rFonts w:ascii="Arial Narrow" w:hAnsi="Arial Narrow" w:cs="Arial"/>
                <w:b w:val="0"/>
                <w:bCs/>
                <w:color w:val="FFFFFF"/>
                <w:sz w:val="20"/>
                <w:szCs w:val="20"/>
              </w:rPr>
              <w:t>Program Path</w:t>
            </w:r>
          </w:p>
        </w:tc>
        <w:tc>
          <w:tcPr>
            <w:tcW w:w="1764" w:type="pct"/>
            <w:hideMark/>
          </w:tcPr>
          <w:p w14:paraId="5CC9B509" w14:textId="77777777" w:rsidR="001722DE" w:rsidRPr="00FA7FC9" w:rsidRDefault="001722DE" w:rsidP="00855CA9">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FA7FC9">
              <w:rPr>
                <w:rFonts w:ascii="Arial Narrow" w:hAnsi="Arial Narrow" w:cs="Arial"/>
                <w:b w:val="0"/>
                <w:bCs/>
                <w:color w:val="FFFFFF"/>
                <w:sz w:val="20"/>
                <w:szCs w:val="20"/>
              </w:rPr>
              <w:t>Measure</w:t>
            </w:r>
          </w:p>
        </w:tc>
        <w:tc>
          <w:tcPr>
            <w:tcW w:w="684" w:type="pct"/>
          </w:tcPr>
          <w:p w14:paraId="413310F5" w14:textId="77777777" w:rsidR="001722DE" w:rsidRPr="00FA7FC9" w:rsidRDefault="001722DE" w:rsidP="00855CA9">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FA7FC9">
              <w:rPr>
                <w:rFonts w:ascii="Arial Narrow" w:hAnsi="Arial Narrow"/>
                <w:b w:val="0"/>
                <w:sz w:val="20"/>
                <w:szCs w:val="20"/>
              </w:rPr>
              <w:t>Quantity Unit</w:t>
            </w:r>
          </w:p>
        </w:tc>
        <w:tc>
          <w:tcPr>
            <w:tcW w:w="871" w:type="pct"/>
          </w:tcPr>
          <w:p w14:paraId="5F1E560D" w14:textId="77777777" w:rsidR="001722DE" w:rsidRPr="00FA7FC9" w:rsidRDefault="001722DE" w:rsidP="00855CA9">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FA7FC9">
              <w:rPr>
                <w:rFonts w:ascii="Arial Narrow" w:hAnsi="Arial Narrow"/>
                <w:b w:val="0"/>
                <w:sz w:val="20"/>
                <w:szCs w:val="20"/>
              </w:rPr>
              <w:t>Installed Quantity</w:t>
            </w:r>
          </w:p>
        </w:tc>
      </w:tr>
      <w:tr w:rsidR="001B0921" w:rsidRPr="00FA7FC9" w14:paraId="527F8232" w14:textId="77777777" w:rsidTr="00FF39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14:paraId="63BA7E36" w14:textId="4E0CACAB" w:rsidR="001B0921" w:rsidRPr="00FA7FC9" w:rsidRDefault="001B0921" w:rsidP="001B0921">
            <w:pPr>
              <w:keepNext/>
              <w:keepLines/>
              <w:jc w:val="left"/>
              <w:rPr>
                <w:rFonts w:ascii="Arial Narrow" w:hAnsi="Arial Narrow"/>
                <w:b/>
                <w:bCs/>
                <w:color w:val="000000"/>
                <w:sz w:val="20"/>
                <w:szCs w:val="20"/>
              </w:rPr>
            </w:pPr>
            <w:r w:rsidRPr="00FA7FC9">
              <w:rPr>
                <w:rFonts w:ascii="Arial Narrow" w:hAnsi="Arial Narrow"/>
                <w:b/>
                <w:bCs/>
                <w:color w:val="000000"/>
                <w:sz w:val="20"/>
                <w:szCs w:val="20"/>
              </w:rPr>
              <w:t>Multi-Family</w:t>
            </w:r>
          </w:p>
        </w:tc>
        <w:tc>
          <w:tcPr>
            <w:tcW w:w="769" w:type="pct"/>
          </w:tcPr>
          <w:p w14:paraId="0488C2A0" w14:textId="06DAFA73" w:rsidR="001B0921" w:rsidRPr="00FA7FC9" w:rsidRDefault="001B0921" w:rsidP="001B09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Public Housing</w:t>
            </w:r>
          </w:p>
        </w:tc>
        <w:tc>
          <w:tcPr>
            <w:tcW w:w="1764" w:type="pct"/>
          </w:tcPr>
          <w:p w14:paraId="0D9F21E9" w14:textId="773E9FCF" w:rsidR="001B0921" w:rsidRPr="00FA7FC9" w:rsidRDefault="001B0921" w:rsidP="001B092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 xml:space="preserve">Covers and Gap Sealers for Room AC </w:t>
            </w:r>
          </w:p>
        </w:tc>
        <w:tc>
          <w:tcPr>
            <w:tcW w:w="684" w:type="pct"/>
            <w:noWrap/>
          </w:tcPr>
          <w:p w14:paraId="2CE49A73" w14:textId="3885D06B" w:rsidR="001B0921" w:rsidRPr="00FA7FC9" w:rsidRDefault="001B0921" w:rsidP="001B092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Unit</w:t>
            </w:r>
          </w:p>
        </w:tc>
        <w:tc>
          <w:tcPr>
            <w:tcW w:w="871" w:type="pct"/>
            <w:noWrap/>
          </w:tcPr>
          <w:p w14:paraId="5905E719" w14:textId="00997B68" w:rsidR="001B0921" w:rsidRPr="00FA7FC9" w:rsidRDefault="001B0921" w:rsidP="001B092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59</w:t>
            </w:r>
          </w:p>
        </w:tc>
      </w:tr>
      <w:tr w:rsidR="001B0921" w:rsidRPr="00FA7FC9" w14:paraId="484AB003" w14:textId="77777777" w:rsidTr="00FF39A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14:paraId="00B2A963" w14:textId="77777777" w:rsidR="001B0921" w:rsidRPr="00FA7FC9" w:rsidRDefault="001B0921" w:rsidP="001B0921">
            <w:pPr>
              <w:keepNext/>
              <w:keepLines/>
              <w:jc w:val="left"/>
              <w:rPr>
                <w:rFonts w:ascii="Arial Narrow" w:hAnsi="Arial Narrow"/>
                <w:color w:val="000000"/>
                <w:sz w:val="20"/>
                <w:szCs w:val="20"/>
              </w:rPr>
            </w:pPr>
          </w:p>
        </w:tc>
        <w:tc>
          <w:tcPr>
            <w:tcW w:w="769" w:type="pct"/>
          </w:tcPr>
          <w:p w14:paraId="6118D9AF" w14:textId="33B1F717" w:rsidR="001B0921" w:rsidRPr="00FA7FC9" w:rsidRDefault="001B0921" w:rsidP="001B09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 </w:t>
            </w:r>
          </w:p>
        </w:tc>
        <w:tc>
          <w:tcPr>
            <w:tcW w:w="1764" w:type="pct"/>
          </w:tcPr>
          <w:p w14:paraId="1163FA8D" w14:textId="1F1D023D" w:rsidR="001B0921" w:rsidRPr="00FA7FC9" w:rsidRDefault="001B0921" w:rsidP="001B092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Furnace Tune Up</w:t>
            </w:r>
          </w:p>
        </w:tc>
        <w:tc>
          <w:tcPr>
            <w:tcW w:w="684" w:type="pct"/>
            <w:noWrap/>
          </w:tcPr>
          <w:p w14:paraId="438FA859" w14:textId="36EB9EE6" w:rsidR="001B0921" w:rsidRPr="00FA7FC9" w:rsidRDefault="001B0921" w:rsidP="001B092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Unit</w:t>
            </w:r>
          </w:p>
        </w:tc>
        <w:tc>
          <w:tcPr>
            <w:tcW w:w="871" w:type="pct"/>
            <w:noWrap/>
          </w:tcPr>
          <w:p w14:paraId="793A2FDA" w14:textId="083BB500" w:rsidR="001B0921" w:rsidRPr="00FA7FC9" w:rsidRDefault="001B0921" w:rsidP="001B092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A7FC9">
              <w:rPr>
                <w:rFonts w:ascii="Arial Narrow" w:hAnsi="Arial Narrow" w:cs="Calibri"/>
                <w:color w:val="000000"/>
                <w:sz w:val="20"/>
                <w:szCs w:val="20"/>
              </w:rPr>
              <w:t>51</w:t>
            </w:r>
          </w:p>
        </w:tc>
      </w:tr>
    </w:tbl>
    <w:p w14:paraId="0CB82251" w14:textId="77777777" w:rsidR="001722DE" w:rsidRDefault="001722DE" w:rsidP="001A769F">
      <w:pPr>
        <w:pStyle w:val="Source"/>
        <w:rPr>
          <w:rFonts w:cs="Arial"/>
          <w:sz w:val="18"/>
          <w:szCs w:val="18"/>
        </w:rPr>
      </w:pPr>
      <w:r w:rsidRPr="00F65903">
        <w:rPr>
          <w:sz w:val="18"/>
          <w:szCs w:val="18"/>
        </w:rPr>
        <w:t xml:space="preserve">Source: </w:t>
      </w:r>
      <w:r w:rsidRPr="00F65903">
        <w:rPr>
          <w:rFonts w:cs="Arial"/>
          <w:sz w:val="18"/>
          <w:szCs w:val="18"/>
        </w:rPr>
        <w:t>North Shore Gas tracking data and Guidehouse evaluation team analysis</w:t>
      </w:r>
    </w:p>
    <w:p w14:paraId="5E727CD6" w14:textId="77777777" w:rsidR="001A769F" w:rsidRDefault="001A769F" w:rsidP="001A769F"/>
    <w:p w14:paraId="0F092537" w14:textId="77777777" w:rsidR="001722DE" w:rsidRDefault="001722DE" w:rsidP="001722DE">
      <w:pPr>
        <w:pStyle w:val="Heading2"/>
      </w:pPr>
      <w:bookmarkStart w:id="100" w:name="_Toc193349172"/>
      <w:bookmarkStart w:id="101" w:name="_Toc193349920"/>
      <w:r>
        <w:t>Program Savings Detail</w:t>
      </w:r>
      <w:bookmarkEnd w:id="100"/>
      <w:bookmarkEnd w:id="101"/>
    </w:p>
    <w:p w14:paraId="4FBD5BCE" w14:textId="767F7D0F" w:rsidR="0034721B" w:rsidRDefault="00480F8F" w:rsidP="0034721B">
      <w:pPr>
        <w:keepNext/>
        <w:widowControl w:val="0"/>
        <w:suppressAutoHyphens w:val="0"/>
      </w:pPr>
      <w:r>
        <w:fldChar w:fldCharType="begin"/>
      </w:r>
      <w:r>
        <w:instrText xml:space="preserve"> REF _Ref192763020 \h </w:instrText>
      </w:r>
      <w:r>
        <w:fldChar w:fldCharType="separate"/>
      </w:r>
      <w:r w:rsidR="00434B54">
        <w:t xml:space="preserve">Table </w:t>
      </w:r>
      <w:r w:rsidR="00434B54">
        <w:rPr>
          <w:noProof/>
        </w:rPr>
        <w:t>14</w:t>
      </w:r>
      <w:r>
        <w:fldChar w:fldCharType="end"/>
      </w:r>
      <w:r>
        <w:t xml:space="preserve"> </w:t>
      </w:r>
      <w:r w:rsidR="001722DE" w:rsidRPr="00A90B62">
        <w:t>summarize</w:t>
      </w:r>
      <w:r w:rsidR="001722DE">
        <w:t>s</w:t>
      </w:r>
      <w:r w:rsidR="001722DE" w:rsidRPr="00A90B62">
        <w:t xml:space="preserve"> the </w:t>
      </w:r>
      <w:r w:rsidR="001722DE">
        <w:t xml:space="preserve">energy </w:t>
      </w:r>
      <w:r w:rsidR="001722DE" w:rsidRPr="00A90B62">
        <w:t xml:space="preserve">savings the </w:t>
      </w:r>
      <w:r w:rsidR="001722DE">
        <w:t>PGL</w:t>
      </w:r>
      <w:r w:rsidR="00546284">
        <w:t xml:space="preserve"> PHES </w:t>
      </w:r>
      <w:r w:rsidR="005836AE">
        <w:t>p</w:t>
      </w:r>
      <w:r w:rsidR="001722DE" w:rsidRPr="00A90B62">
        <w:t>rogram</w:t>
      </w:r>
      <w:r w:rsidR="001722DE">
        <w:t xml:space="preserve"> achieved in 2024.</w:t>
      </w:r>
    </w:p>
    <w:p w14:paraId="00AFE20B" w14:textId="77777777" w:rsidR="0034721B" w:rsidRDefault="0034721B" w:rsidP="001A769F"/>
    <w:p w14:paraId="275BF0B9" w14:textId="2C83C146" w:rsidR="001722DE" w:rsidRDefault="001722DE" w:rsidP="0034721B">
      <w:pPr>
        <w:pStyle w:val="Caption"/>
        <w:widowControl w:val="0"/>
      </w:pPr>
      <w:bookmarkStart w:id="102" w:name="_Ref192763020"/>
      <w:bookmarkStart w:id="103" w:name="_Toc193349189"/>
      <w:bookmarkStart w:id="104" w:name="_Toc193349223"/>
      <w:bookmarkStart w:id="105" w:name="_Toc193349938"/>
      <w:r>
        <w:lastRenderedPageBreak/>
        <w:t xml:space="preserve">Table </w:t>
      </w:r>
      <w:r w:rsidR="0034721B">
        <w:fldChar w:fldCharType="begin"/>
      </w:r>
      <w:r w:rsidR="0034721B">
        <w:instrText xml:space="preserve"> SEQ Table \* ARABIC </w:instrText>
      </w:r>
      <w:r w:rsidR="0034721B">
        <w:fldChar w:fldCharType="separate"/>
      </w:r>
      <w:r w:rsidR="0034721B">
        <w:rPr>
          <w:noProof/>
        </w:rPr>
        <w:t>14</w:t>
      </w:r>
      <w:r w:rsidR="0034721B">
        <w:rPr>
          <w:noProof/>
        </w:rPr>
        <w:fldChar w:fldCharType="end"/>
      </w:r>
      <w:bookmarkEnd w:id="102"/>
      <w:r>
        <w:t xml:space="preserve">. </w:t>
      </w:r>
      <w:r w:rsidR="00273785">
        <w:t>2024 PHES Program</w:t>
      </w:r>
      <w:r>
        <w:t xml:space="preserve"> Annual Energy Savings Summary for PGL</w:t>
      </w:r>
      <w:bookmarkEnd w:id="103"/>
      <w:bookmarkEnd w:id="104"/>
      <w:bookmarkEnd w:id="105"/>
    </w:p>
    <w:tbl>
      <w:tblPr>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31"/>
        <w:gridCol w:w="1087"/>
        <w:gridCol w:w="1782"/>
        <w:gridCol w:w="1204"/>
        <w:gridCol w:w="1717"/>
        <w:gridCol w:w="662"/>
        <w:gridCol w:w="1677"/>
      </w:tblGrid>
      <w:tr w:rsidR="003C747D" w14:paraId="34349750" w14:textId="77777777" w:rsidTr="007A064E">
        <w:trPr>
          <w:trHeight w:val="327"/>
          <w:tblHeader/>
        </w:trPr>
        <w:tc>
          <w:tcPr>
            <w:tcW w:w="0" w:type="auto"/>
            <w:tcBorders>
              <w:top w:val="nil"/>
              <w:left w:val="nil"/>
              <w:bottom w:val="single" w:sz="12" w:space="0" w:color="95D600"/>
              <w:right w:val="nil"/>
            </w:tcBorders>
            <w:shd w:val="clear" w:color="auto" w:fill="036479" w:themeFill="accent3"/>
            <w:vAlign w:val="center"/>
          </w:tcPr>
          <w:p w14:paraId="0D2EA826" w14:textId="77777777" w:rsidR="003C747D" w:rsidRDefault="003C747D" w:rsidP="0034721B">
            <w:pPr>
              <w:keepNext/>
              <w:widowControl w:val="0"/>
              <w:suppressAutoHyphens w:val="0"/>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Program Category</w:t>
            </w:r>
          </w:p>
        </w:tc>
        <w:tc>
          <w:tcPr>
            <w:tcW w:w="0" w:type="auto"/>
            <w:tcBorders>
              <w:top w:val="nil"/>
              <w:left w:val="nil"/>
              <w:bottom w:val="single" w:sz="12" w:space="0" w:color="95D600"/>
              <w:right w:val="nil"/>
            </w:tcBorders>
            <w:shd w:val="clear" w:color="auto" w:fill="036479" w:themeFill="accent3"/>
            <w:vAlign w:val="center"/>
          </w:tcPr>
          <w:p w14:paraId="51F58375" w14:textId="77777777" w:rsidR="003C747D" w:rsidRDefault="003C747D" w:rsidP="0034721B">
            <w:pPr>
              <w:keepNext/>
              <w:widowControl w:val="0"/>
              <w:suppressAutoHyphens w:val="0"/>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Program Path</w:t>
            </w:r>
          </w:p>
        </w:tc>
        <w:tc>
          <w:tcPr>
            <w:tcW w:w="0" w:type="auto"/>
            <w:tcBorders>
              <w:top w:val="nil"/>
              <w:left w:val="nil"/>
              <w:bottom w:val="single" w:sz="12" w:space="0" w:color="95D600"/>
              <w:right w:val="nil"/>
            </w:tcBorders>
            <w:shd w:val="clear" w:color="auto" w:fill="036479" w:themeFill="accent3"/>
            <w:vAlign w:val="center"/>
          </w:tcPr>
          <w:p w14:paraId="52C10E8C" w14:textId="77777777" w:rsidR="003C747D" w:rsidRDefault="003C747D" w:rsidP="007A064E">
            <w:pPr>
              <w:keepNext/>
              <w:widowControl w:val="0"/>
              <w:suppressAutoHyphens w:val="0"/>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Ex Ante Gross Savings (Therms)</w:t>
            </w:r>
          </w:p>
        </w:tc>
        <w:tc>
          <w:tcPr>
            <w:tcW w:w="0" w:type="auto"/>
            <w:tcBorders>
              <w:top w:val="nil"/>
              <w:left w:val="nil"/>
              <w:bottom w:val="single" w:sz="12" w:space="0" w:color="95D600"/>
              <w:right w:val="nil"/>
            </w:tcBorders>
            <w:shd w:val="clear" w:color="auto" w:fill="036479" w:themeFill="accent3"/>
            <w:vAlign w:val="center"/>
          </w:tcPr>
          <w:p w14:paraId="5357F20A" w14:textId="77777777" w:rsidR="003C747D" w:rsidRDefault="003C747D" w:rsidP="007A064E">
            <w:pPr>
              <w:keepNext/>
              <w:widowControl w:val="0"/>
              <w:suppressAutoHyphens w:val="0"/>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Verified Gross RR*</w:t>
            </w:r>
          </w:p>
        </w:tc>
        <w:tc>
          <w:tcPr>
            <w:tcW w:w="0" w:type="auto"/>
            <w:tcBorders>
              <w:top w:val="nil"/>
              <w:left w:val="nil"/>
              <w:bottom w:val="single" w:sz="12" w:space="0" w:color="95D600"/>
              <w:right w:val="nil"/>
            </w:tcBorders>
            <w:shd w:val="clear" w:color="auto" w:fill="036479" w:themeFill="accent3"/>
            <w:vAlign w:val="center"/>
          </w:tcPr>
          <w:p w14:paraId="6FED5A06" w14:textId="77777777" w:rsidR="003C747D" w:rsidRDefault="003C747D" w:rsidP="007A064E">
            <w:pPr>
              <w:keepNext/>
              <w:widowControl w:val="0"/>
              <w:suppressAutoHyphens w:val="0"/>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Verified Gross Savings (Therms</w:t>
            </w:r>
          </w:p>
        </w:tc>
        <w:tc>
          <w:tcPr>
            <w:tcW w:w="0" w:type="auto"/>
            <w:tcBorders>
              <w:top w:val="nil"/>
              <w:left w:val="nil"/>
              <w:bottom w:val="single" w:sz="12" w:space="0" w:color="95D600"/>
              <w:right w:val="nil"/>
            </w:tcBorders>
            <w:shd w:val="clear" w:color="auto" w:fill="036479" w:themeFill="accent3"/>
            <w:vAlign w:val="center"/>
          </w:tcPr>
          <w:p w14:paraId="7FA383B3" w14:textId="77777777" w:rsidR="003C747D" w:rsidRDefault="003C747D" w:rsidP="007A064E">
            <w:pPr>
              <w:keepNext/>
              <w:widowControl w:val="0"/>
              <w:suppressAutoHyphens w:val="0"/>
              <w:jc w:val="right"/>
              <w:rPr>
                <w:rFonts w:ascii="Calibri" w:eastAsia="Calibri" w:hAnsi="Calibri" w:cs="Calibri"/>
                <w:color w:val="FFFFFF" w:themeColor="background1"/>
                <w:sz w:val="20"/>
              </w:rPr>
            </w:pPr>
            <w:r w:rsidRPr="69F43F8D">
              <w:rPr>
                <w:rFonts w:ascii="Arial Narrow" w:eastAsia="Arial Narrow" w:hAnsi="Arial Narrow" w:cs="Arial Narrow"/>
                <w:color w:val="FFFFFF" w:themeColor="background1"/>
                <w:sz w:val="20"/>
                <w:szCs w:val="20"/>
              </w:rPr>
              <w:t>NTG</w:t>
            </w:r>
            <w:r w:rsidRPr="69F43F8D">
              <w:rPr>
                <w:rFonts w:ascii="Calibri" w:eastAsia="Calibri" w:hAnsi="Calibri" w:cs="Calibri"/>
                <w:color w:val="FFFFFF" w:themeColor="background1"/>
                <w:sz w:val="20"/>
                <w:szCs w:val="20"/>
              </w:rPr>
              <w:t>†</w:t>
            </w:r>
          </w:p>
        </w:tc>
        <w:tc>
          <w:tcPr>
            <w:tcW w:w="0" w:type="auto"/>
            <w:tcBorders>
              <w:top w:val="nil"/>
              <w:left w:val="nil"/>
              <w:bottom w:val="single" w:sz="12" w:space="0" w:color="95D600"/>
              <w:right w:val="nil"/>
            </w:tcBorders>
            <w:shd w:val="clear" w:color="auto" w:fill="036479" w:themeFill="accent3"/>
            <w:vAlign w:val="center"/>
          </w:tcPr>
          <w:p w14:paraId="0BFE41F2" w14:textId="77777777" w:rsidR="003C747D" w:rsidRDefault="003C747D" w:rsidP="007A064E">
            <w:pPr>
              <w:keepNext/>
              <w:widowControl w:val="0"/>
              <w:suppressAutoHyphens w:val="0"/>
              <w:jc w:val="right"/>
              <w:rPr>
                <w:rFonts w:ascii="Arial Narrow" w:eastAsia="Arial Narrow" w:hAnsi="Arial Narrow" w:cs="Arial Narrow"/>
                <w:color w:val="FFFFFF" w:themeColor="background1"/>
                <w:sz w:val="20"/>
              </w:rPr>
            </w:pPr>
            <w:r w:rsidRPr="69F43F8D">
              <w:rPr>
                <w:rFonts w:ascii="Arial Narrow" w:eastAsia="Arial Narrow" w:hAnsi="Arial Narrow" w:cs="Arial Narrow"/>
                <w:color w:val="FFFFFF" w:themeColor="background1"/>
                <w:sz w:val="20"/>
                <w:szCs w:val="20"/>
              </w:rPr>
              <w:t>Verified Net Savings (Therms)</w:t>
            </w:r>
          </w:p>
        </w:tc>
      </w:tr>
      <w:tr w:rsidR="003C747D" w14:paraId="56EFFEC8" w14:textId="77777777" w:rsidTr="007A064E">
        <w:trPr>
          <w:trHeight w:val="327"/>
        </w:trPr>
        <w:tc>
          <w:tcPr>
            <w:tcW w:w="0" w:type="auto"/>
            <w:tcBorders>
              <w:top w:val="single" w:sz="12" w:space="0" w:color="95D600"/>
              <w:left w:val="nil"/>
              <w:bottom w:val="single" w:sz="6" w:space="0" w:color="B3EFFD" w:themeColor="accent3" w:themeTint="33"/>
              <w:right w:val="nil"/>
            </w:tcBorders>
            <w:vAlign w:val="center"/>
          </w:tcPr>
          <w:p w14:paraId="609DACF4" w14:textId="213549F4" w:rsidR="003C747D" w:rsidRPr="00017A8A" w:rsidRDefault="00D91B6F" w:rsidP="00017A8A">
            <w:pPr>
              <w:rPr>
                <w:rFonts w:ascii="Arial Narrow" w:hAnsi="Arial Narrow" w:cs="Calibri"/>
                <w:color w:val="000000"/>
                <w:sz w:val="20"/>
                <w:szCs w:val="20"/>
              </w:rPr>
            </w:pPr>
            <w:r w:rsidRPr="00D91B6F">
              <w:rPr>
                <w:rFonts w:ascii="Arial Narrow" w:hAnsi="Arial Narrow" w:cs="Calibri"/>
                <w:b/>
                <w:bCs/>
                <w:color w:val="000000"/>
                <w:sz w:val="20"/>
                <w:szCs w:val="20"/>
              </w:rPr>
              <w:t>PHES</w:t>
            </w:r>
          </w:p>
        </w:tc>
        <w:tc>
          <w:tcPr>
            <w:tcW w:w="0" w:type="auto"/>
            <w:tcBorders>
              <w:top w:val="single" w:sz="12" w:space="0" w:color="95D600"/>
              <w:left w:val="nil"/>
              <w:bottom w:val="single" w:sz="6" w:space="0" w:color="B3EFFD" w:themeColor="accent3" w:themeTint="33"/>
              <w:right w:val="nil"/>
            </w:tcBorders>
            <w:shd w:val="clear" w:color="auto" w:fill="FFFFFF" w:themeFill="background1"/>
            <w:vAlign w:val="center"/>
          </w:tcPr>
          <w:p w14:paraId="1C010521" w14:textId="572F55A8" w:rsidR="003C747D" w:rsidRDefault="003C747D" w:rsidP="00017A8A">
            <w:pPr>
              <w:rPr>
                <w:rFonts w:ascii="Arial Narrow" w:eastAsia="Arial Narrow" w:hAnsi="Arial Narrow" w:cs="Arial Narrow"/>
                <w:color w:val="000000" w:themeColor="text1"/>
                <w:sz w:val="20"/>
              </w:rPr>
            </w:pPr>
            <w:r>
              <w:rPr>
                <w:rFonts w:ascii="Arial Narrow" w:hAnsi="Arial Narrow" w:cs="Calibri"/>
                <w:color w:val="000000"/>
                <w:sz w:val="20"/>
                <w:szCs w:val="20"/>
              </w:rPr>
              <w:t>Public Housing</w:t>
            </w:r>
          </w:p>
        </w:tc>
        <w:tc>
          <w:tcPr>
            <w:tcW w:w="0" w:type="auto"/>
            <w:tcBorders>
              <w:top w:val="single" w:sz="12" w:space="0" w:color="95D600"/>
              <w:left w:val="nil"/>
              <w:bottom w:val="single" w:sz="6" w:space="0" w:color="B3EFFD" w:themeColor="accent3" w:themeTint="33"/>
              <w:right w:val="nil"/>
            </w:tcBorders>
            <w:vAlign w:val="center"/>
          </w:tcPr>
          <w:p w14:paraId="6E2E7975" w14:textId="16A4070F" w:rsidR="003C747D" w:rsidRDefault="003C747D" w:rsidP="007A064E">
            <w:pPr>
              <w:jc w:val="right"/>
              <w:rPr>
                <w:rFonts w:ascii="Arial Narrow" w:eastAsia="Arial Narrow" w:hAnsi="Arial Narrow" w:cs="Arial Narrow"/>
                <w:color w:val="000000" w:themeColor="text1"/>
                <w:sz w:val="20"/>
              </w:rPr>
            </w:pPr>
            <w:r>
              <w:rPr>
                <w:rFonts w:ascii="Arial Narrow" w:hAnsi="Arial Narrow" w:cs="Calibri"/>
                <w:color w:val="000000"/>
                <w:sz w:val="20"/>
                <w:szCs w:val="20"/>
              </w:rPr>
              <w:t>58,846</w:t>
            </w:r>
          </w:p>
        </w:tc>
        <w:tc>
          <w:tcPr>
            <w:tcW w:w="0" w:type="auto"/>
            <w:tcBorders>
              <w:top w:val="single" w:sz="12" w:space="0" w:color="95D600"/>
              <w:left w:val="nil"/>
              <w:bottom w:val="single" w:sz="6" w:space="0" w:color="B3EFFD" w:themeColor="accent3" w:themeTint="33"/>
              <w:right w:val="nil"/>
            </w:tcBorders>
            <w:vAlign w:val="center"/>
          </w:tcPr>
          <w:p w14:paraId="07F67FBC" w14:textId="10869B70" w:rsidR="003C747D" w:rsidRDefault="003C747D" w:rsidP="007A064E">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100%</w:t>
            </w:r>
          </w:p>
        </w:tc>
        <w:tc>
          <w:tcPr>
            <w:tcW w:w="0" w:type="auto"/>
            <w:tcBorders>
              <w:top w:val="single" w:sz="12" w:space="0" w:color="95D600"/>
              <w:left w:val="nil"/>
              <w:bottom w:val="single" w:sz="6" w:space="0" w:color="B3EFFD" w:themeColor="accent3" w:themeTint="33"/>
              <w:right w:val="nil"/>
            </w:tcBorders>
            <w:vAlign w:val="center"/>
          </w:tcPr>
          <w:p w14:paraId="168EF716" w14:textId="42E30339" w:rsidR="003C747D" w:rsidRDefault="003C747D" w:rsidP="007A064E">
            <w:pPr>
              <w:jc w:val="right"/>
              <w:rPr>
                <w:rFonts w:ascii="Arial Narrow" w:eastAsia="Arial Narrow" w:hAnsi="Arial Narrow" w:cs="Arial Narrow"/>
                <w:color w:val="000000" w:themeColor="text1"/>
                <w:sz w:val="20"/>
              </w:rPr>
            </w:pPr>
            <w:r>
              <w:rPr>
                <w:rFonts w:ascii="Arial Narrow" w:hAnsi="Arial Narrow" w:cs="Calibri"/>
                <w:color w:val="000000"/>
                <w:sz w:val="20"/>
                <w:szCs w:val="20"/>
              </w:rPr>
              <w:t>58,846</w:t>
            </w:r>
          </w:p>
        </w:tc>
        <w:tc>
          <w:tcPr>
            <w:tcW w:w="0" w:type="auto"/>
            <w:tcBorders>
              <w:top w:val="single" w:sz="12" w:space="0" w:color="95D600"/>
              <w:left w:val="nil"/>
              <w:bottom w:val="single" w:sz="6" w:space="0" w:color="B3EFFD" w:themeColor="accent3" w:themeTint="33"/>
              <w:right w:val="nil"/>
            </w:tcBorders>
            <w:vAlign w:val="center"/>
          </w:tcPr>
          <w:p w14:paraId="05A9CBC8" w14:textId="79D1946A" w:rsidR="003C747D" w:rsidRDefault="003C747D" w:rsidP="007A064E">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1.00</w:t>
            </w:r>
          </w:p>
        </w:tc>
        <w:tc>
          <w:tcPr>
            <w:tcW w:w="0" w:type="auto"/>
            <w:tcBorders>
              <w:top w:val="single" w:sz="12" w:space="0" w:color="95D600"/>
              <w:left w:val="nil"/>
              <w:bottom w:val="single" w:sz="6" w:space="0" w:color="B3EFFD" w:themeColor="accent3" w:themeTint="33"/>
              <w:right w:val="nil"/>
            </w:tcBorders>
            <w:vAlign w:val="center"/>
          </w:tcPr>
          <w:p w14:paraId="0FD419D7" w14:textId="7837A9C7" w:rsidR="003C747D" w:rsidRDefault="003C747D" w:rsidP="007A064E">
            <w:pPr>
              <w:jc w:val="right"/>
              <w:rPr>
                <w:rFonts w:ascii="Arial Narrow" w:eastAsia="Arial Narrow" w:hAnsi="Arial Narrow" w:cs="Arial Narrow"/>
                <w:color w:val="000000" w:themeColor="text1"/>
                <w:sz w:val="20"/>
              </w:rPr>
            </w:pPr>
            <w:r>
              <w:rPr>
                <w:rFonts w:ascii="Arial Narrow" w:hAnsi="Arial Narrow" w:cs="Calibri"/>
                <w:color w:val="000000"/>
                <w:sz w:val="20"/>
                <w:szCs w:val="20"/>
              </w:rPr>
              <w:t>58,846</w:t>
            </w:r>
          </w:p>
        </w:tc>
      </w:tr>
    </w:tbl>
    <w:p w14:paraId="67F9DFE0" w14:textId="560916D8" w:rsidR="00C00CFA" w:rsidRDefault="001722DE" w:rsidP="00D751DF">
      <w:pPr>
        <w:pStyle w:val="GraphFootnote"/>
        <w:keepLines/>
        <w:rPr>
          <w:rFonts w:eastAsia="Arial Narrow" w:cs="Arial Narrow"/>
          <w:color w:val="000000" w:themeColor="text1"/>
          <w:szCs w:val="18"/>
        </w:rPr>
      </w:pPr>
      <w:r w:rsidRPr="69F43F8D">
        <w:rPr>
          <w:rFonts w:ascii="Arial" w:hAnsi="Arial" w:cs="Arial"/>
        </w:rPr>
        <w:t>* Realization Rate (RR) is the ratio of verified gross savings to ex ante gross savings, based on evaluation research findings.</w:t>
      </w:r>
      <w:r w:rsidR="00A9737A">
        <w:rPr>
          <w:rFonts w:ascii="Arial" w:hAnsi="Arial" w:cs="Arial"/>
        </w:rPr>
        <w:br/>
      </w:r>
      <w:r w:rsidRPr="69F43F8D">
        <w:rPr>
          <w:rFonts w:eastAsia="Arial Narrow" w:cs="Arial Narrow"/>
          <w:color w:val="000000" w:themeColor="text1"/>
          <w:szCs w:val="18"/>
        </w:rPr>
        <w:t xml:space="preserve">† NTG, Net to Gross is the deemed value available on the SAG website: </w:t>
      </w:r>
      <w:hyperlink r:id="rId26">
        <w:r w:rsidRPr="69F43F8D">
          <w:rPr>
            <w:rStyle w:val="Hyperlink"/>
            <w:rFonts w:eastAsia="Arial Narrow" w:cs="Arial Narrow"/>
            <w:color w:val="000000" w:themeColor="text1"/>
            <w:szCs w:val="18"/>
          </w:rPr>
          <w:t>https://www.ilsag.info/evaluator-ntg-recommendations-for-2024/</w:t>
        </w:r>
      </w:hyperlink>
      <w:r w:rsidRPr="69F43F8D">
        <w:rPr>
          <w:rFonts w:eastAsia="Arial Narrow" w:cs="Arial Narrow"/>
          <w:color w:val="000000" w:themeColor="text1"/>
          <w:szCs w:val="18"/>
        </w:rPr>
        <w:t xml:space="preserve">. </w:t>
      </w:r>
    </w:p>
    <w:p w14:paraId="1D9D4ECF" w14:textId="41909B05" w:rsidR="001722DE" w:rsidRDefault="001722DE" w:rsidP="00C00CFA">
      <w:pPr>
        <w:pStyle w:val="Source"/>
        <w:rPr>
          <w:rFonts w:eastAsia="Arial"/>
        </w:rPr>
      </w:pPr>
      <w:r w:rsidRPr="00A9737A">
        <w:rPr>
          <w:rFonts w:eastAsia="Arial"/>
        </w:rPr>
        <w:t>Source: Evaluation team analysis.</w:t>
      </w:r>
    </w:p>
    <w:p w14:paraId="56297D0A" w14:textId="77777777" w:rsidR="00C00CFA" w:rsidRPr="00A9737A" w:rsidRDefault="00C00CFA" w:rsidP="00791CB8"/>
    <w:p w14:paraId="36E52528" w14:textId="11A2D992" w:rsidR="001722DE" w:rsidRDefault="00480F8F" w:rsidP="001722DE">
      <w:r>
        <w:fldChar w:fldCharType="begin"/>
      </w:r>
      <w:r>
        <w:instrText xml:space="preserve"> REF _Ref192763033 \h </w:instrText>
      </w:r>
      <w:r>
        <w:fldChar w:fldCharType="separate"/>
      </w:r>
      <w:r w:rsidR="00434B54">
        <w:t xml:space="preserve">Table </w:t>
      </w:r>
      <w:r w:rsidR="00434B54">
        <w:rPr>
          <w:noProof/>
        </w:rPr>
        <w:t>15</w:t>
      </w:r>
      <w:r>
        <w:fldChar w:fldCharType="end"/>
      </w:r>
      <w:r>
        <w:t xml:space="preserve"> </w:t>
      </w:r>
      <w:r w:rsidR="001722DE" w:rsidRPr="00A90B62">
        <w:t>summarize</w:t>
      </w:r>
      <w:r w:rsidR="001722DE">
        <w:t>s</w:t>
      </w:r>
      <w:r w:rsidR="001722DE" w:rsidRPr="00A90B62">
        <w:t xml:space="preserve"> the </w:t>
      </w:r>
      <w:r w:rsidR="001722DE">
        <w:t xml:space="preserve">energy </w:t>
      </w:r>
      <w:r w:rsidR="001722DE" w:rsidRPr="00A90B62">
        <w:t xml:space="preserve">savings the </w:t>
      </w:r>
      <w:r w:rsidR="001722DE">
        <w:t xml:space="preserve">NSG </w:t>
      </w:r>
      <w:r w:rsidR="0055305D">
        <w:t>PHES</w:t>
      </w:r>
      <w:r w:rsidR="001722DE">
        <w:t xml:space="preserve"> </w:t>
      </w:r>
      <w:r w:rsidR="005836AE">
        <w:t>p</w:t>
      </w:r>
      <w:r w:rsidR="001722DE" w:rsidRPr="00A90B62">
        <w:t>rogram</w:t>
      </w:r>
      <w:r w:rsidR="001722DE">
        <w:t xml:space="preserve"> achieved in 2024.</w:t>
      </w:r>
    </w:p>
    <w:p w14:paraId="1A19E2E8" w14:textId="5A80039E" w:rsidR="001722DE" w:rsidRDefault="001722DE" w:rsidP="004B73FE">
      <w:pPr>
        <w:pStyle w:val="Caption"/>
      </w:pPr>
      <w:bookmarkStart w:id="106" w:name="_Ref192763033"/>
      <w:bookmarkStart w:id="107" w:name="_Toc193349190"/>
      <w:bookmarkStart w:id="108" w:name="_Toc193349224"/>
      <w:bookmarkStart w:id="109" w:name="_Toc193349939"/>
      <w:r>
        <w:t xml:space="preserve">Table </w:t>
      </w:r>
      <w:r w:rsidR="0034721B">
        <w:fldChar w:fldCharType="begin"/>
      </w:r>
      <w:r w:rsidR="0034721B">
        <w:instrText xml:space="preserve"> SEQ Table \* ARABIC </w:instrText>
      </w:r>
      <w:r w:rsidR="0034721B">
        <w:fldChar w:fldCharType="separate"/>
      </w:r>
      <w:r w:rsidR="0034721B">
        <w:rPr>
          <w:noProof/>
        </w:rPr>
        <w:t>15</w:t>
      </w:r>
      <w:r w:rsidR="0034721B">
        <w:rPr>
          <w:noProof/>
        </w:rPr>
        <w:fldChar w:fldCharType="end"/>
      </w:r>
      <w:bookmarkEnd w:id="106"/>
      <w:r>
        <w:t xml:space="preserve">. </w:t>
      </w:r>
      <w:r w:rsidR="00273785">
        <w:t>2024 PHES Program</w:t>
      </w:r>
      <w:r>
        <w:t xml:space="preserve"> Annual Energy Savings Summary for NSG</w:t>
      </w:r>
      <w:bookmarkEnd w:id="107"/>
      <w:bookmarkEnd w:id="108"/>
      <w:bookmarkEnd w:id="109"/>
    </w:p>
    <w:tbl>
      <w:tblPr>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32"/>
        <w:gridCol w:w="1087"/>
        <w:gridCol w:w="1784"/>
        <w:gridCol w:w="1205"/>
        <w:gridCol w:w="1719"/>
        <w:gridCol w:w="654"/>
        <w:gridCol w:w="1679"/>
      </w:tblGrid>
      <w:tr w:rsidR="007A15BA" w:rsidRPr="004A54B0" w14:paraId="0EC704B1" w14:textId="77777777" w:rsidTr="007A064E">
        <w:trPr>
          <w:trHeight w:val="297"/>
        </w:trPr>
        <w:tc>
          <w:tcPr>
            <w:tcW w:w="0" w:type="auto"/>
            <w:tcBorders>
              <w:top w:val="nil"/>
              <w:left w:val="nil"/>
              <w:bottom w:val="single" w:sz="12" w:space="0" w:color="95D600"/>
              <w:right w:val="nil"/>
            </w:tcBorders>
            <w:shd w:val="clear" w:color="auto" w:fill="036479" w:themeFill="accent3"/>
            <w:vAlign w:val="center"/>
          </w:tcPr>
          <w:p w14:paraId="6E22A9CE" w14:textId="77777777" w:rsidR="007A15BA" w:rsidRPr="004A54B0" w:rsidRDefault="007A15BA" w:rsidP="00855CA9">
            <w:pPr>
              <w:rPr>
                <w:rFonts w:ascii="Arial Narrow" w:eastAsia="Arial Narrow" w:hAnsi="Arial Narrow" w:cs="Arial Narrow"/>
                <w:color w:val="FFFFFF" w:themeColor="background1"/>
                <w:sz w:val="20"/>
                <w:szCs w:val="20"/>
              </w:rPr>
            </w:pPr>
            <w:r w:rsidRPr="004A54B0">
              <w:rPr>
                <w:rFonts w:ascii="Arial Narrow" w:eastAsia="Arial Narrow" w:hAnsi="Arial Narrow" w:cs="Arial Narrow"/>
                <w:color w:val="FFFFFF" w:themeColor="background1"/>
                <w:sz w:val="20"/>
                <w:szCs w:val="20"/>
              </w:rPr>
              <w:t>Program Category</w:t>
            </w:r>
          </w:p>
        </w:tc>
        <w:tc>
          <w:tcPr>
            <w:tcW w:w="0" w:type="auto"/>
            <w:tcBorders>
              <w:top w:val="nil"/>
              <w:left w:val="nil"/>
              <w:bottom w:val="single" w:sz="12" w:space="0" w:color="95D600"/>
              <w:right w:val="nil"/>
            </w:tcBorders>
            <w:shd w:val="clear" w:color="auto" w:fill="036479" w:themeFill="accent3"/>
            <w:vAlign w:val="center"/>
          </w:tcPr>
          <w:p w14:paraId="42D947A3" w14:textId="77777777" w:rsidR="007A15BA" w:rsidRPr="004A54B0" w:rsidRDefault="007A15BA" w:rsidP="00855CA9">
            <w:pPr>
              <w:rPr>
                <w:rFonts w:ascii="Arial Narrow" w:eastAsia="Arial Narrow" w:hAnsi="Arial Narrow" w:cs="Arial Narrow"/>
                <w:color w:val="FFFFFF" w:themeColor="background1"/>
                <w:sz w:val="20"/>
                <w:szCs w:val="20"/>
              </w:rPr>
            </w:pPr>
            <w:r w:rsidRPr="004A54B0">
              <w:rPr>
                <w:rFonts w:ascii="Arial Narrow" w:eastAsia="Arial Narrow" w:hAnsi="Arial Narrow" w:cs="Arial Narrow"/>
                <w:color w:val="FFFFFF" w:themeColor="background1"/>
                <w:sz w:val="20"/>
                <w:szCs w:val="20"/>
              </w:rPr>
              <w:t>Program Path</w:t>
            </w:r>
          </w:p>
        </w:tc>
        <w:tc>
          <w:tcPr>
            <w:tcW w:w="0" w:type="auto"/>
            <w:tcBorders>
              <w:top w:val="nil"/>
              <w:left w:val="nil"/>
              <w:bottom w:val="single" w:sz="12" w:space="0" w:color="95D600"/>
              <w:right w:val="nil"/>
            </w:tcBorders>
            <w:shd w:val="clear" w:color="auto" w:fill="036479" w:themeFill="accent3"/>
            <w:vAlign w:val="center"/>
          </w:tcPr>
          <w:p w14:paraId="249DFF2D" w14:textId="77777777" w:rsidR="007A15BA" w:rsidRPr="004A54B0" w:rsidRDefault="007A15BA" w:rsidP="007A064E">
            <w:pPr>
              <w:jc w:val="right"/>
              <w:rPr>
                <w:rFonts w:ascii="Arial Narrow" w:eastAsia="Arial Narrow" w:hAnsi="Arial Narrow" w:cs="Arial Narrow"/>
                <w:color w:val="FFFFFF" w:themeColor="background1"/>
                <w:sz w:val="20"/>
                <w:szCs w:val="20"/>
              </w:rPr>
            </w:pPr>
            <w:r w:rsidRPr="004A54B0">
              <w:rPr>
                <w:rFonts w:ascii="Arial Narrow" w:eastAsia="Arial Narrow" w:hAnsi="Arial Narrow" w:cs="Arial Narrow"/>
                <w:color w:val="FFFFFF" w:themeColor="background1"/>
                <w:sz w:val="20"/>
                <w:szCs w:val="20"/>
              </w:rPr>
              <w:t>Ex Ante Gross Savings (Therms)</w:t>
            </w:r>
          </w:p>
        </w:tc>
        <w:tc>
          <w:tcPr>
            <w:tcW w:w="0" w:type="auto"/>
            <w:tcBorders>
              <w:top w:val="nil"/>
              <w:left w:val="nil"/>
              <w:bottom w:val="single" w:sz="12" w:space="0" w:color="95D600"/>
              <w:right w:val="nil"/>
            </w:tcBorders>
            <w:shd w:val="clear" w:color="auto" w:fill="036479" w:themeFill="accent3"/>
            <w:vAlign w:val="center"/>
          </w:tcPr>
          <w:p w14:paraId="5C531559" w14:textId="77777777" w:rsidR="007A15BA" w:rsidRPr="004A54B0" w:rsidRDefault="007A15BA" w:rsidP="007A064E">
            <w:pPr>
              <w:jc w:val="right"/>
              <w:rPr>
                <w:rFonts w:ascii="Arial Narrow" w:eastAsia="Arial Narrow" w:hAnsi="Arial Narrow" w:cs="Arial Narrow"/>
                <w:color w:val="FFFFFF" w:themeColor="background1"/>
                <w:sz w:val="20"/>
                <w:szCs w:val="20"/>
              </w:rPr>
            </w:pPr>
            <w:r w:rsidRPr="004A54B0">
              <w:rPr>
                <w:rFonts w:ascii="Arial Narrow" w:eastAsia="Arial Narrow" w:hAnsi="Arial Narrow" w:cs="Arial Narrow"/>
                <w:color w:val="FFFFFF" w:themeColor="background1"/>
                <w:sz w:val="20"/>
                <w:szCs w:val="20"/>
              </w:rPr>
              <w:t>Verified Gross RR*</w:t>
            </w:r>
          </w:p>
        </w:tc>
        <w:tc>
          <w:tcPr>
            <w:tcW w:w="0" w:type="auto"/>
            <w:tcBorders>
              <w:top w:val="nil"/>
              <w:left w:val="nil"/>
              <w:bottom w:val="single" w:sz="12" w:space="0" w:color="95D600"/>
              <w:right w:val="nil"/>
            </w:tcBorders>
            <w:shd w:val="clear" w:color="auto" w:fill="036479" w:themeFill="accent3"/>
            <w:vAlign w:val="center"/>
          </w:tcPr>
          <w:p w14:paraId="7A66D36A" w14:textId="77777777" w:rsidR="007A15BA" w:rsidRPr="004A54B0" w:rsidRDefault="007A15BA" w:rsidP="007A064E">
            <w:pPr>
              <w:jc w:val="right"/>
              <w:rPr>
                <w:rFonts w:ascii="Arial Narrow" w:eastAsia="Arial Narrow" w:hAnsi="Arial Narrow" w:cs="Arial Narrow"/>
                <w:color w:val="FFFFFF" w:themeColor="background1"/>
                <w:sz w:val="20"/>
                <w:szCs w:val="20"/>
              </w:rPr>
            </w:pPr>
            <w:r w:rsidRPr="004A54B0">
              <w:rPr>
                <w:rFonts w:ascii="Arial Narrow" w:eastAsia="Arial Narrow" w:hAnsi="Arial Narrow" w:cs="Arial Narrow"/>
                <w:color w:val="FFFFFF" w:themeColor="background1"/>
                <w:sz w:val="20"/>
                <w:szCs w:val="20"/>
              </w:rPr>
              <w:t>Verified Gross Savings (Therms</w:t>
            </w:r>
          </w:p>
        </w:tc>
        <w:tc>
          <w:tcPr>
            <w:tcW w:w="0" w:type="auto"/>
            <w:tcBorders>
              <w:top w:val="nil"/>
              <w:left w:val="nil"/>
              <w:bottom w:val="single" w:sz="12" w:space="0" w:color="95D600"/>
              <w:right w:val="nil"/>
            </w:tcBorders>
            <w:shd w:val="clear" w:color="auto" w:fill="036479" w:themeFill="accent3"/>
            <w:vAlign w:val="center"/>
          </w:tcPr>
          <w:p w14:paraId="55C992C7" w14:textId="77777777" w:rsidR="007A15BA" w:rsidRPr="004A54B0" w:rsidRDefault="007A15BA" w:rsidP="007A064E">
            <w:pPr>
              <w:jc w:val="right"/>
              <w:rPr>
                <w:rFonts w:ascii="Arial Narrow" w:eastAsia="Calibri" w:hAnsi="Arial Narrow" w:cs="Calibri"/>
                <w:color w:val="FFFFFF" w:themeColor="background1"/>
                <w:sz w:val="20"/>
                <w:szCs w:val="20"/>
              </w:rPr>
            </w:pPr>
            <w:r w:rsidRPr="004A54B0">
              <w:rPr>
                <w:rFonts w:ascii="Arial Narrow" w:eastAsia="Arial Narrow" w:hAnsi="Arial Narrow" w:cs="Arial Narrow"/>
                <w:color w:val="FFFFFF" w:themeColor="background1"/>
                <w:sz w:val="20"/>
                <w:szCs w:val="20"/>
              </w:rPr>
              <w:t>NTG</w:t>
            </w:r>
            <w:r w:rsidRPr="004A54B0">
              <w:rPr>
                <w:rFonts w:ascii="Arial Narrow" w:eastAsia="Calibri" w:hAnsi="Arial Narrow" w:cs="Calibri"/>
                <w:color w:val="FFFFFF" w:themeColor="background1"/>
                <w:sz w:val="20"/>
                <w:szCs w:val="20"/>
              </w:rPr>
              <w:t>†</w:t>
            </w:r>
          </w:p>
        </w:tc>
        <w:tc>
          <w:tcPr>
            <w:tcW w:w="0" w:type="auto"/>
            <w:tcBorders>
              <w:top w:val="nil"/>
              <w:left w:val="nil"/>
              <w:bottom w:val="single" w:sz="12" w:space="0" w:color="95D600"/>
              <w:right w:val="nil"/>
            </w:tcBorders>
            <w:shd w:val="clear" w:color="auto" w:fill="036479" w:themeFill="accent3"/>
            <w:vAlign w:val="center"/>
          </w:tcPr>
          <w:p w14:paraId="3110AD24" w14:textId="01B3AADB" w:rsidR="007A15BA" w:rsidRPr="004A54B0" w:rsidRDefault="007A15BA" w:rsidP="007A064E">
            <w:pPr>
              <w:jc w:val="right"/>
              <w:rPr>
                <w:rFonts w:ascii="Arial Narrow" w:eastAsia="Arial Narrow" w:hAnsi="Arial Narrow" w:cs="Arial Narrow"/>
                <w:color w:val="FFFFFF" w:themeColor="background1"/>
                <w:sz w:val="20"/>
                <w:szCs w:val="20"/>
              </w:rPr>
            </w:pPr>
            <w:r w:rsidRPr="004A54B0">
              <w:rPr>
                <w:rFonts w:ascii="Arial Narrow" w:eastAsia="Arial Narrow" w:hAnsi="Arial Narrow" w:cs="Arial Narrow"/>
                <w:color w:val="FFFFFF" w:themeColor="background1"/>
                <w:sz w:val="20"/>
                <w:szCs w:val="20"/>
              </w:rPr>
              <w:t>Verified Net Savings (Therms)</w:t>
            </w:r>
          </w:p>
        </w:tc>
      </w:tr>
      <w:tr w:rsidR="002F5122" w:rsidRPr="004A54B0" w14:paraId="70CF6E31" w14:textId="77777777" w:rsidTr="007A064E">
        <w:trPr>
          <w:trHeight w:val="297"/>
        </w:trPr>
        <w:tc>
          <w:tcPr>
            <w:tcW w:w="0" w:type="auto"/>
            <w:tcBorders>
              <w:top w:val="single" w:sz="12" w:space="0" w:color="95D600"/>
              <w:left w:val="nil"/>
              <w:bottom w:val="single" w:sz="6" w:space="0" w:color="B3EFFD" w:themeColor="accent3" w:themeTint="33"/>
              <w:right w:val="nil"/>
            </w:tcBorders>
            <w:vAlign w:val="center"/>
          </w:tcPr>
          <w:p w14:paraId="040BC1F0" w14:textId="2CA712B6" w:rsidR="002F5122" w:rsidRPr="004A54B0" w:rsidRDefault="00D91B6F" w:rsidP="002F5122">
            <w:pPr>
              <w:rPr>
                <w:rFonts w:ascii="Arial Narrow" w:eastAsia="Arial Narrow" w:hAnsi="Arial Narrow" w:cs="Arial Narrow"/>
                <w:color w:val="000000" w:themeColor="text1"/>
                <w:sz w:val="20"/>
                <w:szCs w:val="20"/>
              </w:rPr>
            </w:pPr>
            <w:r w:rsidRPr="004A54B0">
              <w:rPr>
                <w:rFonts w:ascii="Arial Narrow" w:hAnsi="Arial Narrow" w:cs="Calibri"/>
                <w:b/>
                <w:bCs/>
                <w:color w:val="000000"/>
                <w:sz w:val="20"/>
                <w:szCs w:val="20"/>
              </w:rPr>
              <w:t>PHES</w:t>
            </w:r>
          </w:p>
        </w:tc>
        <w:tc>
          <w:tcPr>
            <w:tcW w:w="0" w:type="auto"/>
            <w:tcBorders>
              <w:top w:val="single" w:sz="12" w:space="0" w:color="95D600"/>
              <w:left w:val="nil"/>
              <w:bottom w:val="single" w:sz="6" w:space="0" w:color="B3EFFD" w:themeColor="accent3" w:themeTint="33"/>
              <w:right w:val="nil"/>
            </w:tcBorders>
            <w:shd w:val="clear" w:color="auto" w:fill="FFFFFF" w:themeFill="background1"/>
            <w:vAlign w:val="center"/>
          </w:tcPr>
          <w:p w14:paraId="521BBA2D" w14:textId="50F17248" w:rsidR="002F5122" w:rsidRPr="004A54B0" w:rsidRDefault="002F5122" w:rsidP="002F5122">
            <w:pPr>
              <w:rPr>
                <w:rFonts w:ascii="Arial Narrow" w:eastAsia="Arial Narrow" w:hAnsi="Arial Narrow" w:cs="Arial Narrow"/>
                <w:color w:val="000000" w:themeColor="text1"/>
                <w:sz w:val="20"/>
                <w:szCs w:val="20"/>
              </w:rPr>
            </w:pPr>
            <w:r w:rsidRPr="004A54B0">
              <w:rPr>
                <w:rFonts w:ascii="Arial Narrow" w:hAnsi="Arial Narrow" w:cs="Calibri"/>
                <w:color w:val="000000"/>
                <w:sz w:val="20"/>
                <w:szCs w:val="20"/>
              </w:rPr>
              <w:t>Public Housing</w:t>
            </w:r>
          </w:p>
        </w:tc>
        <w:tc>
          <w:tcPr>
            <w:tcW w:w="0" w:type="auto"/>
            <w:tcBorders>
              <w:top w:val="single" w:sz="12" w:space="0" w:color="95D600"/>
              <w:left w:val="nil"/>
              <w:bottom w:val="single" w:sz="6" w:space="0" w:color="B3EFFD" w:themeColor="accent3" w:themeTint="33"/>
              <w:right w:val="nil"/>
            </w:tcBorders>
            <w:vAlign w:val="center"/>
          </w:tcPr>
          <w:p w14:paraId="0CC22DB6" w14:textId="6C5A0639" w:rsidR="002F5122" w:rsidRPr="004A54B0" w:rsidRDefault="002F5122" w:rsidP="007A064E">
            <w:pPr>
              <w:jc w:val="right"/>
              <w:rPr>
                <w:rFonts w:ascii="Arial Narrow" w:eastAsia="Arial Narrow" w:hAnsi="Arial Narrow" w:cs="Arial Narrow"/>
                <w:color w:val="000000" w:themeColor="text1"/>
                <w:sz w:val="20"/>
                <w:szCs w:val="20"/>
              </w:rPr>
            </w:pPr>
            <w:r w:rsidRPr="004A54B0">
              <w:rPr>
                <w:rFonts w:ascii="Arial Narrow" w:hAnsi="Arial Narrow" w:cs="Calibri"/>
                <w:color w:val="000000"/>
                <w:sz w:val="20"/>
                <w:szCs w:val="20"/>
              </w:rPr>
              <w:t>1,549</w:t>
            </w:r>
          </w:p>
        </w:tc>
        <w:tc>
          <w:tcPr>
            <w:tcW w:w="0" w:type="auto"/>
            <w:tcBorders>
              <w:top w:val="single" w:sz="12" w:space="0" w:color="95D600"/>
              <w:left w:val="nil"/>
              <w:bottom w:val="single" w:sz="6" w:space="0" w:color="B3EFFD" w:themeColor="accent3" w:themeTint="33"/>
              <w:right w:val="nil"/>
            </w:tcBorders>
            <w:vAlign w:val="center"/>
          </w:tcPr>
          <w:p w14:paraId="10605F09" w14:textId="2CCA3CDD" w:rsidR="002F5122" w:rsidRPr="004A54B0" w:rsidRDefault="002F5122" w:rsidP="007A064E">
            <w:pPr>
              <w:jc w:val="right"/>
              <w:rPr>
                <w:rFonts w:ascii="Arial Narrow" w:eastAsia="Arial Narrow" w:hAnsi="Arial Narrow" w:cs="Arial Narrow"/>
                <w:color w:val="000000" w:themeColor="text1"/>
                <w:sz w:val="20"/>
                <w:szCs w:val="20"/>
              </w:rPr>
            </w:pPr>
            <w:r w:rsidRPr="004A54B0">
              <w:rPr>
                <w:rFonts w:ascii="Arial Narrow" w:hAnsi="Arial Narrow" w:cs="Calibri"/>
                <w:color w:val="000000"/>
                <w:sz w:val="20"/>
                <w:szCs w:val="20"/>
              </w:rPr>
              <w:t>100%</w:t>
            </w:r>
          </w:p>
        </w:tc>
        <w:tc>
          <w:tcPr>
            <w:tcW w:w="0" w:type="auto"/>
            <w:tcBorders>
              <w:top w:val="single" w:sz="12" w:space="0" w:color="95D600"/>
              <w:left w:val="nil"/>
              <w:bottom w:val="single" w:sz="6" w:space="0" w:color="B3EFFD" w:themeColor="accent3" w:themeTint="33"/>
              <w:right w:val="nil"/>
            </w:tcBorders>
            <w:vAlign w:val="center"/>
          </w:tcPr>
          <w:p w14:paraId="5C2A8D6C" w14:textId="260086D0" w:rsidR="002F5122" w:rsidRPr="004A54B0" w:rsidRDefault="002F5122" w:rsidP="007A064E">
            <w:pPr>
              <w:jc w:val="right"/>
              <w:rPr>
                <w:rFonts w:ascii="Arial Narrow" w:eastAsia="Arial Narrow" w:hAnsi="Arial Narrow" w:cs="Arial Narrow"/>
                <w:color w:val="000000" w:themeColor="text1"/>
                <w:sz w:val="20"/>
                <w:szCs w:val="20"/>
              </w:rPr>
            </w:pPr>
            <w:r w:rsidRPr="004A54B0">
              <w:rPr>
                <w:rFonts w:ascii="Arial Narrow" w:hAnsi="Arial Narrow" w:cs="Calibri"/>
                <w:color w:val="000000"/>
                <w:sz w:val="20"/>
                <w:szCs w:val="20"/>
              </w:rPr>
              <w:t>1,549</w:t>
            </w:r>
          </w:p>
        </w:tc>
        <w:tc>
          <w:tcPr>
            <w:tcW w:w="0" w:type="auto"/>
            <w:tcBorders>
              <w:top w:val="single" w:sz="12" w:space="0" w:color="95D600"/>
              <w:left w:val="nil"/>
              <w:bottom w:val="single" w:sz="6" w:space="0" w:color="B3EFFD" w:themeColor="accent3" w:themeTint="33"/>
              <w:right w:val="nil"/>
            </w:tcBorders>
            <w:vAlign w:val="center"/>
          </w:tcPr>
          <w:p w14:paraId="67804811" w14:textId="32721328" w:rsidR="002F5122" w:rsidRPr="004A54B0" w:rsidRDefault="002F5122" w:rsidP="007A064E">
            <w:pPr>
              <w:jc w:val="right"/>
              <w:rPr>
                <w:rFonts w:ascii="Arial Narrow" w:eastAsia="Arial Narrow" w:hAnsi="Arial Narrow" w:cs="Arial Narrow"/>
                <w:color w:val="000000" w:themeColor="text1"/>
                <w:sz w:val="20"/>
                <w:szCs w:val="20"/>
              </w:rPr>
            </w:pPr>
            <w:r w:rsidRPr="004A54B0">
              <w:rPr>
                <w:rFonts w:ascii="Arial Narrow" w:hAnsi="Arial Narrow" w:cs="Calibri"/>
                <w:color w:val="000000"/>
                <w:sz w:val="20"/>
                <w:szCs w:val="20"/>
              </w:rPr>
              <w:t>1.00</w:t>
            </w:r>
          </w:p>
        </w:tc>
        <w:tc>
          <w:tcPr>
            <w:tcW w:w="0" w:type="auto"/>
            <w:tcBorders>
              <w:top w:val="single" w:sz="12" w:space="0" w:color="95D600"/>
              <w:left w:val="nil"/>
              <w:bottom w:val="single" w:sz="6" w:space="0" w:color="B3EFFD" w:themeColor="accent3" w:themeTint="33"/>
              <w:right w:val="nil"/>
            </w:tcBorders>
            <w:vAlign w:val="center"/>
          </w:tcPr>
          <w:p w14:paraId="3F599A3A" w14:textId="3C3CC0F6" w:rsidR="002F5122" w:rsidRPr="004A54B0" w:rsidRDefault="002F5122" w:rsidP="007A064E">
            <w:pPr>
              <w:jc w:val="right"/>
              <w:rPr>
                <w:rFonts w:ascii="Arial Narrow" w:eastAsia="Arial Narrow" w:hAnsi="Arial Narrow" w:cs="Arial Narrow"/>
                <w:color w:val="000000" w:themeColor="text1"/>
                <w:sz w:val="20"/>
                <w:szCs w:val="20"/>
              </w:rPr>
            </w:pPr>
            <w:r w:rsidRPr="004A54B0">
              <w:rPr>
                <w:rFonts w:ascii="Arial Narrow" w:hAnsi="Arial Narrow" w:cs="Calibri"/>
                <w:color w:val="000000"/>
                <w:sz w:val="20"/>
                <w:szCs w:val="20"/>
              </w:rPr>
              <w:t>1,549</w:t>
            </w:r>
          </w:p>
        </w:tc>
      </w:tr>
    </w:tbl>
    <w:p w14:paraId="42DEF99A" w14:textId="77777777" w:rsidR="004A54B0" w:rsidRDefault="00C56580" w:rsidP="004A54B0">
      <w:pPr>
        <w:pStyle w:val="GraphFootnote"/>
        <w:keepLines/>
        <w:rPr>
          <w:rFonts w:ascii="Arial" w:hAnsi="Arial" w:cs="Arial"/>
        </w:rPr>
      </w:pPr>
      <w:r w:rsidRPr="69F43F8D">
        <w:rPr>
          <w:rFonts w:ascii="Arial" w:hAnsi="Arial" w:cs="Arial"/>
        </w:rPr>
        <w:t>* Realization Rate (RR) is the ratio of verified gross savings to ex ante gross savings, based on evaluation research findings.</w:t>
      </w:r>
    </w:p>
    <w:p w14:paraId="429AC5A4" w14:textId="35BE43CC" w:rsidR="00C00CFA" w:rsidRDefault="00C56580" w:rsidP="004A54B0">
      <w:pPr>
        <w:pStyle w:val="GraphFootnote"/>
        <w:keepLines/>
        <w:rPr>
          <w:rFonts w:eastAsia="Arial Narrow" w:cs="Arial Narrow"/>
          <w:color w:val="000000" w:themeColor="text1"/>
          <w:szCs w:val="18"/>
        </w:rPr>
      </w:pPr>
      <w:r w:rsidRPr="69F43F8D">
        <w:rPr>
          <w:rFonts w:eastAsia="Arial Narrow" w:cs="Arial Narrow"/>
          <w:color w:val="000000" w:themeColor="text1"/>
          <w:szCs w:val="18"/>
        </w:rPr>
        <w:t xml:space="preserve">† NTG, Net to Gross is the deemed value available on the SAG website: </w:t>
      </w:r>
      <w:hyperlink r:id="rId27">
        <w:r w:rsidRPr="69F43F8D">
          <w:rPr>
            <w:rStyle w:val="Hyperlink"/>
            <w:rFonts w:eastAsia="Arial Narrow" w:cs="Arial Narrow"/>
            <w:color w:val="000000" w:themeColor="text1"/>
            <w:szCs w:val="18"/>
          </w:rPr>
          <w:t>https://www.ilsag.info/evaluator-ntg-recommendations-for-2024/</w:t>
        </w:r>
      </w:hyperlink>
      <w:r w:rsidRPr="69F43F8D">
        <w:rPr>
          <w:rFonts w:eastAsia="Arial Narrow" w:cs="Arial Narrow"/>
          <w:color w:val="000000" w:themeColor="text1"/>
          <w:szCs w:val="18"/>
        </w:rPr>
        <w:t xml:space="preserve">. </w:t>
      </w:r>
    </w:p>
    <w:p w14:paraId="32573EDF" w14:textId="5045ED3A" w:rsidR="00C56580" w:rsidRDefault="00C56580" w:rsidP="00C00CFA">
      <w:pPr>
        <w:pStyle w:val="Source"/>
        <w:rPr>
          <w:rFonts w:eastAsia="Arial"/>
        </w:rPr>
      </w:pPr>
      <w:r w:rsidRPr="00A9737A">
        <w:rPr>
          <w:rFonts w:eastAsia="Arial"/>
        </w:rPr>
        <w:t>Source: Evaluation team analysis.</w:t>
      </w:r>
    </w:p>
    <w:p w14:paraId="6E683C39" w14:textId="77777777" w:rsidR="007A064E" w:rsidRPr="007A064E" w:rsidRDefault="007A064E" w:rsidP="007A064E">
      <w:pPr>
        <w:rPr>
          <w:rFonts w:eastAsia="Arial"/>
        </w:rPr>
      </w:pPr>
    </w:p>
    <w:p w14:paraId="2776394B" w14:textId="77777777" w:rsidR="001722DE" w:rsidRDefault="001722DE" w:rsidP="001722DE">
      <w:pPr>
        <w:pStyle w:val="Heading2"/>
      </w:pPr>
      <w:bookmarkStart w:id="110" w:name="_Toc193349173"/>
      <w:bookmarkStart w:id="111" w:name="_Toc193349921"/>
      <w:r>
        <w:t>Program Savings by Measure</w:t>
      </w:r>
      <w:bookmarkEnd w:id="110"/>
      <w:bookmarkEnd w:id="111"/>
    </w:p>
    <w:p w14:paraId="360B4215" w14:textId="739FA477" w:rsidR="00CB6541" w:rsidRDefault="001722DE" w:rsidP="001722DE">
      <w:r>
        <w:t>The PGL</w:t>
      </w:r>
      <w:r w:rsidR="005836AE">
        <w:t xml:space="preserve"> PHES</w:t>
      </w:r>
      <w:r>
        <w:t xml:space="preserve"> program includes </w:t>
      </w:r>
      <w:r w:rsidR="00A649A9" w:rsidRPr="00416B75">
        <w:t>1</w:t>
      </w:r>
      <w:r w:rsidR="00BD5425">
        <w:t>1</w:t>
      </w:r>
      <w:r>
        <w:t xml:space="preserve"> measures as shown in</w:t>
      </w:r>
      <w:r w:rsidR="00480F8F">
        <w:t xml:space="preserve"> </w:t>
      </w:r>
      <w:r w:rsidR="0034721B">
        <w:fldChar w:fldCharType="begin"/>
      </w:r>
      <w:r w:rsidR="0034721B">
        <w:instrText xml:space="preserve"> REF _Ref193288645 \h </w:instrText>
      </w:r>
      <w:r w:rsidR="0034721B">
        <w:fldChar w:fldCharType="separate"/>
      </w:r>
      <w:r w:rsidR="0034721B">
        <w:t xml:space="preserve">Table </w:t>
      </w:r>
      <w:r w:rsidR="0034721B">
        <w:rPr>
          <w:noProof/>
        </w:rPr>
        <w:t>16</w:t>
      </w:r>
      <w:r w:rsidR="0034721B">
        <w:fldChar w:fldCharType="end"/>
      </w:r>
      <w:r w:rsidR="0034721B">
        <w:t>.</w:t>
      </w:r>
      <w:r w:rsidRPr="00997A66">
        <w:t xml:space="preserve"> The </w:t>
      </w:r>
      <w:r w:rsidR="0006003F" w:rsidRPr="00997A66">
        <w:t>boiler tune</w:t>
      </w:r>
      <w:r w:rsidR="002A3507">
        <w:t>-</w:t>
      </w:r>
      <w:r w:rsidR="0006003F" w:rsidRPr="00997A66">
        <w:t xml:space="preserve">up and </w:t>
      </w:r>
      <w:r w:rsidR="00997A66" w:rsidRPr="00997A66">
        <w:t>steam trap</w:t>
      </w:r>
      <w:r w:rsidRPr="00997A66">
        <w:t xml:space="preserve"> measures contributed the most savings.</w:t>
      </w:r>
    </w:p>
    <w:p w14:paraId="0D0D1F13" w14:textId="1BE53B2A" w:rsidR="001722DE" w:rsidRDefault="0034721B" w:rsidP="0034721B">
      <w:pPr>
        <w:pStyle w:val="Caption"/>
      </w:pPr>
      <w:bookmarkStart w:id="112" w:name="_Ref193288645"/>
      <w:bookmarkStart w:id="113" w:name="_Toc193349191"/>
      <w:bookmarkStart w:id="114" w:name="_Toc193349225"/>
      <w:bookmarkStart w:id="115" w:name="_Toc193349940"/>
      <w:r>
        <w:t xml:space="preserve">Table </w:t>
      </w:r>
      <w:r>
        <w:fldChar w:fldCharType="begin"/>
      </w:r>
      <w:r>
        <w:instrText xml:space="preserve"> SEQ Table \* ARABIC </w:instrText>
      </w:r>
      <w:r>
        <w:fldChar w:fldCharType="separate"/>
      </w:r>
      <w:r>
        <w:rPr>
          <w:noProof/>
        </w:rPr>
        <w:t>16</w:t>
      </w:r>
      <w:r>
        <w:rPr>
          <w:noProof/>
        </w:rPr>
        <w:fldChar w:fldCharType="end"/>
      </w:r>
      <w:bookmarkEnd w:id="112"/>
      <w:r>
        <w:t>. 2024 PHES Program</w:t>
      </w:r>
      <w:r w:rsidRPr="00A90B62">
        <w:t xml:space="preserve"> </w:t>
      </w:r>
      <w:r>
        <w:t>Annual Energy Savings by Measure for PGL</w:t>
      </w:r>
      <w:bookmarkEnd w:id="113"/>
      <w:bookmarkEnd w:id="114"/>
      <w:bookmarkEnd w:id="115"/>
    </w:p>
    <w:tbl>
      <w:tblPr>
        <w:tblW w:w="0" w:type="auto"/>
        <w:tblCellMar>
          <w:top w:w="15" w:type="dxa"/>
          <w:bottom w:w="15" w:type="dxa"/>
        </w:tblCellMar>
        <w:tblLook w:val="04A0" w:firstRow="1" w:lastRow="0" w:firstColumn="1" w:lastColumn="0" w:noHBand="0" w:noVBand="1"/>
      </w:tblPr>
      <w:tblGrid>
        <w:gridCol w:w="936"/>
        <w:gridCol w:w="882"/>
        <w:gridCol w:w="3006"/>
        <w:gridCol w:w="1020"/>
        <w:gridCol w:w="839"/>
        <w:gridCol w:w="1019"/>
        <w:gridCol w:w="654"/>
        <w:gridCol w:w="1004"/>
      </w:tblGrid>
      <w:tr w:rsidR="0045334B" w:rsidRPr="00CB6541" w14:paraId="6D75D23B" w14:textId="77777777" w:rsidTr="00CB6541">
        <w:trPr>
          <w:trHeight w:val="945"/>
          <w:tblHeader/>
        </w:trPr>
        <w:tc>
          <w:tcPr>
            <w:tcW w:w="0" w:type="auto"/>
            <w:tcBorders>
              <w:top w:val="nil"/>
              <w:left w:val="nil"/>
              <w:bottom w:val="single" w:sz="12" w:space="0" w:color="95D600"/>
              <w:right w:val="nil"/>
            </w:tcBorders>
            <w:shd w:val="clear" w:color="000000" w:fill="036479"/>
            <w:vAlign w:val="center"/>
            <w:hideMark/>
          </w:tcPr>
          <w:p w14:paraId="4B6DD61F" w14:textId="41BF911B" w:rsidR="0036406D" w:rsidRPr="00467AEC" w:rsidRDefault="0036406D" w:rsidP="0036406D">
            <w:pPr>
              <w:rPr>
                <w:rFonts w:ascii="Arial Narrow" w:hAnsi="Arial Narrow" w:cs="Calibri"/>
                <w:color w:val="FFFFFF"/>
                <w:sz w:val="20"/>
                <w:szCs w:val="20"/>
              </w:rPr>
            </w:pPr>
            <w:r w:rsidRPr="00467AEC">
              <w:rPr>
                <w:rFonts w:ascii="Arial Narrow" w:hAnsi="Arial Narrow" w:cs="Calibri"/>
                <w:color w:val="FFFFFF"/>
                <w:sz w:val="20"/>
                <w:szCs w:val="20"/>
              </w:rPr>
              <w:t>Program Category</w:t>
            </w:r>
          </w:p>
        </w:tc>
        <w:tc>
          <w:tcPr>
            <w:tcW w:w="0" w:type="auto"/>
            <w:tcBorders>
              <w:top w:val="nil"/>
              <w:left w:val="nil"/>
              <w:bottom w:val="single" w:sz="12" w:space="0" w:color="95D600"/>
              <w:right w:val="nil"/>
            </w:tcBorders>
            <w:shd w:val="clear" w:color="000000" w:fill="036479"/>
            <w:vAlign w:val="center"/>
            <w:hideMark/>
          </w:tcPr>
          <w:p w14:paraId="4FBC4245" w14:textId="2B8F4094" w:rsidR="0036406D" w:rsidRPr="00467AEC" w:rsidRDefault="0036406D" w:rsidP="0036406D">
            <w:pPr>
              <w:rPr>
                <w:rFonts w:ascii="Arial Narrow" w:hAnsi="Arial Narrow" w:cs="Calibri"/>
                <w:color w:val="FFFFFF"/>
                <w:sz w:val="20"/>
                <w:szCs w:val="20"/>
              </w:rPr>
            </w:pPr>
            <w:r w:rsidRPr="00467AEC">
              <w:rPr>
                <w:rFonts w:ascii="Arial Narrow" w:hAnsi="Arial Narrow" w:cs="Calibri"/>
                <w:color w:val="FFFFFF"/>
                <w:sz w:val="20"/>
                <w:szCs w:val="20"/>
              </w:rPr>
              <w:t>Program Path</w:t>
            </w:r>
          </w:p>
        </w:tc>
        <w:tc>
          <w:tcPr>
            <w:tcW w:w="0" w:type="auto"/>
            <w:tcBorders>
              <w:top w:val="nil"/>
              <w:left w:val="nil"/>
              <w:bottom w:val="single" w:sz="12" w:space="0" w:color="95D600"/>
              <w:right w:val="nil"/>
            </w:tcBorders>
            <w:shd w:val="clear" w:color="000000" w:fill="036479"/>
            <w:vAlign w:val="center"/>
            <w:hideMark/>
          </w:tcPr>
          <w:p w14:paraId="04473733" w14:textId="5C1FFF54" w:rsidR="0036406D" w:rsidRPr="00467AEC" w:rsidRDefault="0036406D" w:rsidP="001B6883">
            <w:pPr>
              <w:rPr>
                <w:rFonts w:ascii="Arial Narrow" w:hAnsi="Arial Narrow" w:cs="Calibri"/>
                <w:color w:val="FFFFFF"/>
                <w:sz w:val="20"/>
                <w:szCs w:val="20"/>
              </w:rPr>
            </w:pPr>
            <w:r w:rsidRPr="00467AEC">
              <w:rPr>
                <w:rFonts w:ascii="Arial Narrow" w:hAnsi="Arial Narrow" w:cs="Calibri"/>
                <w:color w:val="FFFFFF"/>
                <w:sz w:val="20"/>
                <w:szCs w:val="20"/>
              </w:rPr>
              <w:t>Savings Category</w:t>
            </w:r>
          </w:p>
        </w:tc>
        <w:tc>
          <w:tcPr>
            <w:tcW w:w="0" w:type="auto"/>
            <w:tcBorders>
              <w:top w:val="nil"/>
              <w:left w:val="nil"/>
              <w:bottom w:val="single" w:sz="12" w:space="0" w:color="95D600"/>
              <w:right w:val="nil"/>
            </w:tcBorders>
            <w:shd w:val="clear" w:color="000000" w:fill="036479"/>
            <w:vAlign w:val="center"/>
            <w:hideMark/>
          </w:tcPr>
          <w:p w14:paraId="3B1D42BF" w14:textId="723FFA5D" w:rsidR="0036406D" w:rsidRPr="00467AEC" w:rsidRDefault="0036406D" w:rsidP="0036406D">
            <w:pPr>
              <w:jc w:val="right"/>
              <w:rPr>
                <w:rFonts w:ascii="Arial Narrow" w:hAnsi="Arial Narrow" w:cs="Calibri"/>
                <w:color w:val="FFFFFF"/>
                <w:sz w:val="20"/>
                <w:szCs w:val="20"/>
              </w:rPr>
            </w:pPr>
            <w:r w:rsidRPr="00467AEC">
              <w:rPr>
                <w:rFonts w:ascii="Arial Narrow" w:hAnsi="Arial Narrow" w:cs="Calibri"/>
                <w:color w:val="FFFFFF"/>
                <w:sz w:val="20"/>
                <w:szCs w:val="20"/>
              </w:rPr>
              <w:t>Ex Ante Gross Savings (Therms)</w:t>
            </w:r>
          </w:p>
        </w:tc>
        <w:tc>
          <w:tcPr>
            <w:tcW w:w="0" w:type="auto"/>
            <w:tcBorders>
              <w:top w:val="nil"/>
              <w:left w:val="nil"/>
              <w:bottom w:val="single" w:sz="12" w:space="0" w:color="95D600"/>
              <w:right w:val="nil"/>
            </w:tcBorders>
            <w:shd w:val="clear" w:color="000000" w:fill="036479"/>
            <w:vAlign w:val="center"/>
            <w:hideMark/>
          </w:tcPr>
          <w:p w14:paraId="6C965B19" w14:textId="651588C4" w:rsidR="0036406D" w:rsidRPr="00467AEC" w:rsidRDefault="0036406D" w:rsidP="0036406D">
            <w:pPr>
              <w:jc w:val="right"/>
              <w:rPr>
                <w:rFonts w:ascii="Arial Narrow" w:hAnsi="Arial Narrow" w:cs="Calibri"/>
                <w:color w:val="FFFFFF"/>
                <w:sz w:val="20"/>
                <w:szCs w:val="20"/>
              </w:rPr>
            </w:pPr>
            <w:r w:rsidRPr="00467AEC">
              <w:rPr>
                <w:rFonts w:ascii="Arial Narrow" w:hAnsi="Arial Narrow" w:cs="Calibri"/>
                <w:color w:val="FFFFFF"/>
                <w:sz w:val="20"/>
                <w:szCs w:val="20"/>
              </w:rPr>
              <w:t>Verified Gross RR*</w:t>
            </w:r>
          </w:p>
        </w:tc>
        <w:tc>
          <w:tcPr>
            <w:tcW w:w="0" w:type="auto"/>
            <w:tcBorders>
              <w:top w:val="nil"/>
              <w:left w:val="nil"/>
              <w:bottom w:val="single" w:sz="12" w:space="0" w:color="95D600"/>
              <w:right w:val="nil"/>
            </w:tcBorders>
            <w:shd w:val="clear" w:color="000000" w:fill="036479"/>
            <w:vAlign w:val="center"/>
            <w:hideMark/>
          </w:tcPr>
          <w:p w14:paraId="5F31B362" w14:textId="79EB8C00" w:rsidR="0036406D" w:rsidRPr="00467AEC" w:rsidRDefault="0036406D" w:rsidP="0036406D">
            <w:pPr>
              <w:jc w:val="right"/>
              <w:rPr>
                <w:rFonts w:ascii="Arial Narrow" w:hAnsi="Arial Narrow" w:cs="Calibri"/>
                <w:color w:val="FFFFFF"/>
                <w:sz w:val="20"/>
                <w:szCs w:val="20"/>
              </w:rPr>
            </w:pPr>
            <w:r w:rsidRPr="00467AEC">
              <w:rPr>
                <w:rFonts w:ascii="Arial Narrow" w:hAnsi="Arial Narrow" w:cs="Calibri"/>
                <w:color w:val="FFFFFF"/>
                <w:sz w:val="20"/>
                <w:szCs w:val="20"/>
              </w:rPr>
              <w:t>Verified Gross Savings (Therms)</w:t>
            </w:r>
          </w:p>
        </w:tc>
        <w:tc>
          <w:tcPr>
            <w:tcW w:w="0" w:type="auto"/>
            <w:tcBorders>
              <w:top w:val="nil"/>
              <w:left w:val="nil"/>
              <w:bottom w:val="single" w:sz="12" w:space="0" w:color="95D600"/>
              <w:right w:val="nil"/>
            </w:tcBorders>
            <w:shd w:val="clear" w:color="000000" w:fill="036479"/>
            <w:vAlign w:val="center"/>
            <w:hideMark/>
          </w:tcPr>
          <w:p w14:paraId="10BBA69F" w14:textId="6FE6F666" w:rsidR="0036406D" w:rsidRPr="00467AEC" w:rsidRDefault="0036406D" w:rsidP="0036406D">
            <w:pPr>
              <w:jc w:val="right"/>
              <w:rPr>
                <w:rFonts w:ascii="Arial Narrow" w:hAnsi="Arial Narrow" w:cs="Calibri"/>
                <w:color w:val="FFFFFF"/>
                <w:sz w:val="20"/>
                <w:szCs w:val="20"/>
              </w:rPr>
            </w:pPr>
            <w:r w:rsidRPr="00467AEC">
              <w:rPr>
                <w:rFonts w:ascii="Arial Narrow" w:hAnsi="Arial Narrow" w:cs="Calibri"/>
                <w:color w:val="FFFFFF"/>
                <w:sz w:val="20"/>
                <w:szCs w:val="20"/>
              </w:rPr>
              <w:t>NTG†</w:t>
            </w:r>
          </w:p>
        </w:tc>
        <w:tc>
          <w:tcPr>
            <w:tcW w:w="0" w:type="auto"/>
            <w:tcBorders>
              <w:top w:val="nil"/>
              <w:left w:val="nil"/>
              <w:bottom w:val="single" w:sz="12" w:space="0" w:color="95D600"/>
              <w:right w:val="nil"/>
            </w:tcBorders>
            <w:shd w:val="clear" w:color="000000" w:fill="036479"/>
            <w:vAlign w:val="center"/>
            <w:hideMark/>
          </w:tcPr>
          <w:p w14:paraId="09F3EA72" w14:textId="0E2EA313" w:rsidR="0036406D" w:rsidRPr="00467AEC" w:rsidRDefault="0036406D" w:rsidP="0036406D">
            <w:pPr>
              <w:jc w:val="right"/>
              <w:rPr>
                <w:rFonts w:ascii="Arial Narrow" w:hAnsi="Arial Narrow" w:cs="Calibri"/>
                <w:color w:val="FFFFFF"/>
                <w:sz w:val="20"/>
                <w:szCs w:val="20"/>
              </w:rPr>
            </w:pPr>
            <w:r w:rsidRPr="00467AEC">
              <w:rPr>
                <w:rFonts w:ascii="Arial Narrow" w:hAnsi="Arial Narrow" w:cs="Calibri"/>
                <w:color w:val="FFFFFF"/>
                <w:sz w:val="20"/>
                <w:szCs w:val="20"/>
              </w:rPr>
              <w:t>Verified Net Savings (Therms)</w:t>
            </w:r>
          </w:p>
        </w:tc>
      </w:tr>
      <w:tr w:rsidR="00434B54" w:rsidRPr="008B64BE" w14:paraId="720A0C97" w14:textId="77777777" w:rsidTr="00434B54">
        <w:trPr>
          <w:trHeight w:val="540"/>
        </w:trPr>
        <w:tc>
          <w:tcPr>
            <w:tcW w:w="0" w:type="auto"/>
            <w:tcBorders>
              <w:top w:val="nil"/>
              <w:left w:val="nil"/>
              <w:bottom w:val="single" w:sz="8" w:space="0" w:color="B3EFFD"/>
              <w:right w:val="nil"/>
            </w:tcBorders>
            <w:vAlign w:val="center"/>
            <w:hideMark/>
          </w:tcPr>
          <w:p w14:paraId="5C0F11D3" w14:textId="012DD7E4" w:rsidR="00BD5425" w:rsidRPr="00467AEC" w:rsidRDefault="0000544B" w:rsidP="00BD5425">
            <w:pPr>
              <w:rPr>
                <w:rFonts w:ascii="Arial Narrow" w:hAnsi="Arial Narrow" w:cs="Calibri"/>
                <w:b/>
                <w:bCs/>
                <w:color w:val="000000"/>
                <w:sz w:val="20"/>
                <w:szCs w:val="20"/>
              </w:rPr>
            </w:pPr>
            <w:r w:rsidRPr="00467AEC">
              <w:rPr>
                <w:rFonts w:ascii="Arial Narrow" w:hAnsi="Arial Narrow" w:cs="Calibri"/>
                <w:b/>
                <w:bCs/>
                <w:color w:val="000000"/>
                <w:sz w:val="20"/>
                <w:szCs w:val="20"/>
              </w:rPr>
              <w:t>PHES</w:t>
            </w:r>
          </w:p>
        </w:tc>
        <w:tc>
          <w:tcPr>
            <w:tcW w:w="0" w:type="auto"/>
            <w:tcBorders>
              <w:top w:val="nil"/>
              <w:left w:val="nil"/>
              <w:bottom w:val="single" w:sz="8" w:space="0" w:color="B3EFFD"/>
              <w:right w:val="nil"/>
            </w:tcBorders>
            <w:shd w:val="clear" w:color="000000" w:fill="FFFFFF"/>
            <w:vAlign w:val="center"/>
            <w:hideMark/>
          </w:tcPr>
          <w:p w14:paraId="492BB72D" w14:textId="3E6F2AB9"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Public Housing</w:t>
            </w:r>
          </w:p>
        </w:tc>
        <w:tc>
          <w:tcPr>
            <w:tcW w:w="0" w:type="auto"/>
            <w:tcBorders>
              <w:top w:val="nil"/>
              <w:left w:val="nil"/>
              <w:bottom w:val="single" w:sz="8" w:space="0" w:color="B3EFFD"/>
              <w:right w:val="nil"/>
            </w:tcBorders>
            <w:noWrap/>
            <w:vAlign w:val="center"/>
            <w:hideMark/>
          </w:tcPr>
          <w:p w14:paraId="2D1F05ED" w14:textId="7D845FB7"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Furnace Tune Up</w:t>
            </w:r>
          </w:p>
        </w:tc>
        <w:tc>
          <w:tcPr>
            <w:tcW w:w="0" w:type="auto"/>
            <w:tcBorders>
              <w:top w:val="nil"/>
              <w:left w:val="nil"/>
              <w:bottom w:val="single" w:sz="8" w:space="0" w:color="B3EFFD"/>
              <w:right w:val="nil"/>
            </w:tcBorders>
            <w:noWrap/>
            <w:vAlign w:val="center"/>
            <w:hideMark/>
          </w:tcPr>
          <w:p w14:paraId="1A332101" w14:textId="22430F10" w:rsidR="00BD5425" w:rsidRPr="00467AEC" w:rsidRDefault="00BD5425" w:rsidP="00BD5425">
            <w:pPr>
              <w:jc w:val="right"/>
              <w:rPr>
                <w:rFonts w:ascii="Arial Narrow" w:hAnsi="Arial Narrow" w:cs="Calibri"/>
                <w:color w:val="000000"/>
                <w:sz w:val="20"/>
                <w:szCs w:val="20"/>
              </w:rPr>
            </w:pPr>
            <w:r w:rsidRPr="00467AEC">
              <w:rPr>
                <w:rFonts w:ascii="Arial Narrow" w:hAnsi="Arial Narrow" w:cs="Calibri"/>
                <w:color w:val="000000"/>
                <w:sz w:val="20"/>
                <w:szCs w:val="20"/>
              </w:rPr>
              <w:t>19,412</w:t>
            </w:r>
          </w:p>
        </w:tc>
        <w:tc>
          <w:tcPr>
            <w:tcW w:w="0" w:type="auto"/>
            <w:tcBorders>
              <w:top w:val="nil"/>
              <w:left w:val="nil"/>
              <w:bottom w:val="single" w:sz="8" w:space="0" w:color="B3EFFD"/>
              <w:right w:val="nil"/>
            </w:tcBorders>
            <w:noWrap/>
            <w:vAlign w:val="center"/>
            <w:hideMark/>
          </w:tcPr>
          <w:p w14:paraId="3685D6EA" w14:textId="49DB03D6" w:rsidR="00BD5425" w:rsidRPr="00467AEC" w:rsidRDefault="00BD5425" w:rsidP="00BD5425">
            <w:pPr>
              <w:jc w:val="right"/>
              <w:rPr>
                <w:rFonts w:ascii="Arial Narrow" w:hAnsi="Arial Narrow" w:cs="Calibri"/>
                <w:color w:val="000000"/>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noWrap/>
            <w:vAlign w:val="center"/>
            <w:hideMark/>
          </w:tcPr>
          <w:p w14:paraId="4792A7A6" w14:textId="0F6C17D0" w:rsidR="00BD5425" w:rsidRPr="00467AEC" w:rsidRDefault="00BD5425" w:rsidP="00BD5425">
            <w:pPr>
              <w:jc w:val="right"/>
              <w:rPr>
                <w:rFonts w:ascii="Arial Narrow" w:hAnsi="Arial Narrow" w:cs="Calibri"/>
                <w:color w:val="000000"/>
                <w:sz w:val="20"/>
                <w:szCs w:val="20"/>
              </w:rPr>
            </w:pPr>
            <w:r w:rsidRPr="00467AEC">
              <w:rPr>
                <w:rFonts w:ascii="Arial Narrow" w:hAnsi="Arial Narrow" w:cs="Calibri"/>
                <w:color w:val="000000"/>
                <w:sz w:val="20"/>
                <w:szCs w:val="20"/>
              </w:rPr>
              <w:t>19,412</w:t>
            </w:r>
          </w:p>
        </w:tc>
        <w:tc>
          <w:tcPr>
            <w:tcW w:w="0" w:type="auto"/>
            <w:tcBorders>
              <w:top w:val="nil"/>
              <w:left w:val="nil"/>
              <w:bottom w:val="single" w:sz="8" w:space="0" w:color="B3EFFD"/>
              <w:right w:val="nil"/>
            </w:tcBorders>
            <w:noWrap/>
            <w:vAlign w:val="center"/>
            <w:hideMark/>
          </w:tcPr>
          <w:p w14:paraId="60366092" w14:textId="101C55DC" w:rsidR="00BD5425" w:rsidRPr="00467AEC" w:rsidRDefault="00BD5425" w:rsidP="00BD5425">
            <w:pPr>
              <w:jc w:val="right"/>
              <w:rPr>
                <w:rFonts w:ascii="Arial Narrow" w:hAnsi="Arial Narrow" w:cs="Calibri"/>
                <w:color w:val="000000"/>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vAlign w:val="center"/>
            <w:hideMark/>
          </w:tcPr>
          <w:p w14:paraId="2123B601" w14:textId="3D06C2E2" w:rsidR="00BD5425" w:rsidRPr="00467AEC" w:rsidRDefault="00BD5425" w:rsidP="00BD5425">
            <w:pPr>
              <w:jc w:val="right"/>
              <w:rPr>
                <w:rFonts w:ascii="Arial Narrow" w:hAnsi="Arial Narrow" w:cs="Calibri"/>
                <w:color w:val="000000"/>
                <w:sz w:val="20"/>
                <w:szCs w:val="20"/>
              </w:rPr>
            </w:pPr>
            <w:r w:rsidRPr="00467AEC">
              <w:rPr>
                <w:rFonts w:ascii="Arial Narrow" w:hAnsi="Arial Narrow" w:cs="Calibri"/>
                <w:color w:val="000000"/>
                <w:sz w:val="20"/>
                <w:szCs w:val="20"/>
              </w:rPr>
              <w:t>19,412</w:t>
            </w:r>
          </w:p>
        </w:tc>
      </w:tr>
      <w:tr w:rsidR="0045334B" w:rsidRPr="008B64BE" w14:paraId="4684ED45" w14:textId="77777777" w:rsidTr="00434B54">
        <w:trPr>
          <w:trHeight w:val="300"/>
        </w:trPr>
        <w:tc>
          <w:tcPr>
            <w:tcW w:w="0" w:type="auto"/>
            <w:tcBorders>
              <w:top w:val="nil"/>
              <w:left w:val="nil"/>
              <w:bottom w:val="single" w:sz="8" w:space="0" w:color="B3EFFD"/>
              <w:right w:val="nil"/>
            </w:tcBorders>
            <w:shd w:val="clear" w:color="000000" w:fill="FFFFFF"/>
            <w:vAlign w:val="center"/>
          </w:tcPr>
          <w:p w14:paraId="069200F5" w14:textId="77777777" w:rsidR="00BD5425" w:rsidRPr="00467AEC" w:rsidRDefault="00BD5425" w:rsidP="00BD5425">
            <w:pPr>
              <w:jc w:val="right"/>
              <w:rPr>
                <w:rFonts w:ascii="Arial Narrow" w:hAnsi="Arial Narrow" w:cs="Calibri"/>
                <w:color w:val="000000"/>
                <w:sz w:val="20"/>
                <w:szCs w:val="20"/>
              </w:rPr>
            </w:pPr>
          </w:p>
        </w:tc>
        <w:tc>
          <w:tcPr>
            <w:tcW w:w="0" w:type="auto"/>
            <w:tcBorders>
              <w:top w:val="nil"/>
              <w:left w:val="nil"/>
              <w:bottom w:val="single" w:sz="8" w:space="0" w:color="B3EFFD"/>
              <w:right w:val="nil"/>
            </w:tcBorders>
            <w:vAlign w:val="center"/>
            <w:hideMark/>
          </w:tcPr>
          <w:p w14:paraId="2A3B7379" w14:textId="2FECC8DD"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shd w:val="clear" w:color="000000" w:fill="FFFFFF"/>
            <w:noWrap/>
            <w:vAlign w:val="center"/>
            <w:hideMark/>
          </w:tcPr>
          <w:p w14:paraId="45C9B2D6" w14:textId="105A3689"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Boiler Tune Up</w:t>
            </w:r>
          </w:p>
        </w:tc>
        <w:tc>
          <w:tcPr>
            <w:tcW w:w="0" w:type="auto"/>
            <w:tcBorders>
              <w:top w:val="nil"/>
              <w:left w:val="nil"/>
              <w:bottom w:val="single" w:sz="8" w:space="0" w:color="B3EFFD"/>
              <w:right w:val="nil"/>
            </w:tcBorders>
            <w:shd w:val="clear" w:color="000000" w:fill="FFFFFF"/>
            <w:noWrap/>
            <w:vAlign w:val="center"/>
            <w:hideMark/>
          </w:tcPr>
          <w:p w14:paraId="65DE9953" w14:textId="211E463B"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18,570</w:t>
            </w:r>
          </w:p>
        </w:tc>
        <w:tc>
          <w:tcPr>
            <w:tcW w:w="0" w:type="auto"/>
            <w:tcBorders>
              <w:top w:val="nil"/>
              <w:left w:val="nil"/>
              <w:bottom w:val="single" w:sz="8" w:space="0" w:color="B3EFFD"/>
              <w:right w:val="nil"/>
            </w:tcBorders>
            <w:shd w:val="clear" w:color="000000" w:fill="FFFFFF"/>
            <w:noWrap/>
            <w:vAlign w:val="center"/>
            <w:hideMark/>
          </w:tcPr>
          <w:p w14:paraId="27AD0056" w14:textId="3C5BAD00"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noWrap/>
            <w:vAlign w:val="center"/>
            <w:hideMark/>
          </w:tcPr>
          <w:p w14:paraId="32F2AE65" w14:textId="7EAA5DCA"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18,570</w:t>
            </w:r>
          </w:p>
        </w:tc>
        <w:tc>
          <w:tcPr>
            <w:tcW w:w="0" w:type="auto"/>
            <w:tcBorders>
              <w:top w:val="nil"/>
              <w:left w:val="nil"/>
              <w:bottom w:val="single" w:sz="8" w:space="0" w:color="B3EFFD"/>
              <w:right w:val="nil"/>
            </w:tcBorders>
            <w:shd w:val="clear" w:color="000000" w:fill="FFFFFF"/>
            <w:noWrap/>
            <w:vAlign w:val="center"/>
            <w:hideMark/>
          </w:tcPr>
          <w:p w14:paraId="231939A7" w14:textId="01F2F459"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vAlign w:val="center"/>
            <w:hideMark/>
          </w:tcPr>
          <w:p w14:paraId="19C570CB" w14:textId="44104209"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18,570</w:t>
            </w:r>
          </w:p>
        </w:tc>
      </w:tr>
      <w:tr w:rsidR="00434B54" w:rsidRPr="008B64BE" w14:paraId="1CA9269C" w14:textId="77777777" w:rsidTr="00434B54">
        <w:trPr>
          <w:trHeight w:val="525"/>
        </w:trPr>
        <w:tc>
          <w:tcPr>
            <w:tcW w:w="0" w:type="auto"/>
            <w:tcBorders>
              <w:top w:val="nil"/>
              <w:left w:val="nil"/>
              <w:bottom w:val="single" w:sz="8" w:space="0" w:color="B3EFFD"/>
              <w:right w:val="nil"/>
            </w:tcBorders>
            <w:shd w:val="clear" w:color="000000" w:fill="FFFFFF"/>
            <w:vAlign w:val="center"/>
          </w:tcPr>
          <w:p w14:paraId="748F3B84" w14:textId="2D607A5C" w:rsidR="00BD5425" w:rsidRPr="00467AEC" w:rsidRDefault="00BD5425" w:rsidP="00BD5425">
            <w:pPr>
              <w:rPr>
                <w:rFonts w:ascii="Arial Narrow" w:hAnsi="Arial Narrow" w:cs="Calibri"/>
                <w:b/>
                <w:bCs/>
                <w:i/>
                <w:iCs/>
                <w:color w:val="000000"/>
                <w:sz w:val="20"/>
                <w:szCs w:val="20"/>
              </w:rPr>
            </w:pPr>
          </w:p>
        </w:tc>
        <w:tc>
          <w:tcPr>
            <w:tcW w:w="0" w:type="auto"/>
            <w:tcBorders>
              <w:top w:val="nil"/>
              <w:left w:val="nil"/>
              <w:bottom w:val="single" w:sz="8" w:space="0" w:color="B3EFFD"/>
              <w:right w:val="nil"/>
            </w:tcBorders>
            <w:vAlign w:val="center"/>
            <w:hideMark/>
          </w:tcPr>
          <w:p w14:paraId="35EB33C9" w14:textId="737CB439" w:rsidR="00BD5425" w:rsidRPr="00467AEC" w:rsidRDefault="00BD5425" w:rsidP="00BD5425">
            <w:pPr>
              <w:rPr>
                <w:rFonts w:ascii="Arial Narrow" w:hAnsi="Arial Narrow" w:cs="Calibri"/>
                <w:b/>
                <w:bCs/>
                <w:i/>
                <w:iCs/>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noWrap/>
            <w:vAlign w:val="center"/>
            <w:hideMark/>
          </w:tcPr>
          <w:p w14:paraId="1B2E712D" w14:textId="3AD356A3" w:rsidR="00BD5425" w:rsidRPr="00467AEC" w:rsidRDefault="00BD5425" w:rsidP="00BD5425">
            <w:pPr>
              <w:rPr>
                <w:rFonts w:ascii="Arial Narrow" w:hAnsi="Arial Narrow"/>
                <w:sz w:val="20"/>
                <w:szCs w:val="20"/>
              </w:rPr>
            </w:pPr>
            <w:r w:rsidRPr="00467AEC">
              <w:rPr>
                <w:rFonts w:ascii="Arial Narrow" w:hAnsi="Arial Narrow" w:cs="Calibri"/>
                <w:color w:val="000000"/>
                <w:sz w:val="20"/>
                <w:szCs w:val="20"/>
              </w:rPr>
              <w:t>Steam Traps</w:t>
            </w:r>
          </w:p>
        </w:tc>
        <w:tc>
          <w:tcPr>
            <w:tcW w:w="0" w:type="auto"/>
            <w:tcBorders>
              <w:top w:val="nil"/>
              <w:left w:val="nil"/>
              <w:bottom w:val="single" w:sz="8" w:space="0" w:color="B3EFFD"/>
              <w:right w:val="nil"/>
            </w:tcBorders>
            <w:noWrap/>
            <w:vAlign w:val="center"/>
            <w:hideMark/>
          </w:tcPr>
          <w:p w14:paraId="5FB885F1" w14:textId="5F9906E1"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17,586</w:t>
            </w:r>
          </w:p>
        </w:tc>
        <w:tc>
          <w:tcPr>
            <w:tcW w:w="0" w:type="auto"/>
            <w:tcBorders>
              <w:top w:val="nil"/>
              <w:left w:val="nil"/>
              <w:bottom w:val="single" w:sz="8" w:space="0" w:color="B3EFFD"/>
              <w:right w:val="nil"/>
            </w:tcBorders>
            <w:noWrap/>
            <w:vAlign w:val="center"/>
            <w:hideMark/>
          </w:tcPr>
          <w:p w14:paraId="44F74A0A" w14:textId="6874D36F"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noWrap/>
            <w:vAlign w:val="center"/>
            <w:hideMark/>
          </w:tcPr>
          <w:p w14:paraId="5DE03327" w14:textId="08B9F104"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17,586</w:t>
            </w:r>
          </w:p>
        </w:tc>
        <w:tc>
          <w:tcPr>
            <w:tcW w:w="0" w:type="auto"/>
            <w:tcBorders>
              <w:top w:val="nil"/>
              <w:left w:val="nil"/>
              <w:bottom w:val="single" w:sz="8" w:space="0" w:color="B3EFFD"/>
              <w:right w:val="nil"/>
            </w:tcBorders>
            <w:noWrap/>
            <w:vAlign w:val="center"/>
            <w:hideMark/>
          </w:tcPr>
          <w:p w14:paraId="7D1750FB" w14:textId="5821522B"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vAlign w:val="center"/>
            <w:hideMark/>
          </w:tcPr>
          <w:p w14:paraId="028AAA05" w14:textId="4715EBA0"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17,586</w:t>
            </w:r>
          </w:p>
        </w:tc>
      </w:tr>
      <w:tr w:rsidR="0045334B" w:rsidRPr="008B64BE" w14:paraId="295EB4A9" w14:textId="77777777" w:rsidTr="00434B54">
        <w:trPr>
          <w:trHeight w:val="525"/>
        </w:trPr>
        <w:tc>
          <w:tcPr>
            <w:tcW w:w="0" w:type="auto"/>
            <w:tcBorders>
              <w:top w:val="nil"/>
              <w:left w:val="nil"/>
              <w:bottom w:val="single" w:sz="8" w:space="0" w:color="B3EFFD"/>
              <w:right w:val="nil"/>
            </w:tcBorders>
            <w:vAlign w:val="center"/>
          </w:tcPr>
          <w:p w14:paraId="203AE945" w14:textId="6942F376" w:rsidR="00BD5425" w:rsidRPr="00467AEC" w:rsidRDefault="00BD5425" w:rsidP="00BD5425">
            <w:pPr>
              <w:rPr>
                <w:rFonts w:ascii="Arial Narrow" w:hAnsi="Arial Narrow" w:cs="Calibri"/>
                <w:color w:val="000000"/>
                <w:sz w:val="20"/>
                <w:szCs w:val="20"/>
              </w:rPr>
            </w:pPr>
          </w:p>
        </w:tc>
        <w:tc>
          <w:tcPr>
            <w:tcW w:w="0" w:type="auto"/>
            <w:tcBorders>
              <w:top w:val="nil"/>
              <w:left w:val="nil"/>
              <w:bottom w:val="single" w:sz="8" w:space="0" w:color="B3EFFD"/>
              <w:right w:val="nil"/>
            </w:tcBorders>
            <w:shd w:val="clear" w:color="000000" w:fill="FFFFFF"/>
            <w:vAlign w:val="center"/>
            <w:hideMark/>
          </w:tcPr>
          <w:p w14:paraId="0F13C832" w14:textId="4EDC78BE"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shd w:val="clear" w:color="000000" w:fill="FFFFFF"/>
            <w:noWrap/>
            <w:vAlign w:val="center"/>
            <w:hideMark/>
          </w:tcPr>
          <w:p w14:paraId="04F3EEA0" w14:textId="44B56717"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 xml:space="preserve">Covers and Gap Sealers for Room AC </w:t>
            </w:r>
          </w:p>
        </w:tc>
        <w:tc>
          <w:tcPr>
            <w:tcW w:w="0" w:type="auto"/>
            <w:tcBorders>
              <w:top w:val="nil"/>
              <w:left w:val="nil"/>
              <w:bottom w:val="single" w:sz="8" w:space="0" w:color="B3EFFD"/>
              <w:right w:val="nil"/>
            </w:tcBorders>
            <w:shd w:val="clear" w:color="000000" w:fill="FFFFFF"/>
            <w:noWrap/>
            <w:vAlign w:val="center"/>
            <w:hideMark/>
          </w:tcPr>
          <w:p w14:paraId="1D16160B" w14:textId="1290188C"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1,148</w:t>
            </w:r>
          </w:p>
        </w:tc>
        <w:tc>
          <w:tcPr>
            <w:tcW w:w="0" w:type="auto"/>
            <w:tcBorders>
              <w:top w:val="nil"/>
              <w:left w:val="nil"/>
              <w:bottom w:val="single" w:sz="8" w:space="0" w:color="B3EFFD"/>
              <w:right w:val="nil"/>
            </w:tcBorders>
            <w:shd w:val="clear" w:color="000000" w:fill="FFFFFF"/>
            <w:noWrap/>
            <w:vAlign w:val="center"/>
            <w:hideMark/>
          </w:tcPr>
          <w:p w14:paraId="73585406" w14:textId="552CAA15"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noWrap/>
            <w:vAlign w:val="center"/>
            <w:hideMark/>
          </w:tcPr>
          <w:p w14:paraId="1E9C5495" w14:textId="01729237"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1,148</w:t>
            </w:r>
          </w:p>
        </w:tc>
        <w:tc>
          <w:tcPr>
            <w:tcW w:w="0" w:type="auto"/>
            <w:tcBorders>
              <w:top w:val="nil"/>
              <w:left w:val="nil"/>
              <w:bottom w:val="single" w:sz="8" w:space="0" w:color="B3EFFD"/>
              <w:right w:val="nil"/>
            </w:tcBorders>
            <w:shd w:val="clear" w:color="000000" w:fill="FFFFFF"/>
            <w:noWrap/>
            <w:vAlign w:val="center"/>
            <w:hideMark/>
          </w:tcPr>
          <w:p w14:paraId="6E6588E8" w14:textId="344A08A9"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vAlign w:val="center"/>
            <w:hideMark/>
          </w:tcPr>
          <w:p w14:paraId="48420FA3" w14:textId="4FDA09D8"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1,148</w:t>
            </w:r>
          </w:p>
        </w:tc>
      </w:tr>
      <w:tr w:rsidR="00434B54" w:rsidRPr="008B64BE" w14:paraId="311FFB49" w14:textId="77777777" w:rsidTr="00434B54">
        <w:trPr>
          <w:trHeight w:val="300"/>
        </w:trPr>
        <w:tc>
          <w:tcPr>
            <w:tcW w:w="0" w:type="auto"/>
            <w:tcBorders>
              <w:top w:val="nil"/>
              <w:left w:val="nil"/>
              <w:bottom w:val="single" w:sz="8" w:space="0" w:color="B3EFFD"/>
              <w:right w:val="nil"/>
            </w:tcBorders>
            <w:shd w:val="clear" w:color="000000" w:fill="FFFFFF"/>
            <w:vAlign w:val="center"/>
          </w:tcPr>
          <w:p w14:paraId="31458612" w14:textId="77777777" w:rsidR="00BD5425" w:rsidRPr="00467AEC" w:rsidRDefault="00BD5425" w:rsidP="00BD5425">
            <w:pPr>
              <w:jc w:val="right"/>
              <w:rPr>
                <w:rFonts w:ascii="Arial Narrow" w:hAnsi="Arial Narrow"/>
                <w:sz w:val="20"/>
                <w:szCs w:val="20"/>
              </w:rPr>
            </w:pPr>
          </w:p>
        </w:tc>
        <w:tc>
          <w:tcPr>
            <w:tcW w:w="0" w:type="auto"/>
            <w:tcBorders>
              <w:top w:val="nil"/>
              <w:left w:val="nil"/>
              <w:bottom w:val="single" w:sz="8" w:space="0" w:color="B3EFFD"/>
              <w:right w:val="nil"/>
            </w:tcBorders>
            <w:vAlign w:val="center"/>
            <w:hideMark/>
          </w:tcPr>
          <w:p w14:paraId="53352FBD" w14:textId="50F59E0F"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noWrap/>
            <w:vAlign w:val="center"/>
            <w:hideMark/>
          </w:tcPr>
          <w:p w14:paraId="3A753F46" w14:textId="1442CF1D"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Showerhead (IU)</w:t>
            </w:r>
          </w:p>
        </w:tc>
        <w:tc>
          <w:tcPr>
            <w:tcW w:w="0" w:type="auto"/>
            <w:tcBorders>
              <w:top w:val="nil"/>
              <w:left w:val="nil"/>
              <w:bottom w:val="single" w:sz="8" w:space="0" w:color="B3EFFD"/>
              <w:right w:val="nil"/>
            </w:tcBorders>
            <w:noWrap/>
            <w:vAlign w:val="center"/>
            <w:hideMark/>
          </w:tcPr>
          <w:p w14:paraId="3F09438F" w14:textId="23A1AF86"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803</w:t>
            </w:r>
          </w:p>
        </w:tc>
        <w:tc>
          <w:tcPr>
            <w:tcW w:w="0" w:type="auto"/>
            <w:tcBorders>
              <w:top w:val="nil"/>
              <w:left w:val="nil"/>
              <w:bottom w:val="single" w:sz="8" w:space="0" w:color="B3EFFD"/>
              <w:right w:val="nil"/>
            </w:tcBorders>
            <w:noWrap/>
            <w:vAlign w:val="center"/>
            <w:hideMark/>
          </w:tcPr>
          <w:p w14:paraId="6171AAB3" w14:textId="3F4F027E"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noWrap/>
            <w:vAlign w:val="center"/>
            <w:hideMark/>
          </w:tcPr>
          <w:p w14:paraId="60AE887D" w14:textId="33BED066"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803</w:t>
            </w:r>
          </w:p>
        </w:tc>
        <w:tc>
          <w:tcPr>
            <w:tcW w:w="0" w:type="auto"/>
            <w:tcBorders>
              <w:top w:val="nil"/>
              <w:left w:val="nil"/>
              <w:bottom w:val="single" w:sz="8" w:space="0" w:color="B3EFFD"/>
              <w:right w:val="nil"/>
            </w:tcBorders>
            <w:noWrap/>
            <w:vAlign w:val="center"/>
            <w:hideMark/>
          </w:tcPr>
          <w:p w14:paraId="22B72018" w14:textId="4D8ABE44"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vAlign w:val="center"/>
            <w:hideMark/>
          </w:tcPr>
          <w:p w14:paraId="6656F5C9" w14:textId="7053F49D"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803</w:t>
            </w:r>
          </w:p>
        </w:tc>
      </w:tr>
      <w:tr w:rsidR="0045334B" w:rsidRPr="008B64BE" w14:paraId="6DDA2247" w14:textId="77777777" w:rsidTr="00434B54">
        <w:trPr>
          <w:trHeight w:val="300"/>
        </w:trPr>
        <w:tc>
          <w:tcPr>
            <w:tcW w:w="0" w:type="auto"/>
            <w:tcBorders>
              <w:top w:val="nil"/>
              <w:left w:val="nil"/>
              <w:bottom w:val="single" w:sz="8" w:space="0" w:color="B3EFFD"/>
              <w:right w:val="nil"/>
            </w:tcBorders>
            <w:shd w:val="clear" w:color="000000" w:fill="FFFFFF"/>
            <w:vAlign w:val="center"/>
          </w:tcPr>
          <w:p w14:paraId="32F7DC23" w14:textId="4882E01E" w:rsidR="00BD5425" w:rsidRPr="00467AEC" w:rsidRDefault="00BD5425" w:rsidP="00BD5425">
            <w:pPr>
              <w:rPr>
                <w:rFonts w:ascii="Arial Narrow" w:hAnsi="Arial Narrow" w:cs="Calibri"/>
                <w:b/>
                <w:bCs/>
                <w:i/>
                <w:iCs/>
                <w:color w:val="000000"/>
                <w:sz w:val="20"/>
                <w:szCs w:val="20"/>
              </w:rPr>
            </w:pPr>
          </w:p>
        </w:tc>
        <w:tc>
          <w:tcPr>
            <w:tcW w:w="0" w:type="auto"/>
            <w:tcBorders>
              <w:top w:val="nil"/>
              <w:left w:val="nil"/>
              <w:bottom w:val="single" w:sz="8" w:space="0" w:color="B3EFFD"/>
              <w:right w:val="nil"/>
            </w:tcBorders>
            <w:shd w:val="clear" w:color="000000" w:fill="FFFFFF"/>
            <w:vAlign w:val="center"/>
            <w:hideMark/>
          </w:tcPr>
          <w:p w14:paraId="69C50287" w14:textId="7EA1E542" w:rsidR="00BD5425" w:rsidRPr="00467AEC" w:rsidRDefault="00BD5425" w:rsidP="00BD5425">
            <w:pPr>
              <w:rPr>
                <w:rFonts w:ascii="Arial Narrow" w:hAnsi="Arial Narrow" w:cs="Calibri"/>
                <w:b/>
                <w:bCs/>
                <w:i/>
                <w:iCs/>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shd w:val="clear" w:color="000000" w:fill="FFFFFF"/>
            <w:noWrap/>
            <w:vAlign w:val="center"/>
            <w:hideMark/>
          </w:tcPr>
          <w:p w14:paraId="45FEF0C0" w14:textId="1AB8E8D3" w:rsidR="00BD5425" w:rsidRPr="00467AEC" w:rsidRDefault="00BD5425" w:rsidP="00BD5425">
            <w:pPr>
              <w:rPr>
                <w:rFonts w:ascii="Arial Narrow" w:hAnsi="Arial Narrow"/>
                <w:sz w:val="20"/>
                <w:szCs w:val="20"/>
              </w:rPr>
            </w:pPr>
            <w:r w:rsidRPr="00467AEC">
              <w:rPr>
                <w:rFonts w:ascii="Arial Narrow" w:hAnsi="Arial Narrow" w:cs="Calibri"/>
                <w:color w:val="000000"/>
                <w:sz w:val="20"/>
                <w:szCs w:val="20"/>
              </w:rPr>
              <w:t>Pipe Insulation</w:t>
            </w:r>
          </w:p>
        </w:tc>
        <w:tc>
          <w:tcPr>
            <w:tcW w:w="0" w:type="auto"/>
            <w:tcBorders>
              <w:top w:val="nil"/>
              <w:left w:val="nil"/>
              <w:bottom w:val="single" w:sz="8" w:space="0" w:color="B3EFFD"/>
              <w:right w:val="nil"/>
            </w:tcBorders>
            <w:shd w:val="clear" w:color="000000" w:fill="FFFFFF"/>
            <w:noWrap/>
            <w:vAlign w:val="center"/>
            <w:hideMark/>
          </w:tcPr>
          <w:p w14:paraId="6066CB51" w14:textId="28E6E675"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487</w:t>
            </w:r>
          </w:p>
        </w:tc>
        <w:tc>
          <w:tcPr>
            <w:tcW w:w="0" w:type="auto"/>
            <w:tcBorders>
              <w:top w:val="nil"/>
              <w:left w:val="nil"/>
              <w:bottom w:val="single" w:sz="8" w:space="0" w:color="B3EFFD"/>
              <w:right w:val="nil"/>
            </w:tcBorders>
            <w:shd w:val="clear" w:color="000000" w:fill="FFFFFF"/>
            <w:noWrap/>
            <w:vAlign w:val="center"/>
            <w:hideMark/>
          </w:tcPr>
          <w:p w14:paraId="6292CCE6" w14:textId="25836042"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noWrap/>
            <w:vAlign w:val="center"/>
            <w:hideMark/>
          </w:tcPr>
          <w:p w14:paraId="34CB71AA" w14:textId="5F7E4668"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487</w:t>
            </w:r>
          </w:p>
        </w:tc>
        <w:tc>
          <w:tcPr>
            <w:tcW w:w="0" w:type="auto"/>
            <w:tcBorders>
              <w:top w:val="nil"/>
              <w:left w:val="nil"/>
              <w:bottom w:val="single" w:sz="8" w:space="0" w:color="B3EFFD"/>
              <w:right w:val="nil"/>
            </w:tcBorders>
            <w:shd w:val="clear" w:color="000000" w:fill="FFFFFF"/>
            <w:noWrap/>
            <w:vAlign w:val="center"/>
            <w:hideMark/>
          </w:tcPr>
          <w:p w14:paraId="7BD465FD" w14:textId="1ACE8E0C"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vAlign w:val="center"/>
            <w:hideMark/>
          </w:tcPr>
          <w:p w14:paraId="1E5995F2" w14:textId="1722B851"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487</w:t>
            </w:r>
          </w:p>
        </w:tc>
      </w:tr>
      <w:tr w:rsidR="0045334B" w:rsidRPr="008B64BE" w14:paraId="7EDE25D8" w14:textId="77777777" w:rsidTr="00434B54">
        <w:trPr>
          <w:trHeight w:val="525"/>
        </w:trPr>
        <w:tc>
          <w:tcPr>
            <w:tcW w:w="0" w:type="auto"/>
            <w:tcBorders>
              <w:top w:val="nil"/>
              <w:left w:val="nil"/>
              <w:bottom w:val="single" w:sz="8" w:space="0" w:color="B3EFFD"/>
              <w:right w:val="nil"/>
            </w:tcBorders>
            <w:vAlign w:val="center"/>
          </w:tcPr>
          <w:p w14:paraId="6461F4ED" w14:textId="5FDCA81A" w:rsidR="00BD5425" w:rsidRPr="00467AEC" w:rsidRDefault="00BD5425" w:rsidP="00BD5425">
            <w:pPr>
              <w:rPr>
                <w:rFonts w:ascii="Arial Narrow" w:hAnsi="Arial Narrow" w:cs="Calibri"/>
                <w:color w:val="000000"/>
                <w:sz w:val="20"/>
                <w:szCs w:val="20"/>
              </w:rPr>
            </w:pPr>
          </w:p>
        </w:tc>
        <w:tc>
          <w:tcPr>
            <w:tcW w:w="0" w:type="auto"/>
            <w:tcBorders>
              <w:top w:val="nil"/>
              <w:left w:val="nil"/>
              <w:bottom w:val="single" w:sz="8" w:space="0" w:color="B3EFFD"/>
              <w:right w:val="nil"/>
            </w:tcBorders>
            <w:shd w:val="clear" w:color="000000" w:fill="FFFFFF"/>
            <w:vAlign w:val="center"/>
            <w:hideMark/>
          </w:tcPr>
          <w:p w14:paraId="1CFE211C" w14:textId="49E65A56"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shd w:val="clear" w:color="000000" w:fill="FFFFFF"/>
            <w:noWrap/>
            <w:vAlign w:val="center"/>
            <w:hideMark/>
          </w:tcPr>
          <w:p w14:paraId="5C48F00F" w14:textId="3921B96D"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Shower Timer (IU)</w:t>
            </w:r>
          </w:p>
        </w:tc>
        <w:tc>
          <w:tcPr>
            <w:tcW w:w="0" w:type="auto"/>
            <w:tcBorders>
              <w:top w:val="nil"/>
              <w:left w:val="nil"/>
              <w:bottom w:val="single" w:sz="8" w:space="0" w:color="B3EFFD"/>
              <w:right w:val="nil"/>
            </w:tcBorders>
            <w:shd w:val="clear" w:color="000000" w:fill="FFFFFF"/>
            <w:noWrap/>
            <w:vAlign w:val="center"/>
            <w:hideMark/>
          </w:tcPr>
          <w:p w14:paraId="752E54D3" w14:textId="1018F167"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433</w:t>
            </w:r>
          </w:p>
        </w:tc>
        <w:tc>
          <w:tcPr>
            <w:tcW w:w="0" w:type="auto"/>
            <w:tcBorders>
              <w:top w:val="nil"/>
              <w:left w:val="nil"/>
              <w:bottom w:val="single" w:sz="8" w:space="0" w:color="B3EFFD"/>
              <w:right w:val="nil"/>
            </w:tcBorders>
            <w:shd w:val="clear" w:color="000000" w:fill="FFFFFF"/>
            <w:noWrap/>
            <w:vAlign w:val="center"/>
            <w:hideMark/>
          </w:tcPr>
          <w:p w14:paraId="0D7919A4" w14:textId="7C7A46EE"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noWrap/>
            <w:vAlign w:val="center"/>
            <w:hideMark/>
          </w:tcPr>
          <w:p w14:paraId="79D96D22" w14:textId="71B63861"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432</w:t>
            </w:r>
          </w:p>
        </w:tc>
        <w:tc>
          <w:tcPr>
            <w:tcW w:w="0" w:type="auto"/>
            <w:tcBorders>
              <w:top w:val="nil"/>
              <w:left w:val="nil"/>
              <w:bottom w:val="single" w:sz="8" w:space="0" w:color="B3EFFD"/>
              <w:right w:val="nil"/>
            </w:tcBorders>
            <w:shd w:val="clear" w:color="000000" w:fill="FFFFFF"/>
            <w:noWrap/>
            <w:vAlign w:val="center"/>
            <w:hideMark/>
          </w:tcPr>
          <w:p w14:paraId="253CB946" w14:textId="217CC232"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vAlign w:val="center"/>
            <w:hideMark/>
          </w:tcPr>
          <w:p w14:paraId="259C7917" w14:textId="19AC8DAD"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432</w:t>
            </w:r>
          </w:p>
        </w:tc>
      </w:tr>
      <w:tr w:rsidR="0045334B" w:rsidRPr="008B64BE" w14:paraId="16ACFD7E" w14:textId="77777777" w:rsidTr="00434B54">
        <w:trPr>
          <w:trHeight w:val="300"/>
        </w:trPr>
        <w:tc>
          <w:tcPr>
            <w:tcW w:w="0" w:type="auto"/>
            <w:tcBorders>
              <w:top w:val="nil"/>
              <w:left w:val="nil"/>
              <w:bottom w:val="single" w:sz="8" w:space="0" w:color="B3EFFD"/>
              <w:right w:val="nil"/>
            </w:tcBorders>
            <w:shd w:val="clear" w:color="000000" w:fill="FFFFFF"/>
            <w:vAlign w:val="center"/>
          </w:tcPr>
          <w:p w14:paraId="2B5EBC0B" w14:textId="77777777" w:rsidR="00BD5425" w:rsidRPr="00467AEC" w:rsidRDefault="00BD5425" w:rsidP="00BD5425">
            <w:pPr>
              <w:jc w:val="right"/>
              <w:rPr>
                <w:rFonts w:ascii="Arial Narrow" w:hAnsi="Arial Narrow"/>
                <w:sz w:val="20"/>
                <w:szCs w:val="20"/>
              </w:rPr>
            </w:pPr>
          </w:p>
        </w:tc>
        <w:tc>
          <w:tcPr>
            <w:tcW w:w="0" w:type="auto"/>
            <w:tcBorders>
              <w:top w:val="nil"/>
              <w:left w:val="nil"/>
              <w:bottom w:val="single" w:sz="8" w:space="0" w:color="B3EFFD"/>
              <w:right w:val="nil"/>
            </w:tcBorders>
            <w:vAlign w:val="center"/>
            <w:hideMark/>
          </w:tcPr>
          <w:p w14:paraId="6C60AD1D" w14:textId="4E62FB75"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shd w:val="clear" w:color="000000" w:fill="FFFFFF"/>
            <w:noWrap/>
            <w:vAlign w:val="center"/>
            <w:hideMark/>
          </w:tcPr>
          <w:p w14:paraId="53DE1770" w14:textId="773AEB5E"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Faucet Aerator - Kitchen (IU)</w:t>
            </w:r>
          </w:p>
        </w:tc>
        <w:tc>
          <w:tcPr>
            <w:tcW w:w="0" w:type="auto"/>
            <w:tcBorders>
              <w:top w:val="nil"/>
              <w:left w:val="nil"/>
              <w:bottom w:val="single" w:sz="8" w:space="0" w:color="B3EFFD"/>
              <w:right w:val="nil"/>
            </w:tcBorders>
            <w:shd w:val="clear" w:color="000000" w:fill="FFFFFF"/>
            <w:noWrap/>
            <w:vAlign w:val="center"/>
            <w:hideMark/>
          </w:tcPr>
          <w:p w14:paraId="0A35FEBB" w14:textId="6A5B966C"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234</w:t>
            </w:r>
          </w:p>
        </w:tc>
        <w:tc>
          <w:tcPr>
            <w:tcW w:w="0" w:type="auto"/>
            <w:tcBorders>
              <w:top w:val="nil"/>
              <w:left w:val="nil"/>
              <w:bottom w:val="single" w:sz="8" w:space="0" w:color="B3EFFD"/>
              <w:right w:val="nil"/>
            </w:tcBorders>
            <w:shd w:val="clear" w:color="000000" w:fill="FFFFFF"/>
            <w:noWrap/>
            <w:vAlign w:val="center"/>
            <w:hideMark/>
          </w:tcPr>
          <w:p w14:paraId="5479F3A5" w14:textId="532D554C"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noWrap/>
            <w:vAlign w:val="center"/>
            <w:hideMark/>
          </w:tcPr>
          <w:p w14:paraId="6584E51E" w14:textId="40C56BBF"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234</w:t>
            </w:r>
          </w:p>
        </w:tc>
        <w:tc>
          <w:tcPr>
            <w:tcW w:w="0" w:type="auto"/>
            <w:tcBorders>
              <w:top w:val="nil"/>
              <w:left w:val="nil"/>
              <w:bottom w:val="single" w:sz="8" w:space="0" w:color="B3EFFD"/>
              <w:right w:val="nil"/>
            </w:tcBorders>
            <w:shd w:val="clear" w:color="000000" w:fill="FFFFFF"/>
            <w:noWrap/>
            <w:vAlign w:val="center"/>
            <w:hideMark/>
          </w:tcPr>
          <w:p w14:paraId="3656AA7B" w14:textId="112ADA19"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vAlign w:val="center"/>
            <w:hideMark/>
          </w:tcPr>
          <w:p w14:paraId="35D710D1" w14:textId="2739B59F"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234</w:t>
            </w:r>
          </w:p>
        </w:tc>
      </w:tr>
      <w:tr w:rsidR="0045334B" w:rsidRPr="008B64BE" w14:paraId="3FA34538" w14:textId="77777777" w:rsidTr="00434B54">
        <w:trPr>
          <w:trHeight w:val="300"/>
        </w:trPr>
        <w:tc>
          <w:tcPr>
            <w:tcW w:w="0" w:type="auto"/>
            <w:tcBorders>
              <w:top w:val="nil"/>
              <w:left w:val="nil"/>
              <w:bottom w:val="single" w:sz="8" w:space="0" w:color="B3EFFD"/>
              <w:right w:val="nil"/>
            </w:tcBorders>
            <w:shd w:val="clear" w:color="000000" w:fill="FFFFFF"/>
            <w:vAlign w:val="center"/>
          </w:tcPr>
          <w:p w14:paraId="05857CE8" w14:textId="2F29D90B" w:rsidR="00BD5425" w:rsidRPr="00467AEC" w:rsidRDefault="00BD5425" w:rsidP="00BD5425">
            <w:pPr>
              <w:rPr>
                <w:rFonts w:ascii="Arial Narrow" w:hAnsi="Arial Narrow" w:cs="Calibri"/>
                <w:b/>
                <w:bCs/>
                <w:i/>
                <w:iCs/>
                <w:color w:val="000000"/>
                <w:sz w:val="20"/>
                <w:szCs w:val="20"/>
              </w:rPr>
            </w:pPr>
          </w:p>
        </w:tc>
        <w:tc>
          <w:tcPr>
            <w:tcW w:w="0" w:type="auto"/>
            <w:tcBorders>
              <w:top w:val="nil"/>
              <w:left w:val="nil"/>
              <w:bottom w:val="single" w:sz="8" w:space="0" w:color="B3EFFD"/>
              <w:right w:val="nil"/>
            </w:tcBorders>
            <w:vAlign w:val="center"/>
            <w:hideMark/>
          </w:tcPr>
          <w:p w14:paraId="6D15713F" w14:textId="54C760A9" w:rsidR="00BD5425" w:rsidRPr="00467AEC" w:rsidRDefault="00BD5425" w:rsidP="00BD5425">
            <w:pPr>
              <w:rPr>
                <w:rFonts w:ascii="Arial Narrow" w:hAnsi="Arial Narrow" w:cs="Calibri"/>
                <w:b/>
                <w:bCs/>
                <w:i/>
                <w:iCs/>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shd w:val="clear" w:color="000000" w:fill="FFFFFF"/>
            <w:noWrap/>
            <w:vAlign w:val="center"/>
            <w:hideMark/>
          </w:tcPr>
          <w:p w14:paraId="6AA67B17" w14:textId="55B6D96F" w:rsidR="00BD5425" w:rsidRPr="00467AEC" w:rsidRDefault="00BD5425" w:rsidP="00BD5425">
            <w:pPr>
              <w:rPr>
                <w:rFonts w:ascii="Arial Narrow" w:hAnsi="Arial Narrow"/>
                <w:sz w:val="20"/>
                <w:szCs w:val="20"/>
              </w:rPr>
            </w:pPr>
            <w:r w:rsidRPr="00467AEC">
              <w:rPr>
                <w:rFonts w:ascii="Arial Narrow" w:hAnsi="Arial Narrow" w:cs="Calibri"/>
                <w:color w:val="000000"/>
                <w:sz w:val="20"/>
                <w:szCs w:val="20"/>
              </w:rPr>
              <w:t>Faucet Aerator - Bathroom (IU)</w:t>
            </w:r>
          </w:p>
        </w:tc>
        <w:tc>
          <w:tcPr>
            <w:tcW w:w="0" w:type="auto"/>
            <w:tcBorders>
              <w:top w:val="nil"/>
              <w:left w:val="nil"/>
              <w:bottom w:val="single" w:sz="8" w:space="0" w:color="B3EFFD"/>
              <w:right w:val="nil"/>
            </w:tcBorders>
            <w:shd w:val="clear" w:color="000000" w:fill="FFFFFF"/>
            <w:noWrap/>
            <w:vAlign w:val="center"/>
            <w:hideMark/>
          </w:tcPr>
          <w:p w14:paraId="0FCD0F47" w14:textId="08E4F3B0"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152</w:t>
            </w:r>
          </w:p>
        </w:tc>
        <w:tc>
          <w:tcPr>
            <w:tcW w:w="0" w:type="auto"/>
            <w:tcBorders>
              <w:top w:val="nil"/>
              <w:left w:val="nil"/>
              <w:bottom w:val="single" w:sz="8" w:space="0" w:color="B3EFFD"/>
              <w:right w:val="nil"/>
            </w:tcBorders>
            <w:shd w:val="clear" w:color="000000" w:fill="FFFFFF"/>
            <w:noWrap/>
            <w:vAlign w:val="center"/>
            <w:hideMark/>
          </w:tcPr>
          <w:p w14:paraId="48CFDC2D" w14:textId="183B844D"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noWrap/>
            <w:vAlign w:val="center"/>
            <w:hideMark/>
          </w:tcPr>
          <w:p w14:paraId="693E8BD4" w14:textId="7E42E4CB"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152</w:t>
            </w:r>
          </w:p>
        </w:tc>
        <w:tc>
          <w:tcPr>
            <w:tcW w:w="0" w:type="auto"/>
            <w:tcBorders>
              <w:top w:val="nil"/>
              <w:left w:val="nil"/>
              <w:bottom w:val="single" w:sz="8" w:space="0" w:color="B3EFFD"/>
              <w:right w:val="nil"/>
            </w:tcBorders>
            <w:shd w:val="clear" w:color="000000" w:fill="FFFFFF"/>
            <w:noWrap/>
            <w:vAlign w:val="center"/>
            <w:hideMark/>
          </w:tcPr>
          <w:p w14:paraId="1F8729EC" w14:textId="0A4AFAB4"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vAlign w:val="center"/>
            <w:hideMark/>
          </w:tcPr>
          <w:p w14:paraId="1F5FF769" w14:textId="5278B1D8"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152</w:t>
            </w:r>
          </w:p>
        </w:tc>
      </w:tr>
      <w:tr w:rsidR="0045334B" w:rsidRPr="008B64BE" w14:paraId="1246694A" w14:textId="77777777" w:rsidTr="00321E35">
        <w:trPr>
          <w:trHeight w:val="525"/>
        </w:trPr>
        <w:tc>
          <w:tcPr>
            <w:tcW w:w="0" w:type="auto"/>
            <w:tcBorders>
              <w:top w:val="nil"/>
              <w:left w:val="nil"/>
              <w:bottom w:val="single" w:sz="8" w:space="0" w:color="B3EFFD"/>
              <w:right w:val="nil"/>
            </w:tcBorders>
            <w:vAlign w:val="center"/>
          </w:tcPr>
          <w:p w14:paraId="75A35985" w14:textId="73784E8A" w:rsidR="00BD5425" w:rsidRPr="00467AEC" w:rsidRDefault="00BD5425" w:rsidP="00BD5425">
            <w:pPr>
              <w:rPr>
                <w:rFonts w:ascii="Arial Narrow" w:hAnsi="Arial Narrow" w:cs="Calibri"/>
                <w:color w:val="000000"/>
                <w:sz w:val="20"/>
                <w:szCs w:val="20"/>
              </w:rPr>
            </w:pPr>
          </w:p>
        </w:tc>
        <w:tc>
          <w:tcPr>
            <w:tcW w:w="0" w:type="auto"/>
            <w:tcBorders>
              <w:top w:val="nil"/>
              <w:left w:val="nil"/>
              <w:bottom w:val="single" w:sz="8" w:space="0" w:color="B3EFFD"/>
              <w:right w:val="nil"/>
            </w:tcBorders>
            <w:shd w:val="clear" w:color="000000" w:fill="FFFFFF"/>
            <w:vAlign w:val="center"/>
            <w:hideMark/>
          </w:tcPr>
          <w:p w14:paraId="16AE3DE7" w14:textId="739A7EB8"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 </w:t>
            </w:r>
          </w:p>
        </w:tc>
        <w:tc>
          <w:tcPr>
            <w:tcW w:w="0" w:type="auto"/>
            <w:tcBorders>
              <w:top w:val="nil"/>
              <w:left w:val="nil"/>
              <w:bottom w:val="single" w:sz="8" w:space="0" w:color="B3EFFD"/>
              <w:right w:val="nil"/>
            </w:tcBorders>
            <w:shd w:val="clear" w:color="000000" w:fill="FFFFFF"/>
            <w:noWrap/>
            <w:vAlign w:val="center"/>
            <w:hideMark/>
          </w:tcPr>
          <w:p w14:paraId="358980B0" w14:textId="1CEF663C" w:rsidR="00BD5425" w:rsidRPr="00467AEC" w:rsidRDefault="00BD5425" w:rsidP="00BD5425">
            <w:pPr>
              <w:rPr>
                <w:rFonts w:ascii="Arial Narrow" w:hAnsi="Arial Narrow" w:cs="Calibri"/>
                <w:color w:val="000000"/>
                <w:sz w:val="20"/>
                <w:szCs w:val="20"/>
              </w:rPr>
            </w:pPr>
            <w:r w:rsidRPr="00467AEC">
              <w:rPr>
                <w:rFonts w:ascii="Arial Narrow" w:hAnsi="Arial Narrow" w:cs="Calibri"/>
                <w:color w:val="000000"/>
                <w:sz w:val="20"/>
                <w:szCs w:val="20"/>
              </w:rPr>
              <w:t>Water Heater</w:t>
            </w:r>
          </w:p>
        </w:tc>
        <w:tc>
          <w:tcPr>
            <w:tcW w:w="0" w:type="auto"/>
            <w:tcBorders>
              <w:top w:val="nil"/>
              <w:left w:val="nil"/>
              <w:bottom w:val="single" w:sz="8" w:space="0" w:color="B3EFFD"/>
              <w:right w:val="nil"/>
            </w:tcBorders>
            <w:shd w:val="clear" w:color="000000" w:fill="FFFFFF"/>
            <w:noWrap/>
            <w:vAlign w:val="center"/>
            <w:hideMark/>
          </w:tcPr>
          <w:p w14:paraId="771ABB7F" w14:textId="3B0DABE5"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20</w:t>
            </w:r>
          </w:p>
        </w:tc>
        <w:tc>
          <w:tcPr>
            <w:tcW w:w="0" w:type="auto"/>
            <w:tcBorders>
              <w:top w:val="nil"/>
              <w:left w:val="nil"/>
              <w:bottom w:val="single" w:sz="8" w:space="0" w:color="B3EFFD"/>
              <w:right w:val="nil"/>
            </w:tcBorders>
            <w:shd w:val="clear" w:color="000000" w:fill="FFFFFF"/>
            <w:noWrap/>
            <w:vAlign w:val="center"/>
            <w:hideMark/>
          </w:tcPr>
          <w:p w14:paraId="5797F5FD" w14:textId="0495B1B4"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noWrap/>
            <w:vAlign w:val="center"/>
            <w:hideMark/>
          </w:tcPr>
          <w:p w14:paraId="7BC4D8AD" w14:textId="09A1FC52"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20</w:t>
            </w:r>
          </w:p>
        </w:tc>
        <w:tc>
          <w:tcPr>
            <w:tcW w:w="0" w:type="auto"/>
            <w:tcBorders>
              <w:top w:val="nil"/>
              <w:left w:val="nil"/>
              <w:bottom w:val="single" w:sz="8" w:space="0" w:color="B3EFFD"/>
              <w:right w:val="nil"/>
            </w:tcBorders>
            <w:shd w:val="clear" w:color="000000" w:fill="FFFFFF"/>
            <w:noWrap/>
            <w:vAlign w:val="center"/>
            <w:hideMark/>
          </w:tcPr>
          <w:p w14:paraId="49B96905" w14:textId="5701A432"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1.00</w:t>
            </w:r>
          </w:p>
        </w:tc>
        <w:tc>
          <w:tcPr>
            <w:tcW w:w="0" w:type="auto"/>
            <w:tcBorders>
              <w:top w:val="nil"/>
              <w:left w:val="nil"/>
              <w:bottom w:val="single" w:sz="8" w:space="0" w:color="B3EFFD"/>
              <w:right w:val="nil"/>
            </w:tcBorders>
            <w:shd w:val="clear" w:color="000000" w:fill="FFFFFF"/>
            <w:vAlign w:val="center"/>
            <w:hideMark/>
          </w:tcPr>
          <w:p w14:paraId="68FECE8A" w14:textId="5D4B4114" w:rsidR="00BD5425" w:rsidRPr="00467AEC" w:rsidRDefault="00BD5425" w:rsidP="00BD5425">
            <w:pPr>
              <w:jc w:val="right"/>
              <w:rPr>
                <w:rFonts w:ascii="Arial Narrow" w:hAnsi="Arial Narrow"/>
                <w:sz w:val="20"/>
                <w:szCs w:val="20"/>
              </w:rPr>
            </w:pPr>
            <w:r w:rsidRPr="00467AEC">
              <w:rPr>
                <w:rFonts w:ascii="Arial Narrow" w:hAnsi="Arial Narrow" w:cs="Calibri"/>
                <w:color w:val="000000"/>
                <w:sz w:val="20"/>
                <w:szCs w:val="20"/>
              </w:rPr>
              <w:t>20</w:t>
            </w:r>
          </w:p>
        </w:tc>
      </w:tr>
      <w:tr w:rsidR="0045334B" w:rsidRPr="008B64BE" w14:paraId="7E618AE9" w14:textId="77777777" w:rsidTr="0045334B">
        <w:trPr>
          <w:trHeight w:val="300"/>
        </w:trPr>
        <w:tc>
          <w:tcPr>
            <w:tcW w:w="0" w:type="auto"/>
            <w:gridSpan w:val="3"/>
            <w:tcBorders>
              <w:top w:val="single" w:sz="8" w:space="0" w:color="B3EFFD"/>
              <w:left w:val="nil"/>
              <w:bottom w:val="single" w:sz="4" w:space="0" w:color="auto"/>
              <w:right w:val="nil"/>
            </w:tcBorders>
            <w:shd w:val="clear" w:color="000000" w:fill="FFFFFF"/>
            <w:vAlign w:val="center"/>
          </w:tcPr>
          <w:p w14:paraId="3D35E815" w14:textId="5F3BAF17" w:rsidR="0045334B" w:rsidRPr="00467AEC" w:rsidRDefault="0045334B" w:rsidP="0045334B">
            <w:pPr>
              <w:rPr>
                <w:rFonts w:ascii="Arial Narrow" w:hAnsi="Arial Narrow" w:cs="Calibri"/>
                <w:b/>
                <w:bCs/>
                <w:color w:val="000000"/>
                <w:sz w:val="20"/>
                <w:szCs w:val="20"/>
              </w:rPr>
            </w:pPr>
            <w:r w:rsidRPr="00467AEC">
              <w:rPr>
                <w:rFonts w:ascii="Arial Narrow" w:hAnsi="Arial Narrow"/>
                <w:b/>
                <w:bCs/>
                <w:sz w:val="20"/>
                <w:szCs w:val="20"/>
              </w:rPr>
              <w:t xml:space="preserve">Total </w:t>
            </w:r>
          </w:p>
        </w:tc>
        <w:tc>
          <w:tcPr>
            <w:tcW w:w="0" w:type="auto"/>
            <w:tcBorders>
              <w:top w:val="single" w:sz="8" w:space="0" w:color="B3EFFD"/>
              <w:left w:val="nil"/>
              <w:bottom w:val="single" w:sz="4" w:space="0" w:color="auto"/>
              <w:right w:val="nil"/>
            </w:tcBorders>
            <w:noWrap/>
            <w:vAlign w:val="center"/>
            <w:hideMark/>
          </w:tcPr>
          <w:p w14:paraId="7A9E25B6" w14:textId="77777777" w:rsidR="0045334B" w:rsidRPr="00467AEC" w:rsidRDefault="0045334B" w:rsidP="0045334B">
            <w:pPr>
              <w:suppressAutoHyphens w:val="0"/>
              <w:autoSpaceDN/>
              <w:spacing w:before="0" w:after="0"/>
              <w:jc w:val="right"/>
              <w:rPr>
                <w:rFonts w:ascii="Arial Narrow" w:hAnsi="Arial Narrow" w:cs="Calibri"/>
                <w:b/>
                <w:bCs/>
                <w:color w:val="000000"/>
                <w:sz w:val="20"/>
                <w:szCs w:val="20"/>
              </w:rPr>
            </w:pPr>
            <w:r w:rsidRPr="00467AEC">
              <w:rPr>
                <w:rFonts w:ascii="Arial Narrow" w:hAnsi="Arial Narrow" w:cs="Calibri"/>
                <w:b/>
                <w:bCs/>
                <w:color w:val="000000"/>
                <w:sz w:val="20"/>
                <w:szCs w:val="20"/>
              </w:rPr>
              <w:t>58,846</w:t>
            </w:r>
          </w:p>
          <w:p w14:paraId="58153EB3" w14:textId="4E4345F9" w:rsidR="0045334B" w:rsidRPr="00467AEC" w:rsidRDefault="0045334B" w:rsidP="0045334B">
            <w:pPr>
              <w:jc w:val="right"/>
              <w:rPr>
                <w:rFonts w:ascii="Arial Narrow" w:hAnsi="Arial Narrow"/>
                <w:b/>
                <w:bCs/>
                <w:sz w:val="20"/>
                <w:szCs w:val="20"/>
              </w:rPr>
            </w:pPr>
          </w:p>
        </w:tc>
        <w:tc>
          <w:tcPr>
            <w:tcW w:w="0" w:type="auto"/>
            <w:tcBorders>
              <w:top w:val="single" w:sz="8" w:space="0" w:color="B3EFFD"/>
              <w:left w:val="nil"/>
              <w:bottom w:val="single" w:sz="4" w:space="0" w:color="auto"/>
              <w:right w:val="nil"/>
            </w:tcBorders>
            <w:noWrap/>
            <w:vAlign w:val="center"/>
            <w:hideMark/>
          </w:tcPr>
          <w:p w14:paraId="42134766" w14:textId="498E1565" w:rsidR="0045334B" w:rsidRPr="00467AEC" w:rsidRDefault="003B052C" w:rsidP="0045334B">
            <w:pPr>
              <w:jc w:val="right"/>
              <w:rPr>
                <w:rFonts w:ascii="Arial Narrow" w:hAnsi="Arial Narrow"/>
                <w:b/>
                <w:bCs/>
                <w:sz w:val="20"/>
                <w:szCs w:val="20"/>
              </w:rPr>
            </w:pPr>
            <w:r w:rsidRPr="00467AEC">
              <w:rPr>
                <w:rFonts w:ascii="Arial Narrow" w:hAnsi="Arial Narrow" w:cs="Calibri"/>
                <w:b/>
                <w:bCs/>
                <w:color w:val="000000"/>
                <w:sz w:val="20"/>
                <w:szCs w:val="20"/>
              </w:rPr>
              <w:t>100%</w:t>
            </w:r>
          </w:p>
        </w:tc>
        <w:tc>
          <w:tcPr>
            <w:tcW w:w="0" w:type="auto"/>
            <w:tcBorders>
              <w:top w:val="single" w:sz="8" w:space="0" w:color="B3EFFD"/>
              <w:left w:val="nil"/>
              <w:bottom w:val="single" w:sz="4" w:space="0" w:color="auto"/>
              <w:right w:val="nil"/>
            </w:tcBorders>
            <w:noWrap/>
            <w:vAlign w:val="center"/>
            <w:hideMark/>
          </w:tcPr>
          <w:p w14:paraId="509CDB52" w14:textId="77777777" w:rsidR="0045334B" w:rsidRPr="00467AEC" w:rsidRDefault="0045334B" w:rsidP="0045334B">
            <w:pPr>
              <w:suppressAutoHyphens w:val="0"/>
              <w:autoSpaceDN/>
              <w:spacing w:before="0" w:after="0"/>
              <w:jc w:val="right"/>
              <w:rPr>
                <w:rFonts w:ascii="Arial Narrow" w:hAnsi="Arial Narrow" w:cs="Calibri"/>
                <w:b/>
                <w:bCs/>
                <w:color w:val="000000"/>
                <w:sz w:val="20"/>
                <w:szCs w:val="20"/>
              </w:rPr>
            </w:pPr>
            <w:r w:rsidRPr="00467AEC">
              <w:rPr>
                <w:rFonts w:ascii="Arial Narrow" w:hAnsi="Arial Narrow" w:cs="Calibri"/>
                <w:b/>
                <w:bCs/>
                <w:color w:val="000000"/>
                <w:sz w:val="20"/>
                <w:szCs w:val="20"/>
              </w:rPr>
              <w:t>58,846</w:t>
            </w:r>
          </w:p>
          <w:p w14:paraId="78A6DCE2" w14:textId="38D0B411" w:rsidR="0045334B" w:rsidRPr="00467AEC" w:rsidRDefault="0045334B" w:rsidP="0045334B">
            <w:pPr>
              <w:jc w:val="right"/>
              <w:rPr>
                <w:rFonts w:ascii="Arial Narrow" w:hAnsi="Arial Narrow"/>
                <w:b/>
                <w:bCs/>
                <w:sz w:val="20"/>
                <w:szCs w:val="20"/>
              </w:rPr>
            </w:pPr>
          </w:p>
        </w:tc>
        <w:tc>
          <w:tcPr>
            <w:tcW w:w="0" w:type="auto"/>
            <w:tcBorders>
              <w:top w:val="single" w:sz="8" w:space="0" w:color="B3EFFD"/>
              <w:left w:val="nil"/>
              <w:bottom w:val="single" w:sz="4" w:space="0" w:color="auto"/>
              <w:right w:val="nil"/>
            </w:tcBorders>
            <w:noWrap/>
            <w:vAlign w:val="center"/>
            <w:hideMark/>
          </w:tcPr>
          <w:p w14:paraId="3474B939" w14:textId="6A4139E7" w:rsidR="0045334B" w:rsidRPr="00467AEC" w:rsidRDefault="0045334B" w:rsidP="0045334B">
            <w:pPr>
              <w:jc w:val="right"/>
              <w:rPr>
                <w:rFonts w:ascii="Arial Narrow" w:hAnsi="Arial Narrow"/>
                <w:b/>
                <w:bCs/>
                <w:sz w:val="20"/>
                <w:szCs w:val="20"/>
              </w:rPr>
            </w:pPr>
            <w:r w:rsidRPr="00467AEC">
              <w:rPr>
                <w:rFonts w:ascii="Arial Narrow" w:hAnsi="Arial Narrow" w:cs="Calibri"/>
                <w:b/>
                <w:bCs/>
                <w:color w:val="000000"/>
                <w:sz w:val="20"/>
                <w:szCs w:val="20"/>
              </w:rPr>
              <w:t>1.00</w:t>
            </w:r>
          </w:p>
        </w:tc>
        <w:tc>
          <w:tcPr>
            <w:tcW w:w="0" w:type="auto"/>
            <w:tcBorders>
              <w:top w:val="single" w:sz="8" w:space="0" w:color="B3EFFD"/>
              <w:left w:val="nil"/>
              <w:bottom w:val="single" w:sz="4" w:space="0" w:color="auto"/>
              <w:right w:val="nil"/>
            </w:tcBorders>
            <w:vAlign w:val="center"/>
            <w:hideMark/>
          </w:tcPr>
          <w:p w14:paraId="0C76707D" w14:textId="77777777" w:rsidR="0045334B" w:rsidRPr="00467AEC" w:rsidRDefault="0045334B" w:rsidP="0045334B">
            <w:pPr>
              <w:suppressAutoHyphens w:val="0"/>
              <w:autoSpaceDN/>
              <w:spacing w:before="0" w:after="0"/>
              <w:jc w:val="right"/>
              <w:rPr>
                <w:rFonts w:ascii="Arial Narrow" w:hAnsi="Arial Narrow" w:cs="Calibri"/>
                <w:b/>
                <w:bCs/>
                <w:color w:val="000000"/>
                <w:sz w:val="20"/>
                <w:szCs w:val="20"/>
              </w:rPr>
            </w:pPr>
            <w:r w:rsidRPr="00467AEC">
              <w:rPr>
                <w:rFonts w:ascii="Arial Narrow" w:hAnsi="Arial Narrow" w:cs="Calibri"/>
                <w:b/>
                <w:bCs/>
                <w:color w:val="000000"/>
                <w:sz w:val="20"/>
                <w:szCs w:val="20"/>
              </w:rPr>
              <w:t>58,846</w:t>
            </w:r>
          </w:p>
          <w:p w14:paraId="7CF28191" w14:textId="0A0C4F14" w:rsidR="0045334B" w:rsidRPr="00467AEC" w:rsidRDefault="0045334B" w:rsidP="0045334B">
            <w:pPr>
              <w:jc w:val="right"/>
              <w:rPr>
                <w:rFonts w:ascii="Arial Narrow" w:hAnsi="Arial Narrow"/>
                <w:b/>
                <w:bCs/>
                <w:sz w:val="20"/>
                <w:szCs w:val="20"/>
              </w:rPr>
            </w:pPr>
          </w:p>
        </w:tc>
      </w:tr>
    </w:tbl>
    <w:p w14:paraId="32B1F872" w14:textId="0AEFDC9E" w:rsidR="001722DE" w:rsidRDefault="001722DE" w:rsidP="00001F32">
      <w:pPr>
        <w:pStyle w:val="GraphFootnote"/>
        <w:keepLines/>
        <w:rPr>
          <w:szCs w:val="18"/>
        </w:rPr>
      </w:pPr>
      <w:r>
        <w:t>* Realization Rate (RR) is the ratio of verified gross savings to ex ante gross savings, based on evaluation research findings.</w:t>
      </w:r>
      <w:r w:rsidR="00A9737A">
        <w:br/>
      </w:r>
      <w:r w:rsidRPr="1B6EEEC9">
        <w:rPr>
          <w:szCs w:val="18"/>
        </w:rPr>
        <w:t xml:space="preserve">† NTG, Net to Gross is the deemed value available on the SAG website: </w:t>
      </w:r>
      <w:hyperlink r:id="rId28">
        <w:r w:rsidRPr="1B6EEEC9">
          <w:rPr>
            <w:szCs w:val="18"/>
          </w:rPr>
          <w:t>https://www.ilsag.info/evaluator-ntg-recommendations-for-2024/</w:t>
        </w:r>
      </w:hyperlink>
      <w:r w:rsidRPr="1B6EEEC9">
        <w:rPr>
          <w:szCs w:val="18"/>
        </w:rPr>
        <w:t xml:space="preserve">. </w:t>
      </w:r>
    </w:p>
    <w:p w14:paraId="2B528FCD" w14:textId="77777777" w:rsidR="007A064E" w:rsidRPr="007A064E" w:rsidRDefault="007A064E" w:rsidP="007A064E"/>
    <w:p w14:paraId="7095047A" w14:textId="02AE8E1A" w:rsidR="001722DE" w:rsidRDefault="001722DE" w:rsidP="001722DE">
      <w:r>
        <w:t xml:space="preserve">The NSG </w:t>
      </w:r>
      <w:r w:rsidR="005836AE">
        <w:t xml:space="preserve">PHES </w:t>
      </w:r>
      <w:r>
        <w:t xml:space="preserve">program </w:t>
      </w:r>
      <w:r w:rsidR="0048176F">
        <w:t>provided two types of</w:t>
      </w:r>
      <w:r w:rsidRPr="00EE2E1F">
        <w:t xml:space="preserve"> measures</w:t>
      </w:r>
      <w:r w:rsidR="0048176F">
        <w:t xml:space="preserve"> in 2024</w:t>
      </w:r>
      <w:r w:rsidR="00F9198E">
        <w:t>,</w:t>
      </w:r>
      <w:r w:rsidRPr="00EE2E1F">
        <w:t xml:space="preserve"> as shown in</w:t>
      </w:r>
      <w:r w:rsidR="00480F8F" w:rsidRPr="00EE2E1F">
        <w:t xml:space="preserve"> </w:t>
      </w:r>
      <w:r w:rsidR="00480F8F" w:rsidRPr="00EE2E1F">
        <w:fldChar w:fldCharType="begin"/>
      </w:r>
      <w:r w:rsidR="00480F8F" w:rsidRPr="00EE2E1F">
        <w:instrText xml:space="preserve"> REF _Ref192763070 \h </w:instrText>
      </w:r>
      <w:r w:rsidR="00480F8F" w:rsidRPr="00EE2E1F">
        <w:fldChar w:fldCharType="separate"/>
      </w:r>
      <w:r w:rsidR="00434B54">
        <w:t xml:space="preserve">Table </w:t>
      </w:r>
      <w:r w:rsidR="00434B54">
        <w:rPr>
          <w:noProof/>
        </w:rPr>
        <w:t>17</w:t>
      </w:r>
      <w:r w:rsidR="00480F8F" w:rsidRPr="00EE2E1F">
        <w:fldChar w:fldCharType="end"/>
      </w:r>
      <w:r w:rsidRPr="00EE2E1F">
        <w:t>.</w:t>
      </w:r>
    </w:p>
    <w:p w14:paraId="1FD9BF13" w14:textId="77777777" w:rsidR="001722DE" w:rsidRDefault="001722DE" w:rsidP="001722DE"/>
    <w:p w14:paraId="7F83EE07" w14:textId="5F8593BE" w:rsidR="001722DE" w:rsidRPr="00A90B62" w:rsidRDefault="001722DE" w:rsidP="004B73FE">
      <w:pPr>
        <w:pStyle w:val="Caption"/>
      </w:pPr>
      <w:bookmarkStart w:id="116" w:name="_Ref192763070"/>
      <w:bookmarkStart w:id="117" w:name="_Toc193349192"/>
      <w:bookmarkStart w:id="118" w:name="_Toc193349226"/>
      <w:bookmarkStart w:id="119" w:name="_Toc193349941"/>
      <w:r>
        <w:t xml:space="preserve">Table </w:t>
      </w:r>
      <w:r w:rsidR="0034721B">
        <w:fldChar w:fldCharType="begin"/>
      </w:r>
      <w:r w:rsidR="0034721B">
        <w:instrText xml:space="preserve"> SEQ Table \* ARABIC </w:instrText>
      </w:r>
      <w:r w:rsidR="0034721B">
        <w:fldChar w:fldCharType="separate"/>
      </w:r>
      <w:r w:rsidR="0034721B">
        <w:rPr>
          <w:noProof/>
        </w:rPr>
        <w:t>17</w:t>
      </w:r>
      <w:r w:rsidR="0034721B">
        <w:rPr>
          <w:noProof/>
        </w:rPr>
        <w:fldChar w:fldCharType="end"/>
      </w:r>
      <w:bookmarkEnd w:id="116"/>
      <w:r>
        <w:t xml:space="preserve">. </w:t>
      </w:r>
      <w:r w:rsidR="00273785">
        <w:t>2024 PHES Program</w:t>
      </w:r>
      <w:r w:rsidRPr="00A90B62">
        <w:t xml:space="preserve"> </w:t>
      </w:r>
      <w:r>
        <w:t>Annual Energy Savings by Measure for NSG</w:t>
      </w:r>
      <w:bookmarkEnd w:id="117"/>
      <w:bookmarkEnd w:id="118"/>
      <w:bookmarkEnd w:id="119"/>
    </w:p>
    <w:tbl>
      <w:tblPr>
        <w:tblStyle w:val="EnergyTable"/>
        <w:tblW w:w="0" w:type="auto"/>
        <w:tblLook w:val="04A0" w:firstRow="1" w:lastRow="0" w:firstColumn="1" w:lastColumn="0" w:noHBand="0" w:noVBand="1"/>
      </w:tblPr>
      <w:tblGrid>
        <w:gridCol w:w="936"/>
        <w:gridCol w:w="882"/>
        <w:gridCol w:w="3006"/>
        <w:gridCol w:w="1020"/>
        <w:gridCol w:w="839"/>
        <w:gridCol w:w="1019"/>
        <w:gridCol w:w="654"/>
        <w:gridCol w:w="1004"/>
      </w:tblGrid>
      <w:tr w:rsidR="00595091" w:rsidRPr="002F4642" w14:paraId="7FC4AAC1" w14:textId="77777777" w:rsidTr="00434B54">
        <w:trPr>
          <w:cnfStyle w:val="100000000000" w:firstRow="1" w:lastRow="0" w:firstColumn="0" w:lastColumn="0" w:oddVBand="0" w:evenVBand="0" w:oddHBand="0"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0" w:type="auto"/>
          </w:tcPr>
          <w:p w14:paraId="034F703E" w14:textId="26CF1740" w:rsidR="00AA293F" w:rsidRPr="002F4642" w:rsidRDefault="00AA293F" w:rsidP="00AA293F">
            <w:pPr>
              <w:keepNext/>
              <w:keepLines/>
              <w:jc w:val="left"/>
              <w:rPr>
                <w:rFonts w:ascii="Arial Narrow" w:hAnsi="Arial Narrow"/>
                <w:b w:val="0"/>
                <w:bCs/>
                <w:sz w:val="20"/>
                <w:szCs w:val="20"/>
              </w:rPr>
            </w:pPr>
            <w:r w:rsidRPr="002F4642">
              <w:rPr>
                <w:rFonts w:ascii="Arial Narrow" w:hAnsi="Arial Narrow" w:cs="Calibri"/>
                <w:b w:val="0"/>
                <w:bCs/>
                <w:color w:val="FFFFFF"/>
                <w:sz w:val="20"/>
                <w:szCs w:val="20"/>
              </w:rPr>
              <w:t>Program Category</w:t>
            </w:r>
          </w:p>
        </w:tc>
        <w:tc>
          <w:tcPr>
            <w:tcW w:w="0" w:type="auto"/>
          </w:tcPr>
          <w:p w14:paraId="1991AB01" w14:textId="47EB5591" w:rsidR="00AA293F" w:rsidRPr="002F4642" w:rsidRDefault="00AA293F" w:rsidP="00AA293F">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2F4642">
              <w:rPr>
                <w:rFonts w:ascii="Arial Narrow" w:hAnsi="Arial Narrow" w:cs="Calibri"/>
                <w:b w:val="0"/>
                <w:bCs/>
                <w:color w:val="FFFFFF"/>
                <w:sz w:val="20"/>
                <w:szCs w:val="20"/>
              </w:rPr>
              <w:t>Program Path</w:t>
            </w:r>
          </w:p>
        </w:tc>
        <w:tc>
          <w:tcPr>
            <w:tcW w:w="0" w:type="auto"/>
            <w:hideMark/>
          </w:tcPr>
          <w:p w14:paraId="045A0CDA" w14:textId="3BD57C1B" w:rsidR="00AA293F" w:rsidRPr="002F4642" w:rsidRDefault="00AA293F" w:rsidP="00AA293F">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2F4642">
              <w:rPr>
                <w:rFonts w:ascii="Arial Narrow" w:hAnsi="Arial Narrow" w:cs="Calibri"/>
                <w:b w:val="0"/>
                <w:bCs/>
                <w:color w:val="FFFFFF"/>
                <w:sz w:val="20"/>
                <w:szCs w:val="20"/>
              </w:rPr>
              <w:t>Savings Category</w:t>
            </w:r>
          </w:p>
        </w:tc>
        <w:tc>
          <w:tcPr>
            <w:tcW w:w="0" w:type="auto"/>
            <w:hideMark/>
          </w:tcPr>
          <w:p w14:paraId="0DABB641" w14:textId="0B5A9709" w:rsidR="00AA293F" w:rsidRPr="002F4642" w:rsidRDefault="00AA293F" w:rsidP="00AA293F">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2F4642">
              <w:rPr>
                <w:rFonts w:ascii="Arial Narrow" w:hAnsi="Arial Narrow" w:cs="Calibri"/>
                <w:b w:val="0"/>
                <w:bCs/>
                <w:color w:val="FFFFFF"/>
                <w:sz w:val="20"/>
                <w:szCs w:val="20"/>
              </w:rPr>
              <w:t>Ex Ante Gross Savings (Therms)</w:t>
            </w:r>
          </w:p>
        </w:tc>
        <w:tc>
          <w:tcPr>
            <w:tcW w:w="0" w:type="auto"/>
          </w:tcPr>
          <w:p w14:paraId="0F7B91CA" w14:textId="79795E20" w:rsidR="00AA293F" w:rsidRPr="002F4642" w:rsidRDefault="00AA293F" w:rsidP="00AA293F">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2F4642">
              <w:rPr>
                <w:rFonts w:ascii="Arial Narrow" w:hAnsi="Arial Narrow" w:cs="Calibri"/>
                <w:b w:val="0"/>
                <w:bCs/>
                <w:color w:val="FFFFFF"/>
                <w:sz w:val="20"/>
                <w:szCs w:val="20"/>
              </w:rPr>
              <w:t>Verified Gross RR*</w:t>
            </w:r>
          </w:p>
        </w:tc>
        <w:tc>
          <w:tcPr>
            <w:tcW w:w="0" w:type="auto"/>
          </w:tcPr>
          <w:p w14:paraId="1294B260" w14:textId="2FC6F72A" w:rsidR="00AA293F" w:rsidRPr="002F4642" w:rsidRDefault="00AA293F" w:rsidP="00AA293F">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2F4642">
              <w:rPr>
                <w:rFonts w:ascii="Arial Narrow" w:hAnsi="Arial Narrow" w:cs="Calibri"/>
                <w:b w:val="0"/>
                <w:bCs/>
                <w:color w:val="FFFFFF"/>
                <w:sz w:val="20"/>
                <w:szCs w:val="20"/>
              </w:rPr>
              <w:t>Verified Gross Savings (Therms)</w:t>
            </w:r>
          </w:p>
        </w:tc>
        <w:tc>
          <w:tcPr>
            <w:tcW w:w="0" w:type="auto"/>
          </w:tcPr>
          <w:p w14:paraId="6D8BC4FE" w14:textId="74F70037" w:rsidR="00AA293F" w:rsidRPr="002F4642" w:rsidRDefault="00AA293F" w:rsidP="00AA293F">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2F4642">
              <w:rPr>
                <w:rFonts w:ascii="Arial Narrow" w:hAnsi="Arial Narrow" w:cs="Calibri"/>
                <w:b w:val="0"/>
                <w:bCs/>
                <w:color w:val="FFFFFF"/>
                <w:sz w:val="20"/>
                <w:szCs w:val="20"/>
              </w:rPr>
              <w:t>NTG†</w:t>
            </w:r>
          </w:p>
        </w:tc>
        <w:tc>
          <w:tcPr>
            <w:tcW w:w="0" w:type="auto"/>
          </w:tcPr>
          <w:p w14:paraId="2611465A" w14:textId="4690099E" w:rsidR="00AA293F" w:rsidRPr="002F4642" w:rsidRDefault="00AA293F" w:rsidP="00AA293F">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2F4642">
              <w:rPr>
                <w:rFonts w:ascii="Arial Narrow" w:hAnsi="Arial Narrow" w:cs="Calibri"/>
                <w:b w:val="0"/>
                <w:bCs/>
                <w:color w:val="FFFFFF"/>
                <w:sz w:val="20"/>
                <w:szCs w:val="20"/>
              </w:rPr>
              <w:t>Verified Net Savings (Therms)</w:t>
            </w:r>
          </w:p>
        </w:tc>
      </w:tr>
      <w:tr w:rsidR="00434B54" w:rsidRPr="002F4642" w14:paraId="2650F9B2" w14:textId="77777777" w:rsidTr="0043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D7B9EE" w14:textId="38481EFA" w:rsidR="00E473DF" w:rsidRPr="002F4642" w:rsidRDefault="0000544B" w:rsidP="00E473DF">
            <w:pPr>
              <w:keepNext/>
              <w:keepLines/>
              <w:jc w:val="left"/>
              <w:rPr>
                <w:rFonts w:ascii="Arial Narrow" w:hAnsi="Arial Narrow"/>
                <w:b/>
                <w:bCs/>
                <w:sz w:val="20"/>
                <w:szCs w:val="20"/>
              </w:rPr>
            </w:pPr>
            <w:r w:rsidRPr="002F4642">
              <w:rPr>
                <w:rFonts w:ascii="Arial Narrow" w:hAnsi="Arial Narrow" w:cs="Calibri"/>
                <w:b/>
                <w:bCs/>
                <w:color w:val="000000"/>
                <w:sz w:val="20"/>
                <w:szCs w:val="20"/>
              </w:rPr>
              <w:t>PHES</w:t>
            </w:r>
          </w:p>
        </w:tc>
        <w:tc>
          <w:tcPr>
            <w:tcW w:w="0" w:type="auto"/>
          </w:tcPr>
          <w:p w14:paraId="0D04B735" w14:textId="6DAC3F83" w:rsidR="00E473DF" w:rsidRPr="002F4642" w:rsidRDefault="00E473DF" w:rsidP="00E473DF">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Public Housing</w:t>
            </w:r>
          </w:p>
        </w:tc>
        <w:tc>
          <w:tcPr>
            <w:tcW w:w="0" w:type="auto"/>
            <w:noWrap/>
            <w:hideMark/>
          </w:tcPr>
          <w:p w14:paraId="08F51445" w14:textId="75B03D53" w:rsidR="00E473DF" w:rsidRPr="002F4642" w:rsidRDefault="00E473DF" w:rsidP="00E473D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Furnace Tune Up</w:t>
            </w:r>
          </w:p>
        </w:tc>
        <w:tc>
          <w:tcPr>
            <w:tcW w:w="0" w:type="auto"/>
            <w:noWrap/>
          </w:tcPr>
          <w:p w14:paraId="3D174E65" w14:textId="3F9ADE3D" w:rsidR="00E473DF" w:rsidRPr="002F4642" w:rsidRDefault="00E473DF" w:rsidP="00E473D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1,028</w:t>
            </w:r>
          </w:p>
        </w:tc>
        <w:tc>
          <w:tcPr>
            <w:tcW w:w="0" w:type="auto"/>
          </w:tcPr>
          <w:p w14:paraId="42273C6D" w14:textId="1F0E3C3C" w:rsidR="00E473DF" w:rsidRPr="002F4642" w:rsidRDefault="00E473DF" w:rsidP="00E473D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100%</w:t>
            </w:r>
          </w:p>
        </w:tc>
        <w:tc>
          <w:tcPr>
            <w:tcW w:w="0" w:type="auto"/>
          </w:tcPr>
          <w:p w14:paraId="7646033A" w14:textId="538F4E67" w:rsidR="00E473DF" w:rsidRPr="002F4642" w:rsidRDefault="00E473DF" w:rsidP="00E473D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1,028</w:t>
            </w:r>
          </w:p>
        </w:tc>
        <w:tc>
          <w:tcPr>
            <w:tcW w:w="0" w:type="auto"/>
          </w:tcPr>
          <w:p w14:paraId="76F6BBE8" w14:textId="40E8EB90" w:rsidR="00E473DF" w:rsidRPr="002F4642" w:rsidRDefault="00E473DF" w:rsidP="00E473D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1.00</w:t>
            </w:r>
          </w:p>
        </w:tc>
        <w:tc>
          <w:tcPr>
            <w:tcW w:w="0" w:type="auto"/>
          </w:tcPr>
          <w:p w14:paraId="7293AC96" w14:textId="521D5BCD" w:rsidR="00E473DF" w:rsidRPr="002F4642" w:rsidRDefault="00E473DF" w:rsidP="00E473D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1,028</w:t>
            </w:r>
          </w:p>
        </w:tc>
      </w:tr>
      <w:tr w:rsidR="00E473DF" w:rsidRPr="002F4642" w14:paraId="3ABBA8DE" w14:textId="77777777" w:rsidTr="00434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87D73E" w14:textId="71A49F58" w:rsidR="00E473DF" w:rsidRPr="002F4642" w:rsidRDefault="00E473DF" w:rsidP="00E473DF">
            <w:pPr>
              <w:keepNext/>
              <w:keepLines/>
              <w:jc w:val="left"/>
              <w:rPr>
                <w:rFonts w:ascii="Arial Narrow" w:hAnsi="Arial Narrow"/>
                <w:sz w:val="20"/>
                <w:szCs w:val="20"/>
              </w:rPr>
            </w:pPr>
          </w:p>
        </w:tc>
        <w:tc>
          <w:tcPr>
            <w:tcW w:w="0" w:type="auto"/>
          </w:tcPr>
          <w:p w14:paraId="75591420" w14:textId="762FB131" w:rsidR="00E473DF" w:rsidRPr="002F4642" w:rsidRDefault="00E473DF" w:rsidP="00E473DF">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 </w:t>
            </w:r>
          </w:p>
        </w:tc>
        <w:tc>
          <w:tcPr>
            <w:tcW w:w="0" w:type="auto"/>
            <w:noWrap/>
            <w:hideMark/>
          </w:tcPr>
          <w:p w14:paraId="75660F13" w14:textId="7A393E3A" w:rsidR="00E473DF" w:rsidRPr="002F4642" w:rsidRDefault="00E473DF" w:rsidP="00E473D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 xml:space="preserve">Covers and Gap Sealers for Room AC </w:t>
            </w:r>
          </w:p>
        </w:tc>
        <w:tc>
          <w:tcPr>
            <w:tcW w:w="0" w:type="auto"/>
            <w:noWrap/>
          </w:tcPr>
          <w:p w14:paraId="675D4B0E" w14:textId="22391552" w:rsidR="00E473DF" w:rsidRPr="002F4642" w:rsidRDefault="00E473DF" w:rsidP="00E473D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521</w:t>
            </w:r>
          </w:p>
        </w:tc>
        <w:tc>
          <w:tcPr>
            <w:tcW w:w="0" w:type="auto"/>
          </w:tcPr>
          <w:p w14:paraId="01153B5F" w14:textId="57C08BBA" w:rsidR="00E473DF" w:rsidRPr="002F4642" w:rsidRDefault="00E473DF" w:rsidP="00E473D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100%</w:t>
            </w:r>
          </w:p>
        </w:tc>
        <w:tc>
          <w:tcPr>
            <w:tcW w:w="0" w:type="auto"/>
          </w:tcPr>
          <w:p w14:paraId="2693527A" w14:textId="49A0C4E2" w:rsidR="00E473DF" w:rsidRPr="002F4642" w:rsidRDefault="00E473DF" w:rsidP="00E473D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521</w:t>
            </w:r>
          </w:p>
        </w:tc>
        <w:tc>
          <w:tcPr>
            <w:tcW w:w="0" w:type="auto"/>
          </w:tcPr>
          <w:p w14:paraId="7CCFD72D" w14:textId="2940CBB2" w:rsidR="00E473DF" w:rsidRPr="002F4642" w:rsidRDefault="00E473DF" w:rsidP="00E473D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1.00</w:t>
            </w:r>
          </w:p>
        </w:tc>
        <w:tc>
          <w:tcPr>
            <w:tcW w:w="0" w:type="auto"/>
          </w:tcPr>
          <w:p w14:paraId="4C7EE247" w14:textId="0121C573" w:rsidR="00E473DF" w:rsidRPr="002F4642" w:rsidRDefault="00E473DF" w:rsidP="00E473D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F4642">
              <w:rPr>
                <w:rFonts w:ascii="Arial Narrow" w:hAnsi="Arial Narrow" w:cs="Calibri"/>
                <w:color w:val="000000"/>
                <w:sz w:val="20"/>
                <w:szCs w:val="20"/>
              </w:rPr>
              <w:t>521</w:t>
            </w:r>
          </w:p>
        </w:tc>
      </w:tr>
      <w:tr w:rsidR="008B4828" w:rsidRPr="002F4642" w14:paraId="25717581" w14:textId="77777777" w:rsidTr="00AF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296DE197" w14:textId="2EEF4B4D" w:rsidR="008B4828" w:rsidRPr="002F4642" w:rsidRDefault="008B4828" w:rsidP="008B4828">
            <w:pPr>
              <w:keepNext/>
              <w:keepLines/>
              <w:spacing w:before="0" w:after="0"/>
              <w:jc w:val="left"/>
              <w:rPr>
                <w:rFonts w:ascii="Arial Narrow" w:hAnsi="Arial Narrow" w:cs="Calibri"/>
                <w:color w:val="000000"/>
                <w:sz w:val="20"/>
                <w:szCs w:val="20"/>
              </w:rPr>
            </w:pPr>
            <w:r w:rsidRPr="0045334B">
              <w:rPr>
                <w:rFonts w:ascii="Arial Narrow" w:hAnsi="Arial Narrow"/>
                <w:b/>
                <w:bCs/>
                <w:szCs w:val="22"/>
              </w:rPr>
              <w:t xml:space="preserve">Total </w:t>
            </w:r>
          </w:p>
        </w:tc>
        <w:tc>
          <w:tcPr>
            <w:tcW w:w="0" w:type="auto"/>
            <w:noWrap/>
          </w:tcPr>
          <w:p w14:paraId="77741A9F" w14:textId="09D12028" w:rsidR="008B4828" w:rsidRPr="003463A5" w:rsidRDefault="003463A5" w:rsidP="008B482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3463A5">
              <w:rPr>
                <w:rFonts w:ascii="Arial Narrow" w:hAnsi="Arial Narrow" w:cs="Calibri"/>
                <w:b/>
                <w:bCs/>
                <w:color w:val="000000"/>
                <w:sz w:val="20"/>
                <w:szCs w:val="20"/>
              </w:rPr>
              <w:t>1,549</w:t>
            </w:r>
          </w:p>
        </w:tc>
        <w:tc>
          <w:tcPr>
            <w:tcW w:w="0" w:type="auto"/>
          </w:tcPr>
          <w:p w14:paraId="3C2E2B84" w14:textId="35A2CACD" w:rsidR="008B4828" w:rsidRPr="003463A5" w:rsidRDefault="003463A5" w:rsidP="008B482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3463A5">
              <w:rPr>
                <w:rFonts w:ascii="Arial Narrow" w:hAnsi="Arial Narrow" w:cs="Calibri"/>
                <w:b/>
                <w:bCs/>
                <w:color w:val="000000"/>
                <w:sz w:val="20"/>
                <w:szCs w:val="20"/>
              </w:rPr>
              <w:t>100%</w:t>
            </w:r>
          </w:p>
        </w:tc>
        <w:tc>
          <w:tcPr>
            <w:tcW w:w="0" w:type="auto"/>
          </w:tcPr>
          <w:p w14:paraId="52483434" w14:textId="2DF48557" w:rsidR="008B4828" w:rsidRPr="003463A5" w:rsidRDefault="003463A5" w:rsidP="008B4828">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3463A5">
              <w:rPr>
                <w:rFonts w:ascii="Arial Narrow" w:hAnsi="Arial Narrow" w:cs="Calibri"/>
                <w:b/>
                <w:bCs/>
                <w:color w:val="000000"/>
                <w:sz w:val="20"/>
                <w:szCs w:val="20"/>
              </w:rPr>
              <w:t>1,549</w:t>
            </w:r>
          </w:p>
        </w:tc>
        <w:tc>
          <w:tcPr>
            <w:tcW w:w="0" w:type="auto"/>
          </w:tcPr>
          <w:p w14:paraId="37079325" w14:textId="5AF2BE98" w:rsidR="008B4828" w:rsidRPr="003463A5" w:rsidRDefault="003463A5" w:rsidP="008B482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3463A5">
              <w:rPr>
                <w:rFonts w:ascii="Arial Narrow" w:hAnsi="Arial Narrow" w:cs="Calibri"/>
                <w:b/>
                <w:bCs/>
                <w:color w:val="000000"/>
                <w:sz w:val="20"/>
                <w:szCs w:val="20"/>
              </w:rPr>
              <w:t>1.00</w:t>
            </w:r>
          </w:p>
        </w:tc>
        <w:tc>
          <w:tcPr>
            <w:tcW w:w="0" w:type="auto"/>
          </w:tcPr>
          <w:p w14:paraId="38A4CDA1" w14:textId="0B3180B5" w:rsidR="008B4828" w:rsidRPr="003463A5" w:rsidRDefault="003463A5" w:rsidP="008B482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3463A5">
              <w:rPr>
                <w:rFonts w:ascii="Arial Narrow" w:hAnsi="Arial Narrow" w:cs="Calibri"/>
                <w:b/>
                <w:bCs/>
                <w:color w:val="000000"/>
                <w:sz w:val="20"/>
                <w:szCs w:val="20"/>
              </w:rPr>
              <w:t>1,549</w:t>
            </w:r>
          </w:p>
        </w:tc>
      </w:tr>
    </w:tbl>
    <w:p w14:paraId="10682E0A" w14:textId="522C27B1" w:rsidR="001722DE" w:rsidRDefault="00DA058A" w:rsidP="00791CB8">
      <w:pPr>
        <w:pStyle w:val="Source"/>
      </w:pPr>
      <w:r w:rsidRPr="00DA058A">
        <w:rPr>
          <w:rFonts w:ascii="Arial Narrow" w:hAnsi="Arial Narrow"/>
          <w:i w:val="0"/>
          <w:iCs/>
          <w:sz w:val="18"/>
          <w:szCs w:val="18"/>
        </w:rPr>
        <w:t>* Realization Rate (RR) is the ratio of verified gross savings to ex ante gross savings, based on evaluation research findings.</w:t>
      </w:r>
      <w:r w:rsidRPr="00DA058A">
        <w:rPr>
          <w:rFonts w:ascii="Arial Narrow" w:hAnsi="Arial Narrow"/>
          <w:i w:val="0"/>
          <w:iCs/>
          <w:sz w:val="18"/>
          <w:szCs w:val="18"/>
        </w:rPr>
        <w:br/>
        <w:t xml:space="preserve">† NTG, Net to Gross is the deemed value available on the SAG website: </w:t>
      </w:r>
      <w:hyperlink r:id="rId29">
        <w:r w:rsidRPr="00DA058A">
          <w:rPr>
            <w:rFonts w:ascii="Arial Narrow" w:hAnsi="Arial Narrow"/>
            <w:i w:val="0"/>
            <w:iCs/>
            <w:sz w:val="18"/>
            <w:szCs w:val="18"/>
          </w:rPr>
          <w:t>https://www.ilsag.info/evaluator-ntg-recommendations-for-2024/</w:t>
        </w:r>
      </w:hyperlink>
      <w:r w:rsidRPr="00DA058A">
        <w:rPr>
          <w:rFonts w:ascii="Arial Narrow" w:hAnsi="Arial Narrow"/>
          <w:i w:val="0"/>
          <w:iCs/>
          <w:sz w:val="18"/>
          <w:szCs w:val="18"/>
        </w:rPr>
        <w:t>.</w:t>
      </w:r>
      <w:r>
        <w:rPr>
          <w:szCs w:val="18"/>
        </w:rPr>
        <w:br/>
      </w:r>
      <w:r w:rsidR="001722DE" w:rsidRPr="00F65903">
        <w:t xml:space="preserve">Source: </w:t>
      </w:r>
      <w:r w:rsidR="001722DE">
        <w:t xml:space="preserve">Evaluation </w:t>
      </w:r>
      <w:r w:rsidR="001722DE" w:rsidRPr="00F65903">
        <w:t>team analysis.</w:t>
      </w:r>
    </w:p>
    <w:p w14:paraId="79045FA8" w14:textId="77777777" w:rsidR="00791CB8" w:rsidRPr="00F65903" w:rsidRDefault="00791CB8" w:rsidP="00791CB8"/>
    <w:p w14:paraId="07BAEA9C" w14:textId="77777777" w:rsidR="001722DE" w:rsidRPr="009D4752" w:rsidRDefault="001722DE" w:rsidP="001722DE">
      <w:pPr>
        <w:pStyle w:val="Heading2"/>
      </w:pPr>
      <w:bookmarkStart w:id="120" w:name="_Toc193349174"/>
      <w:bookmarkStart w:id="121" w:name="_Toc193349922"/>
      <w:r w:rsidRPr="009D4752">
        <w:lastRenderedPageBreak/>
        <w:t>Impact Analysis Findings and Recommendations</w:t>
      </w:r>
      <w:bookmarkEnd w:id="120"/>
      <w:bookmarkEnd w:id="121"/>
    </w:p>
    <w:p w14:paraId="36FBED34" w14:textId="77777777" w:rsidR="001722DE" w:rsidRPr="003A4562" w:rsidRDefault="001722DE" w:rsidP="001722DE">
      <w:pPr>
        <w:pStyle w:val="Heading3"/>
        <w:rPr>
          <w:sz w:val="28"/>
          <w:szCs w:val="28"/>
        </w:rPr>
      </w:pPr>
      <w:r w:rsidRPr="003A4562">
        <w:rPr>
          <w:sz w:val="28"/>
          <w:szCs w:val="28"/>
        </w:rPr>
        <w:t>Impact Parameter Estimates</w:t>
      </w:r>
    </w:p>
    <w:p w14:paraId="117432FC" w14:textId="137B68E9" w:rsidR="001722DE" w:rsidRDefault="00480F8F" w:rsidP="00480F8F">
      <w:pPr>
        <w:keepNext/>
        <w:keepLines/>
      </w:pPr>
      <w:r>
        <w:fldChar w:fldCharType="begin"/>
      </w:r>
      <w:r>
        <w:instrText xml:space="preserve"> REF _Ref192763099 \h </w:instrText>
      </w:r>
      <w:r>
        <w:fldChar w:fldCharType="separate"/>
      </w:r>
      <w:r w:rsidR="00434B54">
        <w:t xml:space="preserve">Table </w:t>
      </w:r>
      <w:r w:rsidR="00434B54">
        <w:rPr>
          <w:noProof/>
        </w:rPr>
        <w:t>18</w:t>
      </w:r>
      <w:r>
        <w:fldChar w:fldCharType="end"/>
      </w:r>
      <w:r>
        <w:t xml:space="preserve"> </w:t>
      </w:r>
      <w:r w:rsidR="001722DE" w:rsidRPr="007367D2">
        <w:t xml:space="preserve">shows the unit </w:t>
      </w:r>
      <w:r w:rsidR="001722DE">
        <w:t xml:space="preserve">therm </w:t>
      </w:r>
      <w:r w:rsidR="001722DE" w:rsidRPr="007367D2">
        <w:t xml:space="preserve">savings and realization rate </w:t>
      </w:r>
      <w:r w:rsidR="001722DE">
        <w:t xml:space="preserve">findings </w:t>
      </w:r>
      <w:r w:rsidR="001722DE" w:rsidRPr="007367D2">
        <w:t xml:space="preserve">by measure from our review. </w:t>
      </w:r>
      <w:r w:rsidR="001722DE">
        <w:t>The realization rate is the ratio of the verified savings to the ex ante savings. Appendix 1 provides a description of the i</w:t>
      </w:r>
      <w:r w:rsidR="001722DE" w:rsidRPr="000475D3">
        <w:t xml:space="preserve">mpact </w:t>
      </w:r>
      <w:r w:rsidR="001722DE">
        <w:t>a</w:t>
      </w:r>
      <w:r w:rsidR="001722DE" w:rsidRPr="000475D3">
        <w:t xml:space="preserve">nalysis </w:t>
      </w:r>
      <w:r w:rsidR="001722DE">
        <w:t>m</w:t>
      </w:r>
      <w:r w:rsidR="001722DE" w:rsidRPr="000475D3">
        <w:t>ethodology</w:t>
      </w:r>
      <w:r w:rsidR="001722DE">
        <w:t>.</w:t>
      </w:r>
      <w:r w:rsidR="003576C4">
        <w:br/>
      </w:r>
    </w:p>
    <w:p w14:paraId="00C36E64" w14:textId="4E5FC1D0" w:rsidR="001722DE" w:rsidRPr="00E8651B" w:rsidRDefault="001722DE" w:rsidP="004B73FE">
      <w:pPr>
        <w:pStyle w:val="Caption"/>
      </w:pPr>
      <w:bookmarkStart w:id="122" w:name="_Ref192763099"/>
      <w:bookmarkStart w:id="123" w:name="_Toc193349193"/>
      <w:bookmarkStart w:id="124" w:name="_Toc193349227"/>
      <w:bookmarkStart w:id="125" w:name="_Toc193349942"/>
      <w:r>
        <w:t xml:space="preserve">Table </w:t>
      </w:r>
      <w:r w:rsidR="0034721B">
        <w:fldChar w:fldCharType="begin"/>
      </w:r>
      <w:r w:rsidR="0034721B">
        <w:instrText xml:space="preserve"> SEQ Table \* ARABIC </w:instrText>
      </w:r>
      <w:r w:rsidR="0034721B">
        <w:fldChar w:fldCharType="separate"/>
      </w:r>
      <w:r w:rsidR="0034721B">
        <w:rPr>
          <w:noProof/>
        </w:rPr>
        <w:t>18</w:t>
      </w:r>
      <w:r w:rsidR="0034721B">
        <w:rPr>
          <w:noProof/>
        </w:rPr>
        <w:fldChar w:fldCharType="end"/>
      </w:r>
      <w:bookmarkEnd w:id="122"/>
      <w:r>
        <w:t>.</w:t>
      </w:r>
      <w:r w:rsidR="00273785">
        <w:t xml:space="preserve"> 2024 PHES Program</w:t>
      </w:r>
      <w:r>
        <w:t xml:space="preserve"> </w:t>
      </w:r>
      <w:r w:rsidRPr="00E8651B">
        <w:t>Verified Gross Savings Parameters</w:t>
      </w:r>
      <w:r w:rsidR="00273785">
        <w:t xml:space="preserve"> for PGL</w:t>
      </w:r>
      <w:r w:rsidR="00770126">
        <w:t xml:space="preserve"> and NSG</w:t>
      </w:r>
      <w:bookmarkEnd w:id="123"/>
      <w:bookmarkEnd w:id="124"/>
      <w:bookmarkEnd w:id="125"/>
    </w:p>
    <w:tbl>
      <w:tblPr>
        <w:tblStyle w:val="EnergyTable"/>
        <w:tblpPr w:leftFromText="180" w:rightFromText="180" w:vertAnchor="text" w:tblpXSpec="center" w:tblpY="1"/>
        <w:tblOverlap w:val="never"/>
        <w:tblW w:w="0" w:type="auto"/>
        <w:jc w:val="left"/>
        <w:tblLook w:val="04A0" w:firstRow="1" w:lastRow="0" w:firstColumn="1" w:lastColumn="0" w:noHBand="0" w:noVBand="1"/>
      </w:tblPr>
      <w:tblGrid>
        <w:gridCol w:w="1962"/>
        <w:gridCol w:w="767"/>
        <w:gridCol w:w="1623"/>
        <w:gridCol w:w="1615"/>
        <w:gridCol w:w="1201"/>
        <w:gridCol w:w="2192"/>
      </w:tblGrid>
      <w:tr w:rsidR="00E121BB" w:rsidRPr="007C3D34" w14:paraId="27E96CFE" w14:textId="77777777" w:rsidTr="006C4FDB">
        <w:trPr>
          <w:cnfStyle w:val="100000000000" w:firstRow="1" w:lastRow="0" w:firstColumn="0" w:lastColumn="0" w:oddVBand="0" w:evenVBand="0" w:oddHBand="0" w:evenHBand="0" w:firstRowFirstColumn="0" w:firstRowLastColumn="0" w:lastRowFirstColumn="0" w:lastRowLastColumn="0"/>
          <w:trHeight w:val="627"/>
          <w:tblHeader/>
          <w:jc w:val="left"/>
        </w:trPr>
        <w:tc>
          <w:tcPr>
            <w:cnfStyle w:val="001000000000" w:firstRow="0" w:lastRow="0" w:firstColumn="1" w:lastColumn="0" w:oddVBand="0" w:evenVBand="0" w:oddHBand="0" w:evenHBand="0" w:firstRowFirstColumn="0" w:firstRowLastColumn="0" w:lastRowFirstColumn="0" w:lastRowLastColumn="0"/>
            <w:tcW w:w="0" w:type="auto"/>
          </w:tcPr>
          <w:p w14:paraId="646E8FEC" w14:textId="77777777" w:rsidR="001722DE" w:rsidRPr="007C3D34" w:rsidRDefault="001722DE" w:rsidP="003576C4">
            <w:pPr>
              <w:keepNext/>
              <w:keepLines/>
              <w:spacing w:before="60" w:after="60"/>
              <w:jc w:val="left"/>
              <w:rPr>
                <w:rFonts w:ascii="Arial Narrow" w:hAnsi="Arial Narrow"/>
                <w:b w:val="0"/>
                <w:bCs/>
                <w:color w:val="FFFFFF"/>
                <w:sz w:val="20"/>
                <w:szCs w:val="20"/>
              </w:rPr>
            </w:pPr>
            <w:r w:rsidRPr="007C3D34">
              <w:rPr>
                <w:rFonts w:ascii="Arial Narrow" w:hAnsi="Arial Narrow"/>
                <w:b w:val="0"/>
                <w:bCs/>
                <w:color w:val="FFFFFF"/>
                <w:sz w:val="20"/>
                <w:szCs w:val="20"/>
              </w:rPr>
              <w:t>Measure</w:t>
            </w:r>
          </w:p>
        </w:tc>
        <w:tc>
          <w:tcPr>
            <w:tcW w:w="0" w:type="auto"/>
          </w:tcPr>
          <w:p w14:paraId="00944747" w14:textId="77777777" w:rsidR="001722DE" w:rsidRPr="007C3D34" w:rsidRDefault="001722DE" w:rsidP="003576C4">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7C3D34">
              <w:rPr>
                <w:rFonts w:ascii="Arial Narrow" w:hAnsi="Arial Narrow"/>
                <w:b w:val="0"/>
                <w:bCs/>
                <w:color w:val="FFFFFF"/>
                <w:sz w:val="20"/>
                <w:szCs w:val="20"/>
              </w:rPr>
              <w:t>Unit Basis</w:t>
            </w:r>
          </w:p>
        </w:tc>
        <w:tc>
          <w:tcPr>
            <w:tcW w:w="0" w:type="auto"/>
          </w:tcPr>
          <w:p w14:paraId="537F1501" w14:textId="77777777" w:rsidR="001722DE" w:rsidRPr="007C3D34" w:rsidRDefault="001722DE" w:rsidP="006C4FDB">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7C3D34">
              <w:rPr>
                <w:rFonts w:ascii="Arial Narrow" w:hAnsi="Arial Narrow"/>
                <w:b w:val="0"/>
                <w:bCs/>
                <w:color w:val="FFFFFF"/>
                <w:sz w:val="20"/>
                <w:szCs w:val="20"/>
              </w:rPr>
              <w:t>Ex Ante Gross (therms/unit)</w:t>
            </w:r>
          </w:p>
        </w:tc>
        <w:tc>
          <w:tcPr>
            <w:tcW w:w="0" w:type="auto"/>
          </w:tcPr>
          <w:p w14:paraId="4D55B9A1" w14:textId="77777777" w:rsidR="001722DE" w:rsidRPr="007C3D34" w:rsidRDefault="001722DE" w:rsidP="006C4FDB">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7C3D34">
              <w:rPr>
                <w:rFonts w:ascii="Arial Narrow" w:hAnsi="Arial Narrow"/>
                <w:b w:val="0"/>
                <w:bCs/>
                <w:color w:val="FFFFFF"/>
                <w:sz w:val="20"/>
                <w:szCs w:val="20"/>
              </w:rPr>
              <w:t>Verified Gross (therms/unit)</w:t>
            </w:r>
          </w:p>
        </w:tc>
        <w:tc>
          <w:tcPr>
            <w:tcW w:w="0" w:type="auto"/>
          </w:tcPr>
          <w:p w14:paraId="6CBF3ADD" w14:textId="77777777" w:rsidR="001722DE" w:rsidRPr="007C3D34" w:rsidRDefault="001722DE" w:rsidP="006C4FDB">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7C3D34">
              <w:rPr>
                <w:rFonts w:ascii="Arial Narrow" w:hAnsi="Arial Narrow"/>
                <w:b w:val="0"/>
                <w:bCs/>
                <w:color w:val="FFFFFF"/>
                <w:sz w:val="20"/>
                <w:szCs w:val="20"/>
              </w:rPr>
              <w:t>Realization Rate</w:t>
            </w:r>
          </w:p>
        </w:tc>
        <w:tc>
          <w:tcPr>
            <w:tcW w:w="0" w:type="auto"/>
          </w:tcPr>
          <w:p w14:paraId="7F422745" w14:textId="77777777" w:rsidR="001722DE" w:rsidRPr="007C3D34" w:rsidRDefault="001722DE" w:rsidP="003576C4">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7C3D34">
              <w:rPr>
                <w:rFonts w:ascii="Arial Narrow" w:hAnsi="Arial Narrow"/>
                <w:b w:val="0"/>
                <w:bCs/>
                <w:color w:val="FFFFFF"/>
                <w:sz w:val="20"/>
                <w:szCs w:val="20"/>
              </w:rPr>
              <w:t>Data Source(s)</w:t>
            </w:r>
          </w:p>
        </w:tc>
      </w:tr>
      <w:tr w:rsidR="00E121BB" w:rsidRPr="007C3D34" w14:paraId="147C1210" w14:textId="77777777" w:rsidTr="006C4FDB">
        <w:trPr>
          <w:cnfStyle w:val="000000100000" w:firstRow="0" w:lastRow="0" w:firstColumn="0" w:lastColumn="0" w:oddVBand="0" w:evenVBand="0" w:oddHBand="1" w:evenHBand="0"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4107078B" w14:textId="2BC02CA0"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Boiler Tune Up</w:t>
            </w:r>
          </w:p>
        </w:tc>
        <w:tc>
          <w:tcPr>
            <w:tcW w:w="0" w:type="auto"/>
          </w:tcPr>
          <w:p w14:paraId="45B92CF9" w14:textId="067CC4BB" w:rsidR="00A21040" w:rsidRPr="007C3D34" w:rsidRDefault="00A21040" w:rsidP="003576C4">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Unit</w:t>
            </w:r>
          </w:p>
        </w:tc>
        <w:tc>
          <w:tcPr>
            <w:tcW w:w="0" w:type="auto"/>
          </w:tcPr>
          <w:p w14:paraId="6BFF1F40" w14:textId="7B93DBCC"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Varies</w:t>
            </w:r>
          </w:p>
        </w:tc>
        <w:tc>
          <w:tcPr>
            <w:tcW w:w="0" w:type="auto"/>
          </w:tcPr>
          <w:p w14:paraId="355ECF70" w14:textId="72642535"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Varies</w:t>
            </w:r>
          </w:p>
        </w:tc>
        <w:tc>
          <w:tcPr>
            <w:tcW w:w="0" w:type="auto"/>
          </w:tcPr>
          <w:p w14:paraId="1148D8D4" w14:textId="06F44517"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100%</w:t>
            </w:r>
          </w:p>
        </w:tc>
        <w:tc>
          <w:tcPr>
            <w:tcW w:w="0" w:type="auto"/>
          </w:tcPr>
          <w:p w14:paraId="32B2E807" w14:textId="462D4713" w:rsidR="00A21040" w:rsidRPr="007C3D34" w:rsidRDefault="00A21040" w:rsidP="003576C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Illinois TRM, v12.0†, Section 4.4.2 and PTD*</w:t>
            </w:r>
          </w:p>
        </w:tc>
      </w:tr>
      <w:tr w:rsidR="00E121BB" w:rsidRPr="007C3D34" w14:paraId="6EEBBBE1" w14:textId="77777777" w:rsidTr="006C4FDB">
        <w:trPr>
          <w:cnfStyle w:val="000000010000" w:firstRow="0" w:lastRow="0" w:firstColumn="0" w:lastColumn="0" w:oddVBand="0" w:evenVBand="0" w:oddHBand="0" w:evenHBand="1"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76CDA828" w14:textId="1AE1F678" w:rsidR="00A21040" w:rsidRPr="007C3D34" w:rsidRDefault="00A21040" w:rsidP="003576C4">
            <w:pPr>
              <w:keepNext/>
              <w:keepLines/>
              <w:jc w:val="left"/>
              <w:rPr>
                <w:rFonts w:ascii="Arial Narrow" w:hAnsi="Arial Narrow"/>
                <w:color w:val="000000"/>
                <w:sz w:val="20"/>
                <w:szCs w:val="20"/>
              </w:rPr>
            </w:pPr>
            <w:r w:rsidRPr="007C3D34">
              <w:rPr>
                <w:rFonts w:ascii="Arial Narrow" w:hAnsi="Arial Narrow" w:cs="Calibri"/>
                <w:color w:val="000000"/>
                <w:sz w:val="20"/>
                <w:szCs w:val="20"/>
              </w:rPr>
              <w:t>Furnace Tune Up</w:t>
            </w:r>
          </w:p>
        </w:tc>
        <w:tc>
          <w:tcPr>
            <w:tcW w:w="0" w:type="auto"/>
          </w:tcPr>
          <w:p w14:paraId="4AB8F726" w14:textId="69B92A4A" w:rsidR="00A21040" w:rsidRPr="007C3D34" w:rsidRDefault="00A21040" w:rsidP="003576C4">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Unit</w:t>
            </w:r>
          </w:p>
        </w:tc>
        <w:tc>
          <w:tcPr>
            <w:tcW w:w="0" w:type="auto"/>
          </w:tcPr>
          <w:p w14:paraId="34EE46F2" w14:textId="7F984AC5"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Varies</w:t>
            </w:r>
          </w:p>
        </w:tc>
        <w:tc>
          <w:tcPr>
            <w:tcW w:w="0" w:type="auto"/>
          </w:tcPr>
          <w:p w14:paraId="34247919" w14:textId="10796B5E"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Varies</w:t>
            </w:r>
          </w:p>
        </w:tc>
        <w:tc>
          <w:tcPr>
            <w:tcW w:w="0" w:type="auto"/>
          </w:tcPr>
          <w:p w14:paraId="76467CFC" w14:textId="1D18BC1C"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100%</w:t>
            </w:r>
          </w:p>
        </w:tc>
        <w:tc>
          <w:tcPr>
            <w:tcW w:w="0" w:type="auto"/>
          </w:tcPr>
          <w:p w14:paraId="0935C5A3" w14:textId="6B5D42FC" w:rsidR="00A21040" w:rsidRPr="007C3D34" w:rsidRDefault="00A21040" w:rsidP="003576C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Illinois TRM, v12.0†, Section 4.4.2 and PTD*</w:t>
            </w:r>
          </w:p>
        </w:tc>
      </w:tr>
      <w:tr w:rsidR="00E121BB" w:rsidRPr="007C3D34" w14:paraId="51BBC348" w14:textId="77777777" w:rsidTr="006C4FDB">
        <w:trPr>
          <w:cnfStyle w:val="000000100000" w:firstRow="0" w:lastRow="0" w:firstColumn="0" w:lastColumn="0" w:oddVBand="0" w:evenVBand="0" w:oddHBand="1" w:evenHBand="0"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64939362" w14:textId="51929E12" w:rsidR="00A21040" w:rsidRPr="007C3D34" w:rsidRDefault="00A21040" w:rsidP="003576C4">
            <w:pPr>
              <w:keepNext/>
              <w:keepLines/>
              <w:jc w:val="left"/>
              <w:rPr>
                <w:rFonts w:ascii="Arial Narrow" w:hAnsi="Arial Narrow"/>
                <w:color w:val="000000"/>
                <w:sz w:val="20"/>
                <w:szCs w:val="20"/>
              </w:rPr>
            </w:pPr>
            <w:r w:rsidRPr="007C3D34">
              <w:rPr>
                <w:rFonts w:ascii="Arial Narrow" w:hAnsi="Arial Narrow" w:cs="Calibri"/>
                <w:color w:val="000000"/>
                <w:sz w:val="20"/>
                <w:szCs w:val="20"/>
              </w:rPr>
              <w:t xml:space="preserve">Covers and Gap Sealers for Room AC </w:t>
            </w:r>
          </w:p>
        </w:tc>
        <w:tc>
          <w:tcPr>
            <w:tcW w:w="0" w:type="auto"/>
          </w:tcPr>
          <w:p w14:paraId="0C89FF21" w14:textId="00C6FB73" w:rsidR="00A21040" w:rsidRPr="007C3D34" w:rsidRDefault="00A21040" w:rsidP="003576C4">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Unit</w:t>
            </w:r>
          </w:p>
        </w:tc>
        <w:tc>
          <w:tcPr>
            <w:tcW w:w="0" w:type="auto"/>
          </w:tcPr>
          <w:p w14:paraId="250D5760" w14:textId="6CA91542"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Varies</w:t>
            </w:r>
          </w:p>
        </w:tc>
        <w:tc>
          <w:tcPr>
            <w:tcW w:w="0" w:type="auto"/>
          </w:tcPr>
          <w:p w14:paraId="0BDDD52C" w14:textId="2DA184CF"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Varies</w:t>
            </w:r>
          </w:p>
        </w:tc>
        <w:tc>
          <w:tcPr>
            <w:tcW w:w="0" w:type="auto"/>
          </w:tcPr>
          <w:p w14:paraId="58479D8C" w14:textId="2870B392"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100%</w:t>
            </w:r>
          </w:p>
        </w:tc>
        <w:tc>
          <w:tcPr>
            <w:tcW w:w="0" w:type="auto"/>
          </w:tcPr>
          <w:p w14:paraId="4E73F646" w14:textId="7424E853" w:rsidR="00A21040" w:rsidRPr="007C3D34" w:rsidRDefault="00A21040" w:rsidP="003576C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Illinois TRM, v12.0†, Section 4.4.38 and PTD*</w:t>
            </w:r>
          </w:p>
        </w:tc>
      </w:tr>
      <w:tr w:rsidR="00E121BB" w:rsidRPr="007C3D34" w14:paraId="7F3C87A1" w14:textId="77777777" w:rsidTr="006C4FDB">
        <w:trPr>
          <w:cnfStyle w:val="000000010000" w:firstRow="0" w:lastRow="0" w:firstColumn="0" w:lastColumn="0" w:oddVBand="0" w:evenVBand="0" w:oddHBand="0" w:evenHBand="1"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2B3F718E" w14:textId="1D28E7A6"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Faucet Aerator - Bathroom (IU)</w:t>
            </w:r>
          </w:p>
        </w:tc>
        <w:tc>
          <w:tcPr>
            <w:tcW w:w="0" w:type="auto"/>
          </w:tcPr>
          <w:p w14:paraId="3BF42A9B" w14:textId="454B95A2" w:rsidR="00A21040" w:rsidRPr="007C3D34" w:rsidRDefault="00A21040" w:rsidP="003576C4">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Unit</w:t>
            </w:r>
          </w:p>
        </w:tc>
        <w:tc>
          <w:tcPr>
            <w:tcW w:w="0" w:type="auto"/>
          </w:tcPr>
          <w:p w14:paraId="211343DE" w14:textId="7FB848E1"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1.69</w:t>
            </w:r>
          </w:p>
        </w:tc>
        <w:tc>
          <w:tcPr>
            <w:tcW w:w="0" w:type="auto"/>
          </w:tcPr>
          <w:p w14:paraId="7B1F6107" w14:textId="5BD0E88E"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1.69</w:t>
            </w:r>
          </w:p>
        </w:tc>
        <w:tc>
          <w:tcPr>
            <w:tcW w:w="0" w:type="auto"/>
          </w:tcPr>
          <w:p w14:paraId="7DDA5162" w14:textId="7876837F"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100%</w:t>
            </w:r>
          </w:p>
        </w:tc>
        <w:tc>
          <w:tcPr>
            <w:tcW w:w="0" w:type="auto"/>
          </w:tcPr>
          <w:p w14:paraId="3B7128F1" w14:textId="57F6DD90" w:rsidR="00A21040" w:rsidRPr="007C3D34" w:rsidRDefault="00A21040" w:rsidP="003576C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Illinois TRM, v12.0†, Section 5.4.4 and PTD*</w:t>
            </w:r>
          </w:p>
        </w:tc>
      </w:tr>
      <w:tr w:rsidR="00E121BB" w:rsidRPr="007C3D34" w14:paraId="6BF2CA26" w14:textId="77777777" w:rsidTr="006C4FDB">
        <w:trPr>
          <w:cnfStyle w:val="000000100000" w:firstRow="0" w:lastRow="0" w:firstColumn="0" w:lastColumn="0" w:oddVBand="0" w:evenVBand="0" w:oddHBand="1" w:evenHBand="0"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502C22C6" w14:textId="07ADBE8F"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Faucet Aerator - Kitchen (IU)</w:t>
            </w:r>
          </w:p>
        </w:tc>
        <w:tc>
          <w:tcPr>
            <w:tcW w:w="0" w:type="auto"/>
          </w:tcPr>
          <w:p w14:paraId="483EE65D" w14:textId="2F74391C" w:rsidR="00A21040" w:rsidRPr="007C3D34" w:rsidRDefault="00A21040" w:rsidP="003576C4">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Unit</w:t>
            </w:r>
          </w:p>
        </w:tc>
        <w:tc>
          <w:tcPr>
            <w:tcW w:w="0" w:type="auto"/>
          </w:tcPr>
          <w:p w14:paraId="30184EDC" w14:textId="18BFB3C0"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2.82</w:t>
            </w:r>
          </w:p>
        </w:tc>
        <w:tc>
          <w:tcPr>
            <w:tcW w:w="0" w:type="auto"/>
          </w:tcPr>
          <w:p w14:paraId="2F9615EE" w14:textId="0D5F98A8"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2.82</w:t>
            </w:r>
          </w:p>
        </w:tc>
        <w:tc>
          <w:tcPr>
            <w:tcW w:w="0" w:type="auto"/>
          </w:tcPr>
          <w:p w14:paraId="2BD4144B" w14:textId="27701895"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100%</w:t>
            </w:r>
          </w:p>
        </w:tc>
        <w:tc>
          <w:tcPr>
            <w:tcW w:w="0" w:type="auto"/>
          </w:tcPr>
          <w:p w14:paraId="021B4A01" w14:textId="5D6444D9" w:rsidR="00A21040" w:rsidRPr="007C3D34" w:rsidRDefault="00A21040" w:rsidP="003576C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Illinois TRM, v12.0†, Section 5.4.4 and PTD*</w:t>
            </w:r>
          </w:p>
        </w:tc>
      </w:tr>
      <w:tr w:rsidR="00E121BB" w:rsidRPr="007C3D34" w14:paraId="3F8439EE" w14:textId="77777777" w:rsidTr="006C4FDB">
        <w:trPr>
          <w:cnfStyle w:val="000000010000" w:firstRow="0" w:lastRow="0" w:firstColumn="0" w:lastColumn="0" w:oddVBand="0" w:evenVBand="0" w:oddHBand="0" w:evenHBand="1"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5C420014" w14:textId="1F9DD18E"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Pipe Insulation</w:t>
            </w:r>
          </w:p>
        </w:tc>
        <w:tc>
          <w:tcPr>
            <w:tcW w:w="0" w:type="auto"/>
          </w:tcPr>
          <w:p w14:paraId="6B09DBCD" w14:textId="7CF59657" w:rsidR="00A21040" w:rsidRPr="007C3D34" w:rsidRDefault="00A21040" w:rsidP="003576C4">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Ln Ft</w:t>
            </w:r>
          </w:p>
        </w:tc>
        <w:tc>
          <w:tcPr>
            <w:tcW w:w="0" w:type="auto"/>
          </w:tcPr>
          <w:p w14:paraId="74422DD2" w14:textId="74957632"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Varies</w:t>
            </w:r>
          </w:p>
        </w:tc>
        <w:tc>
          <w:tcPr>
            <w:tcW w:w="0" w:type="auto"/>
          </w:tcPr>
          <w:p w14:paraId="29E4D64A" w14:textId="24E46044"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Varies</w:t>
            </w:r>
          </w:p>
        </w:tc>
        <w:tc>
          <w:tcPr>
            <w:tcW w:w="0" w:type="auto"/>
          </w:tcPr>
          <w:p w14:paraId="4AFD983E" w14:textId="684DCD2B"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100%</w:t>
            </w:r>
          </w:p>
        </w:tc>
        <w:tc>
          <w:tcPr>
            <w:tcW w:w="0" w:type="auto"/>
          </w:tcPr>
          <w:p w14:paraId="7DC667AC" w14:textId="733D70B3" w:rsidR="00A21040" w:rsidRPr="007C3D34" w:rsidRDefault="00A21040" w:rsidP="003576C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Illinois TRM, v12.0†, Section 4.4.14 and PTD*</w:t>
            </w:r>
          </w:p>
        </w:tc>
      </w:tr>
      <w:tr w:rsidR="00E121BB" w:rsidRPr="007C3D34" w14:paraId="1EEE9E8B" w14:textId="77777777" w:rsidTr="006C4FDB">
        <w:trPr>
          <w:cnfStyle w:val="000000100000" w:firstRow="0" w:lastRow="0" w:firstColumn="0" w:lastColumn="0" w:oddVBand="0" w:evenVBand="0" w:oddHBand="1" w:evenHBand="0"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4EAF3075" w14:textId="1A0D2DE0"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Shower Timer (IU)</w:t>
            </w:r>
          </w:p>
        </w:tc>
        <w:tc>
          <w:tcPr>
            <w:tcW w:w="0" w:type="auto"/>
          </w:tcPr>
          <w:p w14:paraId="31E2DFE8" w14:textId="06A598D6" w:rsidR="00A21040" w:rsidRPr="007C3D34" w:rsidRDefault="00A21040" w:rsidP="003576C4">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Each</w:t>
            </w:r>
          </w:p>
        </w:tc>
        <w:tc>
          <w:tcPr>
            <w:tcW w:w="0" w:type="auto"/>
          </w:tcPr>
          <w:p w14:paraId="67B4943B" w14:textId="19E4EE89"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3.79</w:t>
            </w:r>
          </w:p>
        </w:tc>
        <w:tc>
          <w:tcPr>
            <w:tcW w:w="0" w:type="auto"/>
          </w:tcPr>
          <w:p w14:paraId="15A78A2E" w14:textId="7E9FB85C"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3.79</w:t>
            </w:r>
          </w:p>
        </w:tc>
        <w:tc>
          <w:tcPr>
            <w:tcW w:w="0" w:type="auto"/>
          </w:tcPr>
          <w:p w14:paraId="576CCC05" w14:textId="5070A346"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100%</w:t>
            </w:r>
          </w:p>
        </w:tc>
        <w:tc>
          <w:tcPr>
            <w:tcW w:w="0" w:type="auto"/>
          </w:tcPr>
          <w:p w14:paraId="03DBB655" w14:textId="43291AF9" w:rsidR="00A21040" w:rsidRPr="007C3D34" w:rsidRDefault="00A21040" w:rsidP="003576C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Illinois TRM, v12.0†, Section 5.4.9 and PTD*</w:t>
            </w:r>
          </w:p>
        </w:tc>
      </w:tr>
      <w:tr w:rsidR="00434B54" w:rsidRPr="007C3D34" w14:paraId="7D569388" w14:textId="77777777" w:rsidTr="006C4FDB">
        <w:trPr>
          <w:cnfStyle w:val="000000010000" w:firstRow="0" w:lastRow="0" w:firstColumn="0" w:lastColumn="0" w:oddVBand="0" w:evenVBand="0" w:oddHBand="0" w:evenHBand="1"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09FC8512" w14:textId="56068CF7"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Showerhead (IU)</w:t>
            </w:r>
          </w:p>
        </w:tc>
        <w:tc>
          <w:tcPr>
            <w:tcW w:w="0" w:type="auto"/>
          </w:tcPr>
          <w:p w14:paraId="3789BBF6" w14:textId="545AB213" w:rsidR="00A21040" w:rsidRPr="007C3D34" w:rsidRDefault="00A21040" w:rsidP="003576C4">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Unit</w:t>
            </w:r>
          </w:p>
        </w:tc>
        <w:tc>
          <w:tcPr>
            <w:tcW w:w="0" w:type="auto"/>
          </w:tcPr>
          <w:p w14:paraId="39FC9D97" w14:textId="366E74A5"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12.36</w:t>
            </w:r>
          </w:p>
        </w:tc>
        <w:tc>
          <w:tcPr>
            <w:tcW w:w="0" w:type="auto"/>
          </w:tcPr>
          <w:p w14:paraId="2B367FCD" w14:textId="467DAD71"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12.36</w:t>
            </w:r>
          </w:p>
        </w:tc>
        <w:tc>
          <w:tcPr>
            <w:tcW w:w="0" w:type="auto"/>
          </w:tcPr>
          <w:p w14:paraId="64D19C0F" w14:textId="5E73972C"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100%</w:t>
            </w:r>
          </w:p>
        </w:tc>
        <w:tc>
          <w:tcPr>
            <w:tcW w:w="0" w:type="auto"/>
          </w:tcPr>
          <w:p w14:paraId="585CDB51" w14:textId="07DAC7E5" w:rsidR="00A21040" w:rsidRPr="007C3D34" w:rsidRDefault="00434B54" w:rsidP="003576C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Illinois TRM</w:t>
            </w:r>
            <w:r w:rsidR="00A21040" w:rsidRPr="007C3D34">
              <w:rPr>
                <w:rFonts w:ascii="Arial Narrow" w:hAnsi="Arial Narrow" w:cs="Calibri"/>
                <w:color w:val="000000"/>
                <w:sz w:val="20"/>
                <w:szCs w:val="20"/>
              </w:rPr>
              <w:t>, v12.0†, Section 5.4.5 and PTD*</w:t>
            </w:r>
          </w:p>
        </w:tc>
      </w:tr>
      <w:tr w:rsidR="00434B54" w:rsidRPr="007C3D34" w14:paraId="79D71EBA" w14:textId="77777777" w:rsidTr="006C4FDB">
        <w:trPr>
          <w:cnfStyle w:val="000000100000" w:firstRow="0" w:lastRow="0" w:firstColumn="0" w:lastColumn="0" w:oddVBand="0" w:evenVBand="0" w:oddHBand="1" w:evenHBand="0"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7D66B1D4" w14:textId="00EAD687"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Steam Traps</w:t>
            </w:r>
          </w:p>
        </w:tc>
        <w:tc>
          <w:tcPr>
            <w:tcW w:w="0" w:type="auto"/>
          </w:tcPr>
          <w:p w14:paraId="67C101BB" w14:textId="4C34B80F" w:rsidR="00A21040" w:rsidRPr="007C3D34" w:rsidRDefault="00A21040" w:rsidP="003576C4">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Unit</w:t>
            </w:r>
          </w:p>
        </w:tc>
        <w:tc>
          <w:tcPr>
            <w:tcW w:w="0" w:type="auto"/>
          </w:tcPr>
          <w:p w14:paraId="726C5C8A" w14:textId="1D85E813"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Varies</w:t>
            </w:r>
          </w:p>
        </w:tc>
        <w:tc>
          <w:tcPr>
            <w:tcW w:w="0" w:type="auto"/>
          </w:tcPr>
          <w:p w14:paraId="422712C4" w14:textId="3524F0ED"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Varies</w:t>
            </w:r>
          </w:p>
        </w:tc>
        <w:tc>
          <w:tcPr>
            <w:tcW w:w="0" w:type="auto"/>
          </w:tcPr>
          <w:p w14:paraId="7007D420" w14:textId="653B8DA3" w:rsidR="00A21040" w:rsidRPr="007C3D34" w:rsidRDefault="00A21040" w:rsidP="006C4FD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100%</w:t>
            </w:r>
          </w:p>
        </w:tc>
        <w:tc>
          <w:tcPr>
            <w:tcW w:w="0" w:type="auto"/>
          </w:tcPr>
          <w:p w14:paraId="7761B12E" w14:textId="7B194361" w:rsidR="00A21040" w:rsidRPr="007C3D34" w:rsidRDefault="00434B54" w:rsidP="003576C4">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Illinois TRM</w:t>
            </w:r>
            <w:r w:rsidR="00A21040" w:rsidRPr="007C3D34">
              <w:rPr>
                <w:rFonts w:ascii="Arial Narrow" w:hAnsi="Arial Narrow" w:cs="Calibri"/>
                <w:color w:val="000000"/>
                <w:sz w:val="20"/>
                <w:szCs w:val="20"/>
              </w:rPr>
              <w:t>, v12.0†, Section 4.4.16 and PTD*</w:t>
            </w:r>
          </w:p>
        </w:tc>
      </w:tr>
      <w:tr w:rsidR="00434B54" w:rsidRPr="007C3D34" w14:paraId="63CC9259" w14:textId="77777777" w:rsidTr="006C4FDB">
        <w:trPr>
          <w:cnfStyle w:val="000000010000" w:firstRow="0" w:lastRow="0" w:firstColumn="0" w:lastColumn="0" w:oddVBand="0" w:evenVBand="0" w:oddHBand="0" w:evenHBand="1" w:firstRowFirstColumn="0" w:firstRowLastColumn="0" w:lastRowFirstColumn="0" w:lastRowLastColumn="0"/>
          <w:trHeight w:val="247"/>
          <w:jc w:val="left"/>
        </w:trPr>
        <w:tc>
          <w:tcPr>
            <w:cnfStyle w:val="001000000000" w:firstRow="0" w:lastRow="0" w:firstColumn="1" w:lastColumn="0" w:oddVBand="0" w:evenVBand="0" w:oddHBand="0" w:evenHBand="0" w:firstRowFirstColumn="0" w:firstRowLastColumn="0" w:lastRowFirstColumn="0" w:lastRowLastColumn="0"/>
            <w:tcW w:w="0" w:type="auto"/>
          </w:tcPr>
          <w:p w14:paraId="4CC2D0DD" w14:textId="265786C0" w:rsidR="00A21040" w:rsidRPr="007C3D34" w:rsidRDefault="00A21040" w:rsidP="003576C4">
            <w:pPr>
              <w:keepNext/>
              <w:keepLines/>
              <w:jc w:val="left"/>
              <w:rPr>
                <w:rFonts w:ascii="Arial Narrow" w:hAnsi="Arial Narrow"/>
                <w:sz w:val="20"/>
                <w:szCs w:val="20"/>
              </w:rPr>
            </w:pPr>
            <w:r w:rsidRPr="007C3D34">
              <w:rPr>
                <w:rFonts w:ascii="Arial Narrow" w:hAnsi="Arial Narrow" w:cs="Calibri"/>
                <w:color w:val="000000"/>
                <w:sz w:val="20"/>
                <w:szCs w:val="20"/>
              </w:rPr>
              <w:t>Water Heater</w:t>
            </w:r>
          </w:p>
        </w:tc>
        <w:tc>
          <w:tcPr>
            <w:tcW w:w="0" w:type="auto"/>
          </w:tcPr>
          <w:p w14:paraId="68D37B89" w14:textId="06D9407B" w:rsidR="00A21040" w:rsidRPr="007C3D34" w:rsidRDefault="00A21040" w:rsidP="003576C4">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Unit</w:t>
            </w:r>
          </w:p>
        </w:tc>
        <w:tc>
          <w:tcPr>
            <w:tcW w:w="0" w:type="auto"/>
          </w:tcPr>
          <w:p w14:paraId="14371B07" w14:textId="578B6229"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10.09</w:t>
            </w:r>
          </w:p>
        </w:tc>
        <w:tc>
          <w:tcPr>
            <w:tcW w:w="0" w:type="auto"/>
          </w:tcPr>
          <w:p w14:paraId="2114905F" w14:textId="19419092"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7C3D34">
              <w:rPr>
                <w:rFonts w:ascii="Arial Narrow" w:hAnsi="Arial Narrow" w:cs="Calibri"/>
                <w:color w:val="000000"/>
                <w:sz w:val="20"/>
                <w:szCs w:val="20"/>
              </w:rPr>
              <w:t>10.09</w:t>
            </w:r>
          </w:p>
        </w:tc>
        <w:tc>
          <w:tcPr>
            <w:tcW w:w="0" w:type="auto"/>
          </w:tcPr>
          <w:p w14:paraId="2CF34229" w14:textId="0353E412" w:rsidR="00A21040" w:rsidRPr="007C3D34" w:rsidRDefault="00A21040" w:rsidP="006C4FD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100%</w:t>
            </w:r>
          </w:p>
        </w:tc>
        <w:tc>
          <w:tcPr>
            <w:tcW w:w="0" w:type="auto"/>
          </w:tcPr>
          <w:p w14:paraId="0B3DFAD6" w14:textId="7ADC5EF1" w:rsidR="00A21040" w:rsidRPr="007C3D34" w:rsidRDefault="00434B54" w:rsidP="003576C4">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7C3D34">
              <w:rPr>
                <w:rFonts w:ascii="Arial Narrow" w:hAnsi="Arial Narrow" w:cs="Calibri"/>
                <w:color w:val="000000"/>
                <w:sz w:val="20"/>
                <w:szCs w:val="20"/>
              </w:rPr>
              <w:t>Illinois TRM</w:t>
            </w:r>
            <w:r w:rsidR="00A21040" w:rsidRPr="007C3D34">
              <w:rPr>
                <w:rFonts w:ascii="Arial Narrow" w:hAnsi="Arial Narrow" w:cs="Calibri"/>
                <w:color w:val="000000"/>
                <w:sz w:val="20"/>
                <w:szCs w:val="20"/>
              </w:rPr>
              <w:t>, v12.0†, Section 4.3.1 and PTD*</w:t>
            </w:r>
          </w:p>
        </w:tc>
      </w:tr>
    </w:tbl>
    <w:p w14:paraId="3171C72D" w14:textId="3E27771A" w:rsidR="001722DE" w:rsidRDefault="001722DE" w:rsidP="00A178E0">
      <w:pPr>
        <w:pStyle w:val="GraphFootnote"/>
        <w:keepNext/>
        <w:keepLines/>
        <w:rPr>
          <w:rFonts w:ascii="Arial" w:hAnsi="Arial" w:cs="Arial"/>
          <w:szCs w:val="18"/>
        </w:rPr>
      </w:pPr>
      <w:r w:rsidRPr="00F65903">
        <w:rPr>
          <w:rFonts w:ascii="Arial" w:hAnsi="Arial" w:cs="Arial"/>
          <w:szCs w:val="18"/>
        </w:rPr>
        <w:t>* Program Tracking Data (PTD) provided by Peoples Gas and North Shore Gas; extract dated January 30, 202</w:t>
      </w:r>
      <w:r>
        <w:rPr>
          <w:rFonts w:ascii="Arial" w:hAnsi="Arial" w:cs="Arial"/>
          <w:szCs w:val="18"/>
        </w:rPr>
        <w:t>5</w:t>
      </w:r>
      <w:r w:rsidRPr="00F65903">
        <w:rPr>
          <w:rFonts w:ascii="Arial" w:hAnsi="Arial" w:cs="Arial"/>
          <w:szCs w:val="18"/>
        </w:rPr>
        <w:t>.</w:t>
      </w:r>
      <w:r w:rsidR="00A9737A">
        <w:rPr>
          <w:rFonts w:ascii="Arial" w:hAnsi="Arial" w:cs="Arial"/>
          <w:szCs w:val="18"/>
        </w:rPr>
        <w:br/>
      </w:r>
      <w:r w:rsidRPr="00F65903">
        <w:rPr>
          <w:rFonts w:ascii="Arial" w:hAnsi="Arial" w:cs="Arial"/>
          <w:szCs w:val="18"/>
        </w:rPr>
        <w:t xml:space="preserve">† State of Illinois Technical Reference Manual version </w:t>
      </w:r>
      <w:r>
        <w:rPr>
          <w:rFonts w:ascii="Arial" w:hAnsi="Arial" w:cs="Arial"/>
          <w:szCs w:val="18"/>
        </w:rPr>
        <w:t>12</w:t>
      </w:r>
      <w:r w:rsidRPr="00F65903">
        <w:rPr>
          <w:rFonts w:ascii="Arial" w:hAnsi="Arial" w:cs="Arial"/>
          <w:szCs w:val="18"/>
        </w:rPr>
        <w:t xml:space="preserve">.0 from </w:t>
      </w:r>
      <w:hyperlink r:id="rId30" w:history="1">
        <w:r w:rsidRPr="00F65903">
          <w:rPr>
            <w:rStyle w:val="Hyperlink"/>
            <w:rFonts w:cs="Arial"/>
            <w:szCs w:val="18"/>
          </w:rPr>
          <w:t>http://www.ilsag.info/technical-reference-manual.html</w:t>
        </w:r>
      </w:hyperlink>
      <w:r w:rsidRPr="00F65903">
        <w:rPr>
          <w:rFonts w:ascii="Arial" w:hAnsi="Arial" w:cs="Arial"/>
          <w:szCs w:val="18"/>
        </w:rPr>
        <w:t>.</w:t>
      </w:r>
      <w:r w:rsidR="00A9737A">
        <w:rPr>
          <w:rFonts w:ascii="Arial" w:hAnsi="Arial" w:cs="Arial"/>
          <w:szCs w:val="18"/>
        </w:rPr>
        <w:br/>
      </w:r>
      <w:r w:rsidRPr="00F65903">
        <w:rPr>
          <w:rFonts w:ascii="Arial" w:hAnsi="Arial" w:cs="Arial"/>
          <w:szCs w:val="18"/>
        </w:rPr>
        <w:t>‡ Project files and monthly billing data provided by Peoples Gas and North Shore Gas. When conducted, on-site and telephone interview data collected by Guidehouse.</w:t>
      </w:r>
    </w:p>
    <w:p w14:paraId="5522BD31" w14:textId="77777777" w:rsidR="00791CB8" w:rsidRPr="00791CB8" w:rsidRDefault="00791CB8" w:rsidP="00791CB8"/>
    <w:p w14:paraId="74F2DBB1" w14:textId="72DA22EB" w:rsidR="001722DE" w:rsidRPr="003A4562" w:rsidRDefault="00DB7C3F" w:rsidP="003A4562">
      <w:pPr>
        <w:pStyle w:val="Heading3"/>
        <w:rPr>
          <w:sz w:val="28"/>
          <w:szCs w:val="28"/>
        </w:rPr>
      </w:pPr>
      <w:r w:rsidRPr="003A4562">
        <w:rPr>
          <w:sz w:val="28"/>
          <w:szCs w:val="28"/>
        </w:rPr>
        <w:t>Findings and Recommendations</w:t>
      </w:r>
    </w:p>
    <w:p w14:paraId="00E7E60E" w14:textId="7DB927F8" w:rsidR="001722DE" w:rsidRPr="00DB7C3F" w:rsidRDefault="008B64BE" w:rsidP="001722DE">
      <w:pPr>
        <w:pStyle w:val="Instructions"/>
        <w:rPr>
          <w:color w:val="auto"/>
        </w:rPr>
      </w:pPr>
      <w:bookmarkStart w:id="126" w:name="_Hlk31181982"/>
      <w:r>
        <w:rPr>
          <w:color w:val="auto"/>
        </w:rPr>
        <w:t>There were no findings and recommendations for the PH</w:t>
      </w:r>
      <w:r w:rsidR="002A3507">
        <w:rPr>
          <w:color w:val="auto"/>
        </w:rPr>
        <w:t>ES</w:t>
      </w:r>
      <w:r>
        <w:rPr>
          <w:color w:val="auto"/>
        </w:rPr>
        <w:t xml:space="preserve"> program track. </w:t>
      </w:r>
    </w:p>
    <w:p w14:paraId="7A5E854A" w14:textId="359C9AB5" w:rsidR="002117DC" w:rsidRPr="002A3507" w:rsidRDefault="002117DC" w:rsidP="002117DC">
      <w:pPr>
        <w:pStyle w:val="Heading5"/>
        <w:rPr>
          <w:color w:val="auto"/>
        </w:rPr>
      </w:pPr>
      <w:bookmarkStart w:id="127" w:name="_Toc193349923"/>
      <w:bookmarkEnd w:id="126"/>
      <w:r w:rsidRPr="002A3507">
        <w:rPr>
          <w:color w:val="auto"/>
        </w:rPr>
        <w:lastRenderedPageBreak/>
        <w:t>Appendix A. Impact Analysis Methodology</w:t>
      </w:r>
      <w:bookmarkEnd w:id="127"/>
    </w:p>
    <w:p w14:paraId="3461D28D" w14:textId="77777777" w:rsidR="002117DC" w:rsidRDefault="002117DC" w:rsidP="00201ECE">
      <w:pPr>
        <w:pStyle w:val="BodyText"/>
      </w:pPr>
      <w:r w:rsidRPr="002117DC">
        <w:t xml:space="preserve">The evaluation team used the same impact methodology for each component. Verified gross savings were determined for each program measure by: </w:t>
      </w:r>
    </w:p>
    <w:p w14:paraId="6629EE12" w14:textId="60EB2C88" w:rsidR="002117DC" w:rsidRDefault="002117DC" w:rsidP="002117DC">
      <w:pPr>
        <w:pStyle w:val="GHBodytext"/>
        <w:numPr>
          <w:ilvl w:val="0"/>
          <w:numId w:val="77"/>
        </w:numPr>
      </w:pPr>
      <w:r w:rsidRPr="002117DC">
        <w:t>Reviewing the savings algorithm inputs in the measure workbook for agreement with the IL-TRM v1</w:t>
      </w:r>
      <w:r w:rsidR="006A5F25">
        <w:t>2</w:t>
      </w:r>
      <w:r w:rsidRPr="002117DC">
        <w:t xml:space="preserve">.0 and IL-TRM Errata, where applicable. </w:t>
      </w:r>
    </w:p>
    <w:p w14:paraId="508F5803" w14:textId="1B295633" w:rsidR="002117DC" w:rsidRDefault="002117DC" w:rsidP="002117DC">
      <w:pPr>
        <w:pStyle w:val="GHBodytext"/>
        <w:numPr>
          <w:ilvl w:val="0"/>
          <w:numId w:val="77"/>
        </w:numPr>
      </w:pPr>
      <w:r w:rsidRPr="002117DC">
        <w:t xml:space="preserve">Validating the savings algorithm was applied correctly. </w:t>
      </w:r>
    </w:p>
    <w:p w14:paraId="4B9B9118" w14:textId="4140584D" w:rsidR="002117DC" w:rsidRDefault="002117DC" w:rsidP="002117DC">
      <w:pPr>
        <w:pStyle w:val="GHBodytext"/>
        <w:numPr>
          <w:ilvl w:val="0"/>
          <w:numId w:val="77"/>
        </w:numPr>
      </w:pPr>
      <w:r w:rsidRPr="002117DC">
        <w:t>Cross-checking per-unit savings values in the program tracking data with the verified values in the measure workbook or in Guidehouse’s calculations if the workbook did not agree with the IL-TRM v1</w:t>
      </w:r>
      <w:r w:rsidR="006A5F25">
        <w:t>2</w:t>
      </w:r>
      <w:r w:rsidRPr="002117DC">
        <w:t xml:space="preserve">.0. </w:t>
      </w:r>
    </w:p>
    <w:p w14:paraId="1D9CA8B7" w14:textId="2F4B95B6" w:rsidR="002117DC" w:rsidRDefault="002117DC" w:rsidP="002117DC">
      <w:pPr>
        <w:pStyle w:val="GHBodytext"/>
        <w:numPr>
          <w:ilvl w:val="0"/>
          <w:numId w:val="77"/>
        </w:numPr>
      </w:pPr>
      <w:r w:rsidRPr="002117DC">
        <w:t>Multiplying the verified per-unit savings value by the quantity reported in the tracking data. The team calculated verified net savings by multiplying the verified gross savings estimates by a NTG ratio. In Program Year 202</w:t>
      </w:r>
      <w:r w:rsidR="006A5F25">
        <w:t>4</w:t>
      </w:r>
      <w:r w:rsidRPr="002117DC">
        <w:t xml:space="preserve">, NTG estimates used to calculate the net verified savings were based on past evaluation research and defined by a consensus process through the Illinois SAG. </w:t>
      </w:r>
    </w:p>
    <w:p w14:paraId="6564E073" w14:textId="0DC21A48" w:rsidR="002117DC" w:rsidRPr="002117DC" w:rsidRDefault="002117DC" w:rsidP="002117DC">
      <w:pPr>
        <w:pStyle w:val="GHBodytext"/>
        <w:numPr>
          <w:ilvl w:val="0"/>
          <w:numId w:val="76"/>
        </w:numPr>
        <w:sectPr w:rsidR="002117DC" w:rsidRPr="002117DC" w:rsidSect="001863EA">
          <w:pgSz w:w="12240" w:h="15840" w:code="1"/>
          <w:pgMar w:top="1440" w:right="1440" w:bottom="1440" w:left="1440" w:header="720" w:footer="720" w:gutter="0"/>
          <w:pgNumType w:start="1"/>
          <w:cols w:space="720"/>
          <w:docGrid w:linePitch="360"/>
        </w:sectPr>
      </w:pPr>
      <w:r w:rsidRPr="002117DC">
        <w:t>Guidehouse sourced methodologies and assumptions from the IL-TRM v1</w:t>
      </w:r>
      <w:r w:rsidR="006A5F25">
        <w:t>2</w:t>
      </w:r>
      <w:r w:rsidRPr="002117DC">
        <w:t>.0 and the final 202</w:t>
      </w:r>
      <w:r w:rsidR="006A5F25">
        <w:t>4</w:t>
      </w:r>
      <w:r w:rsidRPr="002117DC">
        <w:t xml:space="preserve"> tracking data.</w:t>
      </w:r>
    </w:p>
    <w:p w14:paraId="71AEE7B4" w14:textId="0563D658" w:rsidR="002859CC" w:rsidRPr="002A3507" w:rsidRDefault="001C79FE" w:rsidP="00560ED1">
      <w:pPr>
        <w:pStyle w:val="Heading5"/>
        <w:rPr>
          <w:color w:val="auto"/>
        </w:rPr>
      </w:pPr>
      <w:bookmarkStart w:id="128" w:name="_Toc193349175"/>
      <w:bookmarkStart w:id="129" w:name="_Toc193349924"/>
      <w:r w:rsidRPr="002A3507">
        <w:rPr>
          <w:color w:val="auto"/>
        </w:rPr>
        <w:lastRenderedPageBreak/>
        <w:t xml:space="preserve">Appendix </w:t>
      </w:r>
      <w:r w:rsidR="00790DB9" w:rsidRPr="002A3507">
        <w:rPr>
          <w:color w:val="auto"/>
        </w:rPr>
        <w:t>B</w:t>
      </w:r>
      <w:r w:rsidRPr="002A3507">
        <w:rPr>
          <w:color w:val="auto"/>
        </w:rPr>
        <w:t xml:space="preserve">. </w:t>
      </w:r>
      <w:r w:rsidR="00F20206" w:rsidRPr="002A3507">
        <w:rPr>
          <w:color w:val="auto"/>
        </w:rPr>
        <w:t>Program Specific Inputs for the Illinois TRC</w:t>
      </w:r>
      <w:bookmarkEnd w:id="128"/>
      <w:bookmarkEnd w:id="129"/>
    </w:p>
    <w:p w14:paraId="2E85B391" w14:textId="5F08BBAB" w:rsidR="004E499F" w:rsidRPr="00560ED1" w:rsidRDefault="004E499F" w:rsidP="00560ED1">
      <w:pPr>
        <w:pStyle w:val="Heading7"/>
      </w:pPr>
      <w:r>
        <w:t>Income Eligible and IHWAP Program</w:t>
      </w:r>
    </w:p>
    <w:p w14:paraId="5DFB14D4" w14:textId="7CA272E1" w:rsidR="00E93A62" w:rsidRPr="00D12853" w:rsidRDefault="00F31C26" w:rsidP="00E93A62">
      <w:r>
        <w:fldChar w:fldCharType="begin"/>
      </w:r>
      <w:r>
        <w:instrText xml:space="preserve"> REF _Ref134176129 \h </w:instrText>
      </w:r>
      <w:r>
        <w:fldChar w:fldCharType="separate"/>
      </w:r>
      <w:r w:rsidR="00434B54">
        <w:t>Table B</w:t>
      </w:r>
      <w:r w:rsidR="00434B54">
        <w:noBreakHyphen/>
      </w:r>
      <w:r w:rsidR="00434B54">
        <w:rPr>
          <w:noProof/>
        </w:rPr>
        <w:t>1</w:t>
      </w:r>
      <w:r>
        <w:fldChar w:fldCharType="end"/>
      </w:r>
      <w:r>
        <w:t xml:space="preserve"> and </w:t>
      </w:r>
      <w:r>
        <w:fldChar w:fldCharType="begin"/>
      </w:r>
      <w:r>
        <w:instrText xml:space="preserve"> REF _Ref134176201 \h </w:instrText>
      </w:r>
      <w:r>
        <w:fldChar w:fldCharType="separate"/>
      </w:r>
      <w:r w:rsidR="00434B54">
        <w:t>Table B</w:t>
      </w:r>
      <w:r w:rsidR="00434B54">
        <w:noBreakHyphen/>
      </w:r>
      <w:r w:rsidR="00434B54">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30EE1881" w14:textId="55B17153" w:rsidR="00E93A62" w:rsidRDefault="00F31C26" w:rsidP="004F7BBC">
      <w:pPr>
        <w:pStyle w:val="Caption"/>
      </w:pPr>
      <w:bookmarkStart w:id="130" w:name="_Ref134176129"/>
      <w:bookmarkStart w:id="131" w:name="_Toc138318619"/>
      <w:bookmarkStart w:id="132" w:name="_Toc193349143"/>
      <w:bookmarkStart w:id="133" w:name="_Toc193349943"/>
      <w:bookmarkStart w:id="134" w:name="_Toc193349957"/>
      <w:bookmarkStart w:id="135" w:name="_Toc193350151"/>
      <w:r>
        <w:t xml:space="preserve">Table </w:t>
      </w:r>
      <w:r w:rsidR="00E0501D">
        <w:t>B</w:t>
      </w:r>
      <w:r>
        <w:noBreakHyphen/>
      </w:r>
      <w:r w:rsidR="00434B54">
        <w:fldChar w:fldCharType="begin"/>
      </w:r>
      <w:r w:rsidR="00434B54">
        <w:instrText xml:space="preserve"> SEQ Table_Apx \* ARABIC \s 5 </w:instrText>
      </w:r>
      <w:r w:rsidR="00434B54">
        <w:fldChar w:fldCharType="separate"/>
      </w:r>
      <w:r w:rsidR="00434B54">
        <w:rPr>
          <w:noProof/>
        </w:rPr>
        <w:t>1</w:t>
      </w:r>
      <w:r w:rsidR="00434B54">
        <w:rPr>
          <w:noProof/>
        </w:rPr>
        <w:fldChar w:fldCharType="end"/>
      </w:r>
      <w:bookmarkEnd w:id="130"/>
      <w:r w:rsidR="00362A08">
        <w:rPr>
          <w:noProof/>
        </w:rPr>
        <w:t>.</w:t>
      </w:r>
      <w:r>
        <w:t xml:space="preserve"> </w:t>
      </w:r>
      <w:r w:rsidR="004F7BBC">
        <w:t xml:space="preserve">2024 MFIE Program </w:t>
      </w:r>
      <w:r>
        <w:t>Verified Cost Effectiveness Inputs – PGL</w:t>
      </w:r>
      <w:bookmarkEnd w:id="131"/>
      <w:bookmarkEnd w:id="132"/>
      <w:bookmarkEnd w:id="133"/>
      <w:bookmarkEnd w:id="134"/>
      <w:bookmarkEnd w:id="135"/>
    </w:p>
    <w:tbl>
      <w:tblPr>
        <w:tblW w:w="5000" w:type="pct"/>
        <w:tblLook w:val="04A0" w:firstRow="1" w:lastRow="0" w:firstColumn="1" w:lastColumn="0" w:noHBand="0" w:noVBand="1"/>
      </w:tblPr>
      <w:tblGrid>
        <w:gridCol w:w="1379"/>
        <w:gridCol w:w="1153"/>
        <w:gridCol w:w="3284"/>
        <w:gridCol w:w="648"/>
        <w:gridCol w:w="1019"/>
        <w:gridCol w:w="1112"/>
        <w:gridCol w:w="1475"/>
        <w:gridCol w:w="1472"/>
        <w:gridCol w:w="1418"/>
      </w:tblGrid>
      <w:tr w:rsidR="003576C4" w:rsidRPr="00E65743" w14:paraId="5D2BC8B6" w14:textId="77777777" w:rsidTr="00791CB8">
        <w:trPr>
          <w:tblHeader/>
        </w:trPr>
        <w:tc>
          <w:tcPr>
            <w:tcW w:w="532" w:type="pct"/>
            <w:tcBorders>
              <w:top w:val="nil"/>
              <w:left w:val="nil"/>
              <w:bottom w:val="single" w:sz="12" w:space="0" w:color="95D600"/>
              <w:right w:val="nil"/>
            </w:tcBorders>
            <w:shd w:val="clear" w:color="000000" w:fill="036479"/>
            <w:vAlign w:val="center"/>
            <w:hideMark/>
          </w:tcPr>
          <w:p w14:paraId="09AE8184" w14:textId="77777777"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Program Category</w:t>
            </w:r>
          </w:p>
        </w:tc>
        <w:tc>
          <w:tcPr>
            <w:tcW w:w="445" w:type="pct"/>
            <w:tcBorders>
              <w:top w:val="nil"/>
              <w:left w:val="nil"/>
              <w:bottom w:val="single" w:sz="12" w:space="0" w:color="95D600"/>
              <w:right w:val="nil"/>
            </w:tcBorders>
            <w:shd w:val="clear" w:color="000000" w:fill="036479"/>
            <w:vAlign w:val="center"/>
            <w:hideMark/>
          </w:tcPr>
          <w:p w14:paraId="06AB62B3" w14:textId="77777777"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Program Path</w:t>
            </w:r>
          </w:p>
        </w:tc>
        <w:tc>
          <w:tcPr>
            <w:tcW w:w="1267" w:type="pct"/>
            <w:tcBorders>
              <w:top w:val="nil"/>
              <w:left w:val="nil"/>
              <w:bottom w:val="single" w:sz="12" w:space="0" w:color="95D600"/>
              <w:right w:val="nil"/>
            </w:tcBorders>
            <w:shd w:val="clear" w:color="000000" w:fill="036479"/>
            <w:vAlign w:val="center"/>
            <w:hideMark/>
          </w:tcPr>
          <w:p w14:paraId="77F613E9" w14:textId="77777777"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Savings Category</w:t>
            </w:r>
          </w:p>
        </w:tc>
        <w:tc>
          <w:tcPr>
            <w:tcW w:w="250" w:type="pct"/>
            <w:tcBorders>
              <w:top w:val="nil"/>
              <w:left w:val="nil"/>
              <w:bottom w:val="single" w:sz="12" w:space="0" w:color="95D600"/>
              <w:right w:val="nil"/>
            </w:tcBorders>
            <w:shd w:val="clear" w:color="000000" w:fill="036479"/>
            <w:vAlign w:val="center"/>
            <w:hideMark/>
          </w:tcPr>
          <w:p w14:paraId="3666DC43" w14:textId="77777777"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Units</w:t>
            </w:r>
          </w:p>
        </w:tc>
        <w:tc>
          <w:tcPr>
            <w:tcW w:w="393" w:type="pct"/>
            <w:tcBorders>
              <w:top w:val="nil"/>
              <w:left w:val="nil"/>
              <w:bottom w:val="single" w:sz="12" w:space="0" w:color="95D600"/>
              <w:right w:val="nil"/>
            </w:tcBorders>
            <w:shd w:val="clear" w:color="000000" w:fill="036479"/>
            <w:vAlign w:val="center"/>
            <w:hideMark/>
          </w:tcPr>
          <w:p w14:paraId="231CD1AE" w14:textId="21895962"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Quantity</w:t>
            </w:r>
          </w:p>
        </w:tc>
        <w:tc>
          <w:tcPr>
            <w:tcW w:w="429" w:type="pct"/>
            <w:tcBorders>
              <w:top w:val="nil"/>
              <w:left w:val="nil"/>
              <w:bottom w:val="single" w:sz="12" w:space="0" w:color="95D600"/>
              <w:right w:val="nil"/>
            </w:tcBorders>
            <w:shd w:val="clear" w:color="000000" w:fill="036479"/>
            <w:vAlign w:val="center"/>
            <w:hideMark/>
          </w:tcPr>
          <w:p w14:paraId="23A4C3CC" w14:textId="2C59AE3A"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Effective Useful Life</w:t>
            </w:r>
          </w:p>
        </w:tc>
        <w:tc>
          <w:tcPr>
            <w:tcW w:w="569" w:type="pct"/>
            <w:tcBorders>
              <w:top w:val="nil"/>
              <w:left w:val="nil"/>
              <w:bottom w:val="single" w:sz="12" w:space="0" w:color="95D600"/>
              <w:right w:val="nil"/>
            </w:tcBorders>
            <w:shd w:val="clear" w:color="000000" w:fill="036479"/>
            <w:vAlign w:val="center"/>
            <w:hideMark/>
          </w:tcPr>
          <w:p w14:paraId="02F83CCF" w14:textId="79E0B00B"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Ex Ante Gross Savings (Therms)</w:t>
            </w:r>
          </w:p>
        </w:tc>
        <w:tc>
          <w:tcPr>
            <w:tcW w:w="568" w:type="pct"/>
            <w:tcBorders>
              <w:top w:val="nil"/>
              <w:left w:val="nil"/>
              <w:bottom w:val="single" w:sz="12" w:space="0" w:color="95D600"/>
              <w:right w:val="nil"/>
            </w:tcBorders>
            <w:shd w:val="clear" w:color="000000" w:fill="036479"/>
            <w:vAlign w:val="center"/>
            <w:hideMark/>
          </w:tcPr>
          <w:p w14:paraId="0841808F" w14:textId="7F25B71E"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Verified Gross Savings (Therms)</w:t>
            </w:r>
          </w:p>
        </w:tc>
        <w:tc>
          <w:tcPr>
            <w:tcW w:w="547" w:type="pct"/>
            <w:tcBorders>
              <w:top w:val="nil"/>
              <w:left w:val="nil"/>
              <w:bottom w:val="single" w:sz="12" w:space="0" w:color="95D600"/>
              <w:right w:val="nil"/>
            </w:tcBorders>
            <w:shd w:val="clear" w:color="000000" w:fill="036479"/>
            <w:vAlign w:val="center"/>
            <w:hideMark/>
          </w:tcPr>
          <w:p w14:paraId="53ED99A2" w14:textId="3C4E8807" w:rsidR="00CC1DE5" w:rsidRPr="00E65743" w:rsidRDefault="00CC1DE5" w:rsidP="00791CB8">
            <w:pPr>
              <w:suppressAutoHyphens w:val="0"/>
              <w:autoSpaceDN/>
              <w:spacing w:before="0" w:after="0"/>
              <w:jc w:val="center"/>
              <w:rPr>
                <w:rFonts w:ascii="Arial Narrow" w:hAnsi="Arial Narrow" w:cs="Calibri"/>
                <w:color w:val="FFFFFF"/>
                <w:sz w:val="20"/>
                <w:szCs w:val="20"/>
              </w:rPr>
            </w:pPr>
            <w:r w:rsidRPr="00E65743">
              <w:rPr>
                <w:rFonts w:ascii="Arial Narrow" w:hAnsi="Arial Narrow" w:cs="Calibri"/>
                <w:color w:val="FFFFFF"/>
                <w:sz w:val="20"/>
                <w:szCs w:val="20"/>
              </w:rPr>
              <w:t>Verified Net Savings (Therms)</w:t>
            </w:r>
          </w:p>
        </w:tc>
      </w:tr>
      <w:tr w:rsidR="00D80A0A" w:rsidRPr="00E65743" w14:paraId="26C8F81D" w14:textId="77777777" w:rsidTr="00791CB8">
        <w:tc>
          <w:tcPr>
            <w:tcW w:w="532" w:type="pct"/>
            <w:tcBorders>
              <w:top w:val="nil"/>
              <w:left w:val="nil"/>
              <w:bottom w:val="single" w:sz="8" w:space="0" w:color="B3EFFD"/>
              <w:right w:val="nil"/>
            </w:tcBorders>
            <w:shd w:val="clear" w:color="000000" w:fill="FFFFFF"/>
            <w:vAlign w:val="center"/>
            <w:hideMark/>
          </w:tcPr>
          <w:p w14:paraId="73BFDC1C" w14:textId="4E65D8B7" w:rsidR="00CC1DE5" w:rsidRPr="00E65743" w:rsidRDefault="00CC1DE5" w:rsidP="00791CB8">
            <w:pPr>
              <w:suppressAutoHyphens w:val="0"/>
              <w:autoSpaceDN/>
              <w:spacing w:before="0" w:after="0"/>
              <w:rPr>
                <w:rFonts w:ascii="Arial Narrow" w:hAnsi="Arial Narrow" w:cs="Calibri"/>
                <w:b/>
                <w:bCs/>
                <w:color w:val="000000"/>
                <w:sz w:val="20"/>
                <w:szCs w:val="20"/>
              </w:rPr>
            </w:pPr>
            <w:r w:rsidRPr="00E65743">
              <w:rPr>
                <w:rFonts w:ascii="Arial Narrow" w:hAnsi="Arial Narrow" w:cs="Calibri"/>
                <w:b/>
                <w:bCs/>
                <w:color w:val="000000"/>
                <w:sz w:val="20"/>
                <w:szCs w:val="20"/>
              </w:rPr>
              <w:t>Multi-Family</w:t>
            </w:r>
          </w:p>
        </w:tc>
        <w:tc>
          <w:tcPr>
            <w:tcW w:w="445" w:type="pct"/>
            <w:tcBorders>
              <w:top w:val="nil"/>
              <w:left w:val="nil"/>
              <w:bottom w:val="single" w:sz="8" w:space="0" w:color="B3EFFD"/>
              <w:right w:val="nil"/>
            </w:tcBorders>
            <w:shd w:val="clear" w:color="auto" w:fill="auto"/>
            <w:vAlign w:val="center"/>
            <w:hideMark/>
          </w:tcPr>
          <w:p w14:paraId="226C10E4"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Income Eligible</w:t>
            </w:r>
          </w:p>
        </w:tc>
        <w:tc>
          <w:tcPr>
            <w:tcW w:w="1267" w:type="pct"/>
            <w:tcBorders>
              <w:top w:val="nil"/>
              <w:left w:val="nil"/>
              <w:bottom w:val="single" w:sz="8" w:space="0" w:color="B3EFFD"/>
              <w:right w:val="nil"/>
            </w:tcBorders>
            <w:shd w:val="clear" w:color="000000" w:fill="FFFFFF"/>
            <w:noWrap/>
            <w:vAlign w:val="center"/>
            <w:hideMark/>
          </w:tcPr>
          <w:p w14:paraId="26D0B1E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Attic Insulation</w:t>
            </w:r>
          </w:p>
        </w:tc>
        <w:tc>
          <w:tcPr>
            <w:tcW w:w="250" w:type="pct"/>
            <w:tcBorders>
              <w:top w:val="nil"/>
              <w:left w:val="nil"/>
              <w:bottom w:val="single" w:sz="8" w:space="0" w:color="B3EFFD"/>
              <w:right w:val="nil"/>
            </w:tcBorders>
            <w:shd w:val="clear" w:color="000000" w:fill="FFFFFF"/>
            <w:noWrap/>
            <w:vAlign w:val="center"/>
            <w:hideMark/>
          </w:tcPr>
          <w:p w14:paraId="2F45B1CD"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Sq Ft</w:t>
            </w:r>
          </w:p>
        </w:tc>
        <w:tc>
          <w:tcPr>
            <w:tcW w:w="393" w:type="pct"/>
            <w:tcBorders>
              <w:top w:val="nil"/>
              <w:left w:val="nil"/>
              <w:bottom w:val="single" w:sz="8" w:space="0" w:color="B3EFFD"/>
              <w:right w:val="nil"/>
            </w:tcBorders>
            <w:shd w:val="clear" w:color="000000" w:fill="FFFFFF"/>
            <w:noWrap/>
            <w:vAlign w:val="center"/>
            <w:hideMark/>
          </w:tcPr>
          <w:p w14:paraId="1FC2D8DF" w14:textId="7885BF6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1,121,745</w:t>
            </w:r>
          </w:p>
        </w:tc>
        <w:tc>
          <w:tcPr>
            <w:tcW w:w="429" w:type="pct"/>
            <w:tcBorders>
              <w:top w:val="nil"/>
              <w:left w:val="nil"/>
              <w:bottom w:val="single" w:sz="8" w:space="0" w:color="B3EFFD"/>
              <w:right w:val="nil"/>
            </w:tcBorders>
            <w:shd w:val="clear" w:color="000000" w:fill="FFFFFF"/>
            <w:noWrap/>
            <w:vAlign w:val="center"/>
            <w:hideMark/>
          </w:tcPr>
          <w:p w14:paraId="11069CDC" w14:textId="754AA05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45BC6017" w14:textId="4EE2A90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650,034</w:t>
            </w:r>
          </w:p>
        </w:tc>
        <w:tc>
          <w:tcPr>
            <w:tcW w:w="568" w:type="pct"/>
            <w:tcBorders>
              <w:top w:val="nil"/>
              <w:left w:val="nil"/>
              <w:bottom w:val="single" w:sz="8" w:space="0" w:color="B3EFFD"/>
              <w:right w:val="nil"/>
            </w:tcBorders>
            <w:shd w:val="clear" w:color="auto" w:fill="auto"/>
            <w:vAlign w:val="center"/>
            <w:hideMark/>
          </w:tcPr>
          <w:p w14:paraId="66BF26B9" w14:textId="3853070A"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650,034</w:t>
            </w:r>
          </w:p>
        </w:tc>
        <w:tc>
          <w:tcPr>
            <w:tcW w:w="547" w:type="pct"/>
            <w:tcBorders>
              <w:top w:val="nil"/>
              <w:left w:val="nil"/>
              <w:bottom w:val="single" w:sz="8" w:space="0" w:color="B3EFFD"/>
              <w:right w:val="nil"/>
            </w:tcBorders>
            <w:shd w:val="clear" w:color="000000" w:fill="FFFFFF"/>
            <w:noWrap/>
            <w:vAlign w:val="center"/>
            <w:hideMark/>
          </w:tcPr>
          <w:p w14:paraId="4E3D7547" w14:textId="4FC41DA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650,034</w:t>
            </w:r>
          </w:p>
        </w:tc>
      </w:tr>
      <w:tr w:rsidR="00D80A0A" w:rsidRPr="00E65743" w14:paraId="411CE227" w14:textId="77777777" w:rsidTr="00791CB8">
        <w:tc>
          <w:tcPr>
            <w:tcW w:w="532" w:type="pct"/>
            <w:tcBorders>
              <w:top w:val="nil"/>
              <w:left w:val="nil"/>
              <w:bottom w:val="single" w:sz="8" w:space="0" w:color="B3EFFD"/>
              <w:right w:val="nil"/>
            </w:tcBorders>
            <w:shd w:val="clear" w:color="000000" w:fill="FFFFFF"/>
            <w:vAlign w:val="center"/>
            <w:hideMark/>
          </w:tcPr>
          <w:p w14:paraId="06E349C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58921795"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779F831F"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Steam Traps</w:t>
            </w:r>
          </w:p>
        </w:tc>
        <w:tc>
          <w:tcPr>
            <w:tcW w:w="250" w:type="pct"/>
            <w:tcBorders>
              <w:top w:val="nil"/>
              <w:left w:val="nil"/>
              <w:bottom w:val="single" w:sz="8" w:space="0" w:color="B3EFFD"/>
              <w:right w:val="nil"/>
            </w:tcBorders>
            <w:shd w:val="clear" w:color="000000" w:fill="FFFFFF"/>
            <w:noWrap/>
            <w:vAlign w:val="center"/>
            <w:hideMark/>
          </w:tcPr>
          <w:p w14:paraId="3D762DDA"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79C9EC1E" w14:textId="3FA4599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2,210</w:t>
            </w:r>
          </w:p>
        </w:tc>
        <w:tc>
          <w:tcPr>
            <w:tcW w:w="429" w:type="pct"/>
            <w:tcBorders>
              <w:top w:val="nil"/>
              <w:left w:val="nil"/>
              <w:bottom w:val="single" w:sz="8" w:space="0" w:color="B3EFFD"/>
              <w:right w:val="nil"/>
            </w:tcBorders>
            <w:shd w:val="clear" w:color="000000" w:fill="FFFFFF"/>
            <w:noWrap/>
            <w:vAlign w:val="center"/>
            <w:hideMark/>
          </w:tcPr>
          <w:p w14:paraId="527438A1" w14:textId="5C2574D2"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6.0</w:t>
            </w:r>
          </w:p>
        </w:tc>
        <w:tc>
          <w:tcPr>
            <w:tcW w:w="569" w:type="pct"/>
            <w:tcBorders>
              <w:top w:val="nil"/>
              <w:left w:val="nil"/>
              <w:bottom w:val="single" w:sz="8" w:space="0" w:color="B3EFFD"/>
              <w:right w:val="nil"/>
            </w:tcBorders>
            <w:shd w:val="clear" w:color="000000" w:fill="FFFFFF"/>
            <w:vAlign w:val="center"/>
            <w:hideMark/>
          </w:tcPr>
          <w:p w14:paraId="4FAD4A89" w14:textId="1A10456A"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336,882</w:t>
            </w:r>
          </w:p>
        </w:tc>
        <w:tc>
          <w:tcPr>
            <w:tcW w:w="568" w:type="pct"/>
            <w:tcBorders>
              <w:top w:val="nil"/>
              <w:left w:val="nil"/>
              <w:bottom w:val="single" w:sz="8" w:space="0" w:color="B3EFFD"/>
              <w:right w:val="nil"/>
            </w:tcBorders>
            <w:shd w:val="clear" w:color="auto" w:fill="auto"/>
            <w:vAlign w:val="center"/>
            <w:hideMark/>
          </w:tcPr>
          <w:p w14:paraId="46113FA3" w14:textId="28023C5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336,683</w:t>
            </w:r>
          </w:p>
        </w:tc>
        <w:tc>
          <w:tcPr>
            <w:tcW w:w="547" w:type="pct"/>
            <w:tcBorders>
              <w:top w:val="nil"/>
              <w:left w:val="nil"/>
              <w:bottom w:val="single" w:sz="8" w:space="0" w:color="B3EFFD"/>
              <w:right w:val="nil"/>
            </w:tcBorders>
            <w:shd w:val="clear" w:color="000000" w:fill="FFFFFF"/>
            <w:noWrap/>
            <w:vAlign w:val="center"/>
            <w:hideMark/>
          </w:tcPr>
          <w:p w14:paraId="1EC33033" w14:textId="4377D92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336,683</w:t>
            </w:r>
          </w:p>
        </w:tc>
      </w:tr>
      <w:tr w:rsidR="00D80A0A" w:rsidRPr="00E65743" w14:paraId="528374C2" w14:textId="77777777" w:rsidTr="00791CB8">
        <w:tc>
          <w:tcPr>
            <w:tcW w:w="532" w:type="pct"/>
            <w:tcBorders>
              <w:top w:val="nil"/>
              <w:left w:val="nil"/>
              <w:bottom w:val="single" w:sz="8" w:space="0" w:color="B3EFFD"/>
              <w:right w:val="nil"/>
            </w:tcBorders>
            <w:shd w:val="clear" w:color="000000" w:fill="FFFFFF"/>
            <w:vAlign w:val="center"/>
            <w:hideMark/>
          </w:tcPr>
          <w:p w14:paraId="0C1CD2E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48D3AE80"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7BDA426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Steam Pipe Insulation</w:t>
            </w:r>
          </w:p>
        </w:tc>
        <w:tc>
          <w:tcPr>
            <w:tcW w:w="250" w:type="pct"/>
            <w:tcBorders>
              <w:top w:val="nil"/>
              <w:left w:val="nil"/>
              <w:bottom w:val="single" w:sz="8" w:space="0" w:color="B3EFFD"/>
              <w:right w:val="nil"/>
            </w:tcBorders>
            <w:shd w:val="clear" w:color="000000" w:fill="FFFFFF"/>
            <w:noWrap/>
            <w:vAlign w:val="center"/>
            <w:hideMark/>
          </w:tcPr>
          <w:p w14:paraId="7F319A4A"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Ln Ft</w:t>
            </w:r>
          </w:p>
        </w:tc>
        <w:tc>
          <w:tcPr>
            <w:tcW w:w="393" w:type="pct"/>
            <w:tcBorders>
              <w:top w:val="nil"/>
              <w:left w:val="nil"/>
              <w:bottom w:val="single" w:sz="8" w:space="0" w:color="B3EFFD"/>
              <w:right w:val="nil"/>
            </w:tcBorders>
            <w:shd w:val="clear" w:color="000000" w:fill="FFFFFF"/>
            <w:noWrap/>
            <w:vAlign w:val="center"/>
            <w:hideMark/>
          </w:tcPr>
          <w:p w14:paraId="2CF91048" w14:textId="7F64864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35,740</w:t>
            </w:r>
          </w:p>
        </w:tc>
        <w:tc>
          <w:tcPr>
            <w:tcW w:w="429" w:type="pct"/>
            <w:tcBorders>
              <w:top w:val="nil"/>
              <w:left w:val="nil"/>
              <w:bottom w:val="single" w:sz="8" w:space="0" w:color="B3EFFD"/>
              <w:right w:val="nil"/>
            </w:tcBorders>
            <w:shd w:val="clear" w:color="000000" w:fill="FFFFFF"/>
            <w:noWrap/>
            <w:vAlign w:val="center"/>
            <w:hideMark/>
          </w:tcPr>
          <w:p w14:paraId="69F25652" w14:textId="3442546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15.0</w:t>
            </w:r>
          </w:p>
        </w:tc>
        <w:tc>
          <w:tcPr>
            <w:tcW w:w="569" w:type="pct"/>
            <w:tcBorders>
              <w:top w:val="nil"/>
              <w:left w:val="nil"/>
              <w:bottom w:val="single" w:sz="8" w:space="0" w:color="B3EFFD"/>
              <w:right w:val="nil"/>
            </w:tcBorders>
            <w:shd w:val="clear" w:color="000000" w:fill="FFFFFF"/>
            <w:vAlign w:val="center"/>
            <w:hideMark/>
          </w:tcPr>
          <w:p w14:paraId="10E68286" w14:textId="3FC46F8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293,619</w:t>
            </w:r>
          </w:p>
        </w:tc>
        <w:tc>
          <w:tcPr>
            <w:tcW w:w="568" w:type="pct"/>
            <w:tcBorders>
              <w:top w:val="nil"/>
              <w:left w:val="nil"/>
              <w:bottom w:val="single" w:sz="8" w:space="0" w:color="B3EFFD"/>
              <w:right w:val="nil"/>
            </w:tcBorders>
            <w:shd w:val="clear" w:color="auto" w:fill="auto"/>
            <w:vAlign w:val="center"/>
            <w:hideMark/>
          </w:tcPr>
          <w:p w14:paraId="762A1662" w14:textId="62ECDD26"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293,619</w:t>
            </w:r>
          </w:p>
        </w:tc>
        <w:tc>
          <w:tcPr>
            <w:tcW w:w="547" w:type="pct"/>
            <w:tcBorders>
              <w:top w:val="nil"/>
              <w:left w:val="nil"/>
              <w:bottom w:val="single" w:sz="8" w:space="0" w:color="B3EFFD"/>
              <w:right w:val="nil"/>
            </w:tcBorders>
            <w:shd w:val="clear" w:color="000000" w:fill="FFFFFF"/>
            <w:noWrap/>
            <w:vAlign w:val="center"/>
            <w:hideMark/>
          </w:tcPr>
          <w:p w14:paraId="47A9A749" w14:textId="209804C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293,619</w:t>
            </w:r>
          </w:p>
        </w:tc>
      </w:tr>
      <w:tr w:rsidR="00D80A0A" w:rsidRPr="00E65743" w14:paraId="35F9F9AC" w14:textId="77777777" w:rsidTr="00791CB8">
        <w:tc>
          <w:tcPr>
            <w:tcW w:w="532" w:type="pct"/>
            <w:tcBorders>
              <w:top w:val="nil"/>
              <w:left w:val="nil"/>
              <w:bottom w:val="single" w:sz="8" w:space="0" w:color="B3EFFD"/>
              <w:right w:val="nil"/>
            </w:tcBorders>
            <w:shd w:val="clear" w:color="000000" w:fill="FFFFFF"/>
            <w:vAlign w:val="center"/>
            <w:hideMark/>
          </w:tcPr>
          <w:p w14:paraId="18231D2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16214EFC"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16DFE4C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On Demand DHW Control</w:t>
            </w:r>
          </w:p>
        </w:tc>
        <w:tc>
          <w:tcPr>
            <w:tcW w:w="250" w:type="pct"/>
            <w:tcBorders>
              <w:top w:val="nil"/>
              <w:left w:val="nil"/>
              <w:bottom w:val="single" w:sz="8" w:space="0" w:color="B3EFFD"/>
              <w:right w:val="nil"/>
            </w:tcBorders>
            <w:shd w:val="clear" w:color="000000" w:fill="FFFFFF"/>
            <w:noWrap/>
            <w:vAlign w:val="center"/>
            <w:hideMark/>
          </w:tcPr>
          <w:p w14:paraId="265867DB"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289513ED" w14:textId="74F79BDA"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2,108</w:t>
            </w:r>
          </w:p>
        </w:tc>
        <w:tc>
          <w:tcPr>
            <w:tcW w:w="429" w:type="pct"/>
            <w:tcBorders>
              <w:top w:val="nil"/>
              <w:left w:val="nil"/>
              <w:bottom w:val="single" w:sz="8" w:space="0" w:color="B3EFFD"/>
              <w:right w:val="nil"/>
            </w:tcBorders>
            <w:shd w:val="clear" w:color="000000" w:fill="FFFFFF"/>
            <w:noWrap/>
            <w:vAlign w:val="center"/>
            <w:hideMark/>
          </w:tcPr>
          <w:p w14:paraId="7A2A3CFE" w14:textId="0A7A08E8"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15.0</w:t>
            </w:r>
          </w:p>
        </w:tc>
        <w:tc>
          <w:tcPr>
            <w:tcW w:w="569" w:type="pct"/>
            <w:tcBorders>
              <w:top w:val="nil"/>
              <w:left w:val="nil"/>
              <w:bottom w:val="single" w:sz="8" w:space="0" w:color="B3EFFD"/>
              <w:right w:val="nil"/>
            </w:tcBorders>
            <w:shd w:val="clear" w:color="000000" w:fill="FFFFFF"/>
            <w:vAlign w:val="center"/>
            <w:hideMark/>
          </w:tcPr>
          <w:p w14:paraId="4172CA91" w14:textId="511243EA"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132,172</w:t>
            </w:r>
          </w:p>
        </w:tc>
        <w:tc>
          <w:tcPr>
            <w:tcW w:w="568" w:type="pct"/>
            <w:tcBorders>
              <w:top w:val="nil"/>
              <w:left w:val="nil"/>
              <w:bottom w:val="single" w:sz="8" w:space="0" w:color="B3EFFD"/>
              <w:right w:val="nil"/>
            </w:tcBorders>
            <w:shd w:val="clear" w:color="auto" w:fill="auto"/>
            <w:vAlign w:val="center"/>
            <w:hideMark/>
          </w:tcPr>
          <w:p w14:paraId="6BD204E6" w14:textId="39DC7F76"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132,172</w:t>
            </w:r>
          </w:p>
        </w:tc>
        <w:tc>
          <w:tcPr>
            <w:tcW w:w="547" w:type="pct"/>
            <w:tcBorders>
              <w:top w:val="nil"/>
              <w:left w:val="nil"/>
              <w:bottom w:val="single" w:sz="8" w:space="0" w:color="B3EFFD"/>
              <w:right w:val="nil"/>
            </w:tcBorders>
            <w:shd w:val="clear" w:color="000000" w:fill="FFFFFF"/>
            <w:noWrap/>
            <w:vAlign w:val="center"/>
            <w:hideMark/>
          </w:tcPr>
          <w:p w14:paraId="7312DECB" w14:textId="72839C4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132,172</w:t>
            </w:r>
          </w:p>
        </w:tc>
      </w:tr>
      <w:tr w:rsidR="00D80A0A" w:rsidRPr="00E65743" w14:paraId="4A064E5C" w14:textId="77777777" w:rsidTr="00791CB8">
        <w:tc>
          <w:tcPr>
            <w:tcW w:w="532" w:type="pct"/>
            <w:tcBorders>
              <w:top w:val="nil"/>
              <w:left w:val="nil"/>
              <w:bottom w:val="single" w:sz="8" w:space="0" w:color="B3EFFD"/>
              <w:right w:val="nil"/>
            </w:tcBorders>
            <w:shd w:val="clear" w:color="000000" w:fill="FFFFFF"/>
            <w:vAlign w:val="center"/>
            <w:hideMark/>
          </w:tcPr>
          <w:p w14:paraId="51EC12ED"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689EE6F6"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330F558B"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Boiler Tune Up</w:t>
            </w:r>
          </w:p>
        </w:tc>
        <w:tc>
          <w:tcPr>
            <w:tcW w:w="250" w:type="pct"/>
            <w:tcBorders>
              <w:top w:val="nil"/>
              <w:left w:val="nil"/>
              <w:bottom w:val="single" w:sz="8" w:space="0" w:color="B3EFFD"/>
              <w:right w:val="nil"/>
            </w:tcBorders>
            <w:shd w:val="clear" w:color="000000" w:fill="FFFFFF"/>
            <w:noWrap/>
            <w:vAlign w:val="center"/>
            <w:hideMark/>
          </w:tcPr>
          <w:p w14:paraId="6E5177BB"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466B30A7" w14:textId="57D0C98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157</w:t>
            </w:r>
          </w:p>
        </w:tc>
        <w:tc>
          <w:tcPr>
            <w:tcW w:w="429" w:type="pct"/>
            <w:tcBorders>
              <w:top w:val="nil"/>
              <w:left w:val="nil"/>
              <w:bottom w:val="single" w:sz="8" w:space="0" w:color="B3EFFD"/>
              <w:right w:val="nil"/>
            </w:tcBorders>
            <w:shd w:val="clear" w:color="000000" w:fill="FFFFFF"/>
            <w:noWrap/>
            <w:vAlign w:val="center"/>
            <w:hideMark/>
          </w:tcPr>
          <w:p w14:paraId="193649EA" w14:textId="0AE6121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3.0</w:t>
            </w:r>
          </w:p>
        </w:tc>
        <w:tc>
          <w:tcPr>
            <w:tcW w:w="569" w:type="pct"/>
            <w:tcBorders>
              <w:top w:val="nil"/>
              <w:left w:val="nil"/>
              <w:bottom w:val="single" w:sz="8" w:space="0" w:color="B3EFFD"/>
              <w:right w:val="nil"/>
            </w:tcBorders>
            <w:shd w:val="clear" w:color="000000" w:fill="FFFFFF"/>
            <w:vAlign w:val="center"/>
            <w:hideMark/>
          </w:tcPr>
          <w:p w14:paraId="52BE6847" w14:textId="1477AFE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93,730</w:t>
            </w:r>
          </w:p>
        </w:tc>
        <w:tc>
          <w:tcPr>
            <w:tcW w:w="568" w:type="pct"/>
            <w:tcBorders>
              <w:top w:val="nil"/>
              <w:left w:val="nil"/>
              <w:bottom w:val="single" w:sz="8" w:space="0" w:color="B3EFFD"/>
              <w:right w:val="nil"/>
            </w:tcBorders>
            <w:shd w:val="clear" w:color="auto" w:fill="auto"/>
            <w:vAlign w:val="center"/>
            <w:hideMark/>
          </w:tcPr>
          <w:p w14:paraId="6DB35690" w14:textId="2F1CAF6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93,730</w:t>
            </w:r>
          </w:p>
        </w:tc>
        <w:tc>
          <w:tcPr>
            <w:tcW w:w="547" w:type="pct"/>
            <w:tcBorders>
              <w:top w:val="nil"/>
              <w:left w:val="nil"/>
              <w:bottom w:val="single" w:sz="8" w:space="0" w:color="B3EFFD"/>
              <w:right w:val="nil"/>
            </w:tcBorders>
            <w:shd w:val="clear" w:color="000000" w:fill="FFFFFF"/>
            <w:noWrap/>
            <w:vAlign w:val="center"/>
            <w:hideMark/>
          </w:tcPr>
          <w:p w14:paraId="140CCC4C" w14:textId="62C3637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93,730</w:t>
            </w:r>
          </w:p>
        </w:tc>
      </w:tr>
      <w:tr w:rsidR="00D80A0A" w:rsidRPr="00E65743" w14:paraId="396F3363" w14:textId="77777777" w:rsidTr="00791CB8">
        <w:tc>
          <w:tcPr>
            <w:tcW w:w="532" w:type="pct"/>
            <w:tcBorders>
              <w:top w:val="nil"/>
              <w:left w:val="nil"/>
              <w:bottom w:val="single" w:sz="8" w:space="0" w:color="B3EFFD"/>
              <w:right w:val="nil"/>
            </w:tcBorders>
            <w:shd w:val="clear" w:color="000000" w:fill="FFFFFF"/>
            <w:vAlign w:val="center"/>
            <w:hideMark/>
          </w:tcPr>
          <w:p w14:paraId="6EF8F596"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5FF2775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73D974E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Steam Pipe Averaging Controls</w:t>
            </w:r>
          </w:p>
        </w:tc>
        <w:tc>
          <w:tcPr>
            <w:tcW w:w="250" w:type="pct"/>
            <w:tcBorders>
              <w:top w:val="nil"/>
              <w:left w:val="nil"/>
              <w:bottom w:val="single" w:sz="8" w:space="0" w:color="B3EFFD"/>
              <w:right w:val="nil"/>
            </w:tcBorders>
            <w:shd w:val="clear" w:color="000000" w:fill="FFFFFF"/>
            <w:noWrap/>
            <w:vAlign w:val="center"/>
            <w:hideMark/>
          </w:tcPr>
          <w:p w14:paraId="7866F7D7"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213EF436" w14:textId="2303B60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1,442</w:t>
            </w:r>
          </w:p>
        </w:tc>
        <w:tc>
          <w:tcPr>
            <w:tcW w:w="429" w:type="pct"/>
            <w:tcBorders>
              <w:top w:val="nil"/>
              <w:left w:val="nil"/>
              <w:bottom w:val="single" w:sz="8" w:space="0" w:color="B3EFFD"/>
              <w:right w:val="nil"/>
            </w:tcBorders>
            <w:shd w:val="clear" w:color="000000" w:fill="FFFFFF"/>
            <w:noWrap/>
            <w:vAlign w:val="center"/>
            <w:hideMark/>
          </w:tcPr>
          <w:p w14:paraId="072B6DE6" w14:textId="269F6D2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2823BF76" w14:textId="184CC84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88,136</w:t>
            </w:r>
          </w:p>
        </w:tc>
        <w:tc>
          <w:tcPr>
            <w:tcW w:w="568" w:type="pct"/>
            <w:tcBorders>
              <w:top w:val="nil"/>
              <w:left w:val="nil"/>
              <w:bottom w:val="single" w:sz="8" w:space="0" w:color="B3EFFD"/>
              <w:right w:val="nil"/>
            </w:tcBorders>
            <w:shd w:val="clear" w:color="auto" w:fill="auto"/>
            <w:vAlign w:val="center"/>
            <w:hideMark/>
          </w:tcPr>
          <w:p w14:paraId="7E74E077" w14:textId="0F6B681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88,089</w:t>
            </w:r>
          </w:p>
        </w:tc>
        <w:tc>
          <w:tcPr>
            <w:tcW w:w="547" w:type="pct"/>
            <w:tcBorders>
              <w:top w:val="nil"/>
              <w:left w:val="nil"/>
              <w:bottom w:val="single" w:sz="8" w:space="0" w:color="B3EFFD"/>
              <w:right w:val="nil"/>
            </w:tcBorders>
            <w:shd w:val="clear" w:color="000000" w:fill="FFFFFF"/>
            <w:noWrap/>
            <w:vAlign w:val="center"/>
            <w:hideMark/>
          </w:tcPr>
          <w:p w14:paraId="64D423D3" w14:textId="2DB9D64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88,089</w:t>
            </w:r>
          </w:p>
        </w:tc>
      </w:tr>
      <w:tr w:rsidR="00D80A0A" w:rsidRPr="00E65743" w14:paraId="7BA020C1" w14:textId="77777777" w:rsidTr="00791CB8">
        <w:tc>
          <w:tcPr>
            <w:tcW w:w="532" w:type="pct"/>
            <w:tcBorders>
              <w:top w:val="nil"/>
              <w:left w:val="nil"/>
              <w:bottom w:val="single" w:sz="8" w:space="0" w:color="B3EFFD"/>
              <w:right w:val="nil"/>
            </w:tcBorders>
            <w:shd w:val="clear" w:color="000000" w:fill="FFFFFF"/>
            <w:vAlign w:val="center"/>
            <w:hideMark/>
          </w:tcPr>
          <w:p w14:paraId="7A133FB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4F805F1E"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0ACDE3AF"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Showerhead (IU)</w:t>
            </w:r>
          </w:p>
        </w:tc>
        <w:tc>
          <w:tcPr>
            <w:tcW w:w="250" w:type="pct"/>
            <w:tcBorders>
              <w:top w:val="nil"/>
              <w:left w:val="nil"/>
              <w:bottom w:val="single" w:sz="8" w:space="0" w:color="B3EFFD"/>
              <w:right w:val="nil"/>
            </w:tcBorders>
            <w:shd w:val="clear" w:color="000000" w:fill="FFFFFF"/>
            <w:noWrap/>
            <w:vAlign w:val="center"/>
            <w:hideMark/>
          </w:tcPr>
          <w:p w14:paraId="17A465A0"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18DB75AE" w14:textId="4BED69F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4,271</w:t>
            </w:r>
          </w:p>
        </w:tc>
        <w:tc>
          <w:tcPr>
            <w:tcW w:w="429" w:type="pct"/>
            <w:tcBorders>
              <w:top w:val="nil"/>
              <w:left w:val="nil"/>
              <w:bottom w:val="single" w:sz="8" w:space="0" w:color="B3EFFD"/>
              <w:right w:val="nil"/>
            </w:tcBorders>
            <w:shd w:val="clear" w:color="000000" w:fill="FFFFFF"/>
            <w:noWrap/>
            <w:vAlign w:val="center"/>
            <w:hideMark/>
          </w:tcPr>
          <w:p w14:paraId="363E63C9" w14:textId="2854B57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10.0</w:t>
            </w:r>
          </w:p>
        </w:tc>
        <w:tc>
          <w:tcPr>
            <w:tcW w:w="569" w:type="pct"/>
            <w:tcBorders>
              <w:top w:val="nil"/>
              <w:left w:val="nil"/>
              <w:bottom w:val="single" w:sz="8" w:space="0" w:color="B3EFFD"/>
              <w:right w:val="nil"/>
            </w:tcBorders>
            <w:shd w:val="clear" w:color="000000" w:fill="FFFFFF"/>
            <w:vAlign w:val="center"/>
            <w:hideMark/>
          </w:tcPr>
          <w:p w14:paraId="1286EC1E" w14:textId="4D81336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52,799</w:t>
            </w:r>
          </w:p>
        </w:tc>
        <w:tc>
          <w:tcPr>
            <w:tcW w:w="568" w:type="pct"/>
            <w:tcBorders>
              <w:top w:val="nil"/>
              <w:left w:val="nil"/>
              <w:bottom w:val="single" w:sz="8" w:space="0" w:color="B3EFFD"/>
              <w:right w:val="nil"/>
            </w:tcBorders>
            <w:shd w:val="clear" w:color="auto" w:fill="auto"/>
            <w:vAlign w:val="center"/>
            <w:hideMark/>
          </w:tcPr>
          <w:p w14:paraId="5D1CE30F" w14:textId="714585E8"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52,782</w:t>
            </w:r>
          </w:p>
        </w:tc>
        <w:tc>
          <w:tcPr>
            <w:tcW w:w="547" w:type="pct"/>
            <w:tcBorders>
              <w:top w:val="nil"/>
              <w:left w:val="nil"/>
              <w:bottom w:val="single" w:sz="8" w:space="0" w:color="B3EFFD"/>
              <w:right w:val="nil"/>
            </w:tcBorders>
            <w:shd w:val="clear" w:color="000000" w:fill="FFFFFF"/>
            <w:noWrap/>
            <w:vAlign w:val="center"/>
            <w:hideMark/>
          </w:tcPr>
          <w:p w14:paraId="383F9E13" w14:textId="0BC33C9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52,782</w:t>
            </w:r>
          </w:p>
        </w:tc>
      </w:tr>
      <w:tr w:rsidR="00D80A0A" w:rsidRPr="00E65743" w14:paraId="032E730D" w14:textId="77777777" w:rsidTr="00791CB8">
        <w:tc>
          <w:tcPr>
            <w:tcW w:w="532" w:type="pct"/>
            <w:tcBorders>
              <w:top w:val="nil"/>
              <w:left w:val="nil"/>
              <w:bottom w:val="single" w:sz="8" w:space="0" w:color="B3EFFD"/>
              <w:right w:val="nil"/>
            </w:tcBorders>
            <w:shd w:val="clear" w:color="000000" w:fill="FFFFFF"/>
            <w:vAlign w:val="center"/>
            <w:hideMark/>
          </w:tcPr>
          <w:p w14:paraId="491594DB"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5BFC826E"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01248CE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High Efficiency Boiler</w:t>
            </w:r>
          </w:p>
        </w:tc>
        <w:tc>
          <w:tcPr>
            <w:tcW w:w="250" w:type="pct"/>
            <w:tcBorders>
              <w:top w:val="nil"/>
              <w:left w:val="nil"/>
              <w:bottom w:val="single" w:sz="8" w:space="0" w:color="B3EFFD"/>
              <w:right w:val="nil"/>
            </w:tcBorders>
            <w:shd w:val="clear" w:color="000000" w:fill="FFFFFF"/>
            <w:noWrap/>
            <w:vAlign w:val="center"/>
            <w:hideMark/>
          </w:tcPr>
          <w:p w14:paraId="723D622F" w14:textId="75855938" w:rsidR="00CC1DE5" w:rsidRPr="00E65743" w:rsidRDefault="00DA058A" w:rsidP="00791CB8">
            <w:pPr>
              <w:suppressAutoHyphens w:val="0"/>
              <w:autoSpaceDN/>
              <w:spacing w:before="0" w:after="0"/>
              <w:jc w:val="center"/>
              <w:rPr>
                <w:rFonts w:ascii="Arial Narrow" w:hAnsi="Arial Narrow" w:cs="Calibri"/>
                <w:color w:val="000000"/>
                <w:sz w:val="20"/>
                <w:szCs w:val="20"/>
              </w:rPr>
            </w:pPr>
            <w:r>
              <w:rPr>
                <w:rFonts w:ascii="Arial Narrow" w:hAnsi="Arial Narrow" w:cs="Calibri"/>
                <w:color w:val="000000"/>
                <w:sz w:val="20"/>
                <w:szCs w:val="20"/>
              </w:rPr>
              <w:t>MBH</w:t>
            </w:r>
          </w:p>
        </w:tc>
        <w:tc>
          <w:tcPr>
            <w:tcW w:w="393" w:type="pct"/>
            <w:tcBorders>
              <w:top w:val="nil"/>
              <w:left w:val="nil"/>
              <w:bottom w:val="single" w:sz="8" w:space="0" w:color="B3EFFD"/>
              <w:right w:val="nil"/>
            </w:tcBorders>
            <w:shd w:val="clear" w:color="000000" w:fill="FFFFFF"/>
            <w:noWrap/>
            <w:vAlign w:val="center"/>
            <w:hideMark/>
          </w:tcPr>
          <w:p w14:paraId="37ECAC19" w14:textId="30BC1E2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12</w:t>
            </w:r>
          </w:p>
        </w:tc>
        <w:tc>
          <w:tcPr>
            <w:tcW w:w="429" w:type="pct"/>
            <w:tcBorders>
              <w:top w:val="nil"/>
              <w:left w:val="nil"/>
              <w:bottom w:val="single" w:sz="8" w:space="0" w:color="B3EFFD"/>
              <w:right w:val="nil"/>
            </w:tcBorders>
            <w:shd w:val="clear" w:color="000000" w:fill="FFFFFF"/>
            <w:noWrap/>
            <w:vAlign w:val="center"/>
            <w:hideMark/>
          </w:tcPr>
          <w:p w14:paraId="0D93063D" w14:textId="6DA81E5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25.0</w:t>
            </w:r>
          </w:p>
        </w:tc>
        <w:tc>
          <w:tcPr>
            <w:tcW w:w="569" w:type="pct"/>
            <w:tcBorders>
              <w:top w:val="nil"/>
              <w:left w:val="nil"/>
              <w:bottom w:val="single" w:sz="8" w:space="0" w:color="B3EFFD"/>
              <w:right w:val="nil"/>
            </w:tcBorders>
            <w:shd w:val="clear" w:color="000000" w:fill="FFFFFF"/>
            <w:vAlign w:val="center"/>
            <w:hideMark/>
          </w:tcPr>
          <w:p w14:paraId="5C630CC1" w14:textId="68875C4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24,306</w:t>
            </w:r>
          </w:p>
        </w:tc>
        <w:tc>
          <w:tcPr>
            <w:tcW w:w="568" w:type="pct"/>
            <w:tcBorders>
              <w:top w:val="nil"/>
              <w:left w:val="nil"/>
              <w:bottom w:val="single" w:sz="8" w:space="0" w:color="B3EFFD"/>
              <w:right w:val="nil"/>
            </w:tcBorders>
            <w:shd w:val="clear" w:color="auto" w:fill="auto"/>
            <w:vAlign w:val="center"/>
            <w:hideMark/>
          </w:tcPr>
          <w:p w14:paraId="5EED2399" w14:textId="74CD49D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24,321</w:t>
            </w:r>
          </w:p>
        </w:tc>
        <w:tc>
          <w:tcPr>
            <w:tcW w:w="547" w:type="pct"/>
            <w:tcBorders>
              <w:top w:val="nil"/>
              <w:left w:val="nil"/>
              <w:bottom w:val="single" w:sz="8" w:space="0" w:color="B3EFFD"/>
              <w:right w:val="nil"/>
            </w:tcBorders>
            <w:shd w:val="clear" w:color="000000" w:fill="FFFFFF"/>
            <w:noWrap/>
            <w:vAlign w:val="center"/>
            <w:hideMark/>
          </w:tcPr>
          <w:p w14:paraId="4A7B9C78" w14:textId="5E16D092"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24,321</w:t>
            </w:r>
          </w:p>
        </w:tc>
      </w:tr>
      <w:tr w:rsidR="00D80A0A" w:rsidRPr="00E65743" w14:paraId="1FC45C94" w14:textId="77777777" w:rsidTr="00791CB8">
        <w:tc>
          <w:tcPr>
            <w:tcW w:w="532" w:type="pct"/>
            <w:tcBorders>
              <w:top w:val="nil"/>
              <w:left w:val="nil"/>
              <w:bottom w:val="single" w:sz="8" w:space="0" w:color="B3EFFD"/>
              <w:right w:val="nil"/>
            </w:tcBorders>
            <w:shd w:val="clear" w:color="000000" w:fill="FFFFFF"/>
            <w:vAlign w:val="center"/>
            <w:hideMark/>
          </w:tcPr>
          <w:p w14:paraId="280069D4"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32E8B506"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24756AD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xml:space="preserve">Covers and Gap Sealers for Room AC </w:t>
            </w:r>
          </w:p>
        </w:tc>
        <w:tc>
          <w:tcPr>
            <w:tcW w:w="250" w:type="pct"/>
            <w:tcBorders>
              <w:top w:val="nil"/>
              <w:left w:val="nil"/>
              <w:bottom w:val="single" w:sz="8" w:space="0" w:color="B3EFFD"/>
              <w:right w:val="nil"/>
            </w:tcBorders>
            <w:shd w:val="clear" w:color="000000" w:fill="FFFFFF"/>
            <w:noWrap/>
            <w:vAlign w:val="center"/>
            <w:hideMark/>
          </w:tcPr>
          <w:p w14:paraId="479094C5"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10A81B2B" w14:textId="072C138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2,222</w:t>
            </w:r>
          </w:p>
        </w:tc>
        <w:tc>
          <w:tcPr>
            <w:tcW w:w="429" w:type="pct"/>
            <w:tcBorders>
              <w:top w:val="nil"/>
              <w:left w:val="nil"/>
              <w:bottom w:val="single" w:sz="8" w:space="0" w:color="B3EFFD"/>
              <w:right w:val="nil"/>
            </w:tcBorders>
            <w:shd w:val="clear" w:color="000000" w:fill="FFFFFF"/>
            <w:noWrap/>
            <w:vAlign w:val="center"/>
            <w:hideMark/>
          </w:tcPr>
          <w:p w14:paraId="1C26ECAE" w14:textId="4B567DB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5.0</w:t>
            </w:r>
          </w:p>
        </w:tc>
        <w:tc>
          <w:tcPr>
            <w:tcW w:w="569" w:type="pct"/>
            <w:tcBorders>
              <w:top w:val="nil"/>
              <w:left w:val="nil"/>
              <w:bottom w:val="single" w:sz="8" w:space="0" w:color="B3EFFD"/>
              <w:right w:val="nil"/>
            </w:tcBorders>
            <w:shd w:val="clear" w:color="000000" w:fill="FFFFFF"/>
            <w:vAlign w:val="center"/>
            <w:hideMark/>
          </w:tcPr>
          <w:p w14:paraId="1C52A18F" w14:textId="65BAD7D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22,986</w:t>
            </w:r>
          </w:p>
        </w:tc>
        <w:tc>
          <w:tcPr>
            <w:tcW w:w="568" w:type="pct"/>
            <w:tcBorders>
              <w:top w:val="nil"/>
              <w:left w:val="nil"/>
              <w:bottom w:val="single" w:sz="8" w:space="0" w:color="B3EFFD"/>
              <w:right w:val="nil"/>
            </w:tcBorders>
            <w:shd w:val="clear" w:color="auto" w:fill="auto"/>
            <w:vAlign w:val="center"/>
            <w:hideMark/>
          </w:tcPr>
          <w:p w14:paraId="290CB654" w14:textId="52BADE7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24,068</w:t>
            </w:r>
          </w:p>
        </w:tc>
        <w:tc>
          <w:tcPr>
            <w:tcW w:w="547" w:type="pct"/>
            <w:tcBorders>
              <w:top w:val="nil"/>
              <w:left w:val="nil"/>
              <w:bottom w:val="single" w:sz="8" w:space="0" w:color="B3EFFD"/>
              <w:right w:val="nil"/>
            </w:tcBorders>
            <w:shd w:val="clear" w:color="000000" w:fill="FFFFFF"/>
            <w:noWrap/>
            <w:vAlign w:val="center"/>
            <w:hideMark/>
          </w:tcPr>
          <w:p w14:paraId="67BB8403" w14:textId="6863EB2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24,068</w:t>
            </w:r>
          </w:p>
        </w:tc>
      </w:tr>
      <w:tr w:rsidR="00D80A0A" w:rsidRPr="00E65743" w14:paraId="64B7F916" w14:textId="77777777" w:rsidTr="00791CB8">
        <w:tc>
          <w:tcPr>
            <w:tcW w:w="532" w:type="pct"/>
            <w:tcBorders>
              <w:top w:val="nil"/>
              <w:left w:val="nil"/>
              <w:bottom w:val="single" w:sz="8" w:space="0" w:color="B3EFFD"/>
              <w:right w:val="nil"/>
            </w:tcBorders>
            <w:shd w:val="clear" w:color="000000" w:fill="FFFFFF"/>
            <w:vAlign w:val="center"/>
            <w:hideMark/>
          </w:tcPr>
          <w:p w14:paraId="4B206C6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35EBDF66"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34E60B1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Shower Timer (IU)</w:t>
            </w:r>
          </w:p>
        </w:tc>
        <w:tc>
          <w:tcPr>
            <w:tcW w:w="250" w:type="pct"/>
            <w:tcBorders>
              <w:top w:val="nil"/>
              <w:left w:val="nil"/>
              <w:bottom w:val="single" w:sz="8" w:space="0" w:color="B3EFFD"/>
              <w:right w:val="nil"/>
            </w:tcBorders>
            <w:shd w:val="clear" w:color="000000" w:fill="FFFFFF"/>
            <w:noWrap/>
            <w:vAlign w:val="center"/>
            <w:hideMark/>
          </w:tcPr>
          <w:p w14:paraId="78438229"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50E549D1" w14:textId="3BF04D3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6,005</w:t>
            </w:r>
          </w:p>
        </w:tc>
        <w:tc>
          <w:tcPr>
            <w:tcW w:w="429" w:type="pct"/>
            <w:tcBorders>
              <w:top w:val="nil"/>
              <w:left w:val="nil"/>
              <w:bottom w:val="single" w:sz="8" w:space="0" w:color="B3EFFD"/>
              <w:right w:val="nil"/>
            </w:tcBorders>
            <w:shd w:val="clear" w:color="000000" w:fill="FFFFFF"/>
            <w:noWrap/>
            <w:vAlign w:val="center"/>
            <w:hideMark/>
          </w:tcPr>
          <w:p w14:paraId="074DB890" w14:textId="2617951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w:t>
            </w:r>
          </w:p>
        </w:tc>
        <w:tc>
          <w:tcPr>
            <w:tcW w:w="569" w:type="pct"/>
            <w:tcBorders>
              <w:top w:val="nil"/>
              <w:left w:val="nil"/>
              <w:bottom w:val="single" w:sz="8" w:space="0" w:color="B3EFFD"/>
              <w:right w:val="nil"/>
            </w:tcBorders>
            <w:shd w:val="clear" w:color="000000" w:fill="FFFFFF"/>
            <w:vAlign w:val="center"/>
            <w:hideMark/>
          </w:tcPr>
          <w:p w14:paraId="4BAE136D" w14:textId="2E63C5C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22,783</w:t>
            </w:r>
          </w:p>
        </w:tc>
        <w:tc>
          <w:tcPr>
            <w:tcW w:w="568" w:type="pct"/>
            <w:tcBorders>
              <w:top w:val="nil"/>
              <w:left w:val="nil"/>
              <w:bottom w:val="single" w:sz="8" w:space="0" w:color="B3EFFD"/>
              <w:right w:val="nil"/>
            </w:tcBorders>
            <w:shd w:val="clear" w:color="auto" w:fill="auto"/>
            <w:vAlign w:val="center"/>
            <w:hideMark/>
          </w:tcPr>
          <w:p w14:paraId="702C0F64" w14:textId="7111C18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22,782</w:t>
            </w:r>
          </w:p>
        </w:tc>
        <w:tc>
          <w:tcPr>
            <w:tcW w:w="547" w:type="pct"/>
            <w:tcBorders>
              <w:top w:val="nil"/>
              <w:left w:val="nil"/>
              <w:bottom w:val="single" w:sz="8" w:space="0" w:color="B3EFFD"/>
              <w:right w:val="nil"/>
            </w:tcBorders>
            <w:shd w:val="clear" w:color="000000" w:fill="FFFFFF"/>
            <w:noWrap/>
            <w:vAlign w:val="center"/>
            <w:hideMark/>
          </w:tcPr>
          <w:p w14:paraId="65576484" w14:textId="2F2585D2"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22,782</w:t>
            </w:r>
          </w:p>
        </w:tc>
      </w:tr>
      <w:tr w:rsidR="00D80A0A" w:rsidRPr="00E65743" w14:paraId="235C580D" w14:textId="77777777" w:rsidTr="00791CB8">
        <w:tc>
          <w:tcPr>
            <w:tcW w:w="532" w:type="pct"/>
            <w:tcBorders>
              <w:top w:val="nil"/>
              <w:left w:val="nil"/>
              <w:bottom w:val="single" w:sz="8" w:space="0" w:color="B3EFFD"/>
              <w:right w:val="nil"/>
            </w:tcBorders>
            <w:shd w:val="clear" w:color="000000" w:fill="FFFFFF"/>
            <w:vAlign w:val="center"/>
            <w:hideMark/>
          </w:tcPr>
          <w:p w14:paraId="00DBB8BB"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084A9B74"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313A697D"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Air Sealing</w:t>
            </w:r>
          </w:p>
        </w:tc>
        <w:tc>
          <w:tcPr>
            <w:tcW w:w="250" w:type="pct"/>
            <w:tcBorders>
              <w:top w:val="nil"/>
              <w:left w:val="nil"/>
              <w:bottom w:val="single" w:sz="8" w:space="0" w:color="B3EFFD"/>
              <w:right w:val="nil"/>
            </w:tcBorders>
            <w:shd w:val="clear" w:color="000000" w:fill="FFFFFF"/>
            <w:noWrap/>
            <w:vAlign w:val="center"/>
            <w:hideMark/>
          </w:tcPr>
          <w:p w14:paraId="28EDB62B"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Ln Ft</w:t>
            </w:r>
          </w:p>
        </w:tc>
        <w:tc>
          <w:tcPr>
            <w:tcW w:w="393" w:type="pct"/>
            <w:tcBorders>
              <w:top w:val="nil"/>
              <w:left w:val="nil"/>
              <w:bottom w:val="single" w:sz="8" w:space="0" w:color="B3EFFD"/>
              <w:right w:val="nil"/>
            </w:tcBorders>
            <w:shd w:val="clear" w:color="000000" w:fill="FFFFFF"/>
            <w:noWrap/>
            <w:vAlign w:val="center"/>
            <w:hideMark/>
          </w:tcPr>
          <w:p w14:paraId="427251F8" w14:textId="019653C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15,762</w:t>
            </w:r>
          </w:p>
        </w:tc>
        <w:tc>
          <w:tcPr>
            <w:tcW w:w="429" w:type="pct"/>
            <w:tcBorders>
              <w:top w:val="nil"/>
              <w:left w:val="nil"/>
              <w:bottom w:val="single" w:sz="8" w:space="0" w:color="B3EFFD"/>
              <w:right w:val="nil"/>
            </w:tcBorders>
            <w:shd w:val="clear" w:color="000000" w:fill="FFFFFF"/>
            <w:noWrap/>
            <w:vAlign w:val="center"/>
            <w:hideMark/>
          </w:tcPr>
          <w:p w14:paraId="36BF7E15" w14:textId="2058CDF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6B54CBD6" w14:textId="73C59C8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18,956</w:t>
            </w:r>
          </w:p>
        </w:tc>
        <w:tc>
          <w:tcPr>
            <w:tcW w:w="568" w:type="pct"/>
            <w:tcBorders>
              <w:top w:val="nil"/>
              <w:left w:val="nil"/>
              <w:bottom w:val="single" w:sz="8" w:space="0" w:color="B3EFFD"/>
              <w:right w:val="nil"/>
            </w:tcBorders>
            <w:shd w:val="clear" w:color="auto" w:fill="auto"/>
            <w:vAlign w:val="center"/>
            <w:hideMark/>
          </w:tcPr>
          <w:p w14:paraId="2F1CB346" w14:textId="30AF1A8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18,956</w:t>
            </w:r>
          </w:p>
        </w:tc>
        <w:tc>
          <w:tcPr>
            <w:tcW w:w="547" w:type="pct"/>
            <w:tcBorders>
              <w:top w:val="nil"/>
              <w:left w:val="nil"/>
              <w:bottom w:val="single" w:sz="8" w:space="0" w:color="B3EFFD"/>
              <w:right w:val="nil"/>
            </w:tcBorders>
            <w:shd w:val="clear" w:color="000000" w:fill="FFFFFF"/>
            <w:noWrap/>
            <w:vAlign w:val="center"/>
            <w:hideMark/>
          </w:tcPr>
          <w:p w14:paraId="7B1658DF" w14:textId="5908B53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18,956</w:t>
            </w:r>
          </w:p>
        </w:tc>
      </w:tr>
      <w:tr w:rsidR="00D80A0A" w:rsidRPr="00E65743" w14:paraId="06BC4B19" w14:textId="77777777" w:rsidTr="00791CB8">
        <w:tc>
          <w:tcPr>
            <w:tcW w:w="532" w:type="pct"/>
            <w:tcBorders>
              <w:top w:val="nil"/>
              <w:left w:val="nil"/>
              <w:bottom w:val="single" w:sz="8" w:space="0" w:color="B3EFFD"/>
              <w:right w:val="nil"/>
            </w:tcBorders>
            <w:shd w:val="clear" w:color="000000" w:fill="FFFFFF"/>
            <w:vAlign w:val="center"/>
            <w:hideMark/>
          </w:tcPr>
          <w:p w14:paraId="28AABA13"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38B12C1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7FF5493D"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Faucet Aerator - Kitchen (IU)</w:t>
            </w:r>
          </w:p>
        </w:tc>
        <w:tc>
          <w:tcPr>
            <w:tcW w:w="250" w:type="pct"/>
            <w:tcBorders>
              <w:top w:val="nil"/>
              <w:left w:val="nil"/>
              <w:bottom w:val="single" w:sz="8" w:space="0" w:color="B3EFFD"/>
              <w:right w:val="nil"/>
            </w:tcBorders>
            <w:shd w:val="clear" w:color="000000" w:fill="FFFFFF"/>
            <w:noWrap/>
            <w:vAlign w:val="center"/>
            <w:hideMark/>
          </w:tcPr>
          <w:p w14:paraId="0007B608"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42DEF09A" w14:textId="20CEBA9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4,674</w:t>
            </w:r>
          </w:p>
        </w:tc>
        <w:tc>
          <w:tcPr>
            <w:tcW w:w="429" w:type="pct"/>
            <w:tcBorders>
              <w:top w:val="nil"/>
              <w:left w:val="nil"/>
              <w:bottom w:val="single" w:sz="8" w:space="0" w:color="B3EFFD"/>
              <w:right w:val="nil"/>
            </w:tcBorders>
            <w:shd w:val="clear" w:color="000000" w:fill="FFFFFF"/>
            <w:noWrap/>
            <w:vAlign w:val="center"/>
            <w:hideMark/>
          </w:tcPr>
          <w:p w14:paraId="7DC1176A" w14:textId="6061B60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10.0</w:t>
            </w:r>
          </w:p>
        </w:tc>
        <w:tc>
          <w:tcPr>
            <w:tcW w:w="569" w:type="pct"/>
            <w:tcBorders>
              <w:top w:val="nil"/>
              <w:left w:val="nil"/>
              <w:bottom w:val="single" w:sz="8" w:space="0" w:color="B3EFFD"/>
              <w:right w:val="nil"/>
            </w:tcBorders>
            <w:shd w:val="clear" w:color="000000" w:fill="FFFFFF"/>
            <w:vAlign w:val="center"/>
            <w:hideMark/>
          </w:tcPr>
          <w:p w14:paraId="73AC3251" w14:textId="02407FB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13,220</w:t>
            </w:r>
          </w:p>
        </w:tc>
        <w:tc>
          <w:tcPr>
            <w:tcW w:w="568" w:type="pct"/>
            <w:tcBorders>
              <w:top w:val="nil"/>
              <w:left w:val="nil"/>
              <w:bottom w:val="single" w:sz="8" w:space="0" w:color="B3EFFD"/>
              <w:right w:val="nil"/>
            </w:tcBorders>
            <w:shd w:val="clear" w:color="auto" w:fill="auto"/>
            <w:vAlign w:val="center"/>
            <w:hideMark/>
          </w:tcPr>
          <w:p w14:paraId="30135486" w14:textId="6A1F7FD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13,183</w:t>
            </w:r>
          </w:p>
        </w:tc>
        <w:tc>
          <w:tcPr>
            <w:tcW w:w="547" w:type="pct"/>
            <w:tcBorders>
              <w:top w:val="nil"/>
              <w:left w:val="nil"/>
              <w:bottom w:val="single" w:sz="8" w:space="0" w:color="B3EFFD"/>
              <w:right w:val="nil"/>
            </w:tcBorders>
            <w:shd w:val="clear" w:color="000000" w:fill="FFFFFF"/>
            <w:noWrap/>
            <w:vAlign w:val="center"/>
            <w:hideMark/>
          </w:tcPr>
          <w:p w14:paraId="709E5F56" w14:textId="5F03F0A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13,183</w:t>
            </w:r>
          </w:p>
        </w:tc>
      </w:tr>
      <w:tr w:rsidR="00D80A0A" w:rsidRPr="00E65743" w14:paraId="7A9ADAB2" w14:textId="77777777" w:rsidTr="00791CB8">
        <w:tc>
          <w:tcPr>
            <w:tcW w:w="532" w:type="pct"/>
            <w:tcBorders>
              <w:top w:val="nil"/>
              <w:left w:val="nil"/>
              <w:bottom w:val="single" w:sz="8" w:space="0" w:color="B3EFFD"/>
              <w:right w:val="nil"/>
            </w:tcBorders>
            <w:shd w:val="clear" w:color="000000" w:fill="FFFFFF"/>
            <w:vAlign w:val="center"/>
            <w:hideMark/>
          </w:tcPr>
          <w:p w14:paraId="0099C47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2611EC0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1898C59A"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Programmable Thermostat</w:t>
            </w:r>
          </w:p>
        </w:tc>
        <w:tc>
          <w:tcPr>
            <w:tcW w:w="250" w:type="pct"/>
            <w:tcBorders>
              <w:top w:val="nil"/>
              <w:left w:val="nil"/>
              <w:bottom w:val="single" w:sz="8" w:space="0" w:color="B3EFFD"/>
              <w:right w:val="nil"/>
            </w:tcBorders>
            <w:shd w:val="clear" w:color="000000" w:fill="FFFFFF"/>
            <w:noWrap/>
            <w:vAlign w:val="center"/>
            <w:hideMark/>
          </w:tcPr>
          <w:p w14:paraId="37E169FE"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5DAC0A94" w14:textId="09DCC84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271</w:t>
            </w:r>
          </w:p>
        </w:tc>
        <w:tc>
          <w:tcPr>
            <w:tcW w:w="429" w:type="pct"/>
            <w:tcBorders>
              <w:top w:val="nil"/>
              <w:left w:val="nil"/>
              <w:bottom w:val="single" w:sz="8" w:space="0" w:color="B3EFFD"/>
              <w:right w:val="nil"/>
            </w:tcBorders>
            <w:shd w:val="clear" w:color="000000" w:fill="FFFFFF"/>
            <w:noWrap/>
            <w:vAlign w:val="center"/>
            <w:hideMark/>
          </w:tcPr>
          <w:p w14:paraId="2C1EB512" w14:textId="0C94C45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16.0</w:t>
            </w:r>
          </w:p>
        </w:tc>
        <w:tc>
          <w:tcPr>
            <w:tcW w:w="569" w:type="pct"/>
            <w:tcBorders>
              <w:top w:val="nil"/>
              <w:left w:val="nil"/>
              <w:bottom w:val="single" w:sz="8" w:space="0" w:color="B3EFFD"/>
              <w:right w:val="nil"/>
            </w:tcBorders>
            <w:shd w:val="clear" w:color="000000" w:fill="FFFFFF"/>
            <w:vAlign w:val="center"/>
            <w:hideMark/>
          </w:tcPr>
          <w:p w14:paraId="31153D32" w14:textId="62960DF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10,976</w:t>
            </w:r>
          </w:p>
        </w:tc>
        <w:tc>
          <w:tcPr>
            <w:tcW w:w="568" w:type="pct"/>
            <w:tcBorders>
              <w:top w:val="nil"/>
              <w:left w:val="nil"/>
              <w:bottom w:val="single" w:sz="8" w:space="0" w:color="B3EFFD"/>
              <w:right w:val="nil"/>
            </w:tcBorders>
            <w:shd w:val="clear" w:color="auto" w:fill="auto"/>
            <w:vAlign w:val="center"/>
            <w:hideMark/>
          </w:tcPr>
          <w:p w14:paraId="16D96FD9" w14:textId="77D62C8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10,976</w:t>
            </w:r>
          </w:p>
        </w:tc>
        <w:tc>
          <w:tcPr>
            <w:tcW w:w="547" w:type="pct"/>
            <w:tcBorders>
              <w:top w:val="nil"/>
              <w:left w:val="nil"/>
              <w:bottom w:val="single" w:sz="8" w:space="0" w:color="B3EFFD"/>
              <w:right w:val="nil"/>
            </w:tcBorders>
            <w:shd w:val="clear" w:color="000000" w:fill="FFFFFF"/>
            <w:noWrap/>
            <w:vAlign w:val="center"/>
            <w:hideMark/>
          </w:tcPr>
          <w:p w14:paraId="2EA492A7" w14:textId="1197AA2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10,976</w:t>
            </w:r>
          </w:p>
        </w:tc>
      </w:tr>
      <w:tr w:rsidR="00D80A0A" w:rsidRPr="00E65743" w14:paraId="6F67ACA3" w14:textId="77777777" w:rsidTr="00791CB8">
        <w:tc>
          <w:tcPr>
            <w:tcW w:w="532" w:type="pct"/>
            <w:tcBorders>
              <w:top w:val="nil"/>
              <w:left w:val="nil"/>
              <w:bottom w:val="single" w:sz="8" w:space="0" w:color="B3EFFD"/>
              <w:right w:val="nil"/>
            </w:tcBorders>
            <w:shd w:val="clear" w:color="000000" w:fill="FFFFFF"/>
            <w:vAlign w:val="center"/>
            <w:hideMark/>
          </w:tcPr>
          <w:p w14:paraId="21C4CA30"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158D601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6BAC253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Faucet Aerator - Bathroom (IU)</w:t>
            </w:r>
          </w:p>
        </w:tc>
        <w:tc>
          <w:tcPr>
            <w:tcW w:w="250" w:type="pct"/>
            <w:tcBorders>
              <w:top w:val="nil"/>
              <w:left w:val="nil"/>
              <w:bottom w:val="single" w:sz="8" w:space="0" w:color="B3EFFD"/>
              <w:right w:val="nil"/>
            </w:tcBorders>
            <w:shd w:val="clear" w:color="000000" w:fill="FFFFFF"/>
            <w:noWrap/>
            <w:vAlign w:val="center"/>
            <w:hideMark/>
          </w:tcPr>
          <w:p w14:paraId="461CF7DD"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605DB260" w14:textId="3EF24A3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3,136</w:t>
            </w:r>
          </w:p>
        </w:tc>
        <w:tc>
          <w:tcPr>
            <w:tcW w:w="429" w:type="pct"/>
            <w:tcBorders>
              <w:top w:val="nil"/>
              <w:left w:val="nil"/>
              <w:bottom w:val="single" w:sz="8" w:space="0" w:color="B3EFFD"/>
              <w:right w:val="nil"/>
            </w:tcBorders>
            <w:shd w:val="clear" w:color="000000" w:fill="FFFFFF"/>
            <w:noWrap/>
            <w:vAlign w:val="center"/>
            <w:hideMark/>
          </w:tcPr>
          <w:p w14:paraId="0590E598" w14:textId="225B090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10.0</w:t>
            </w:r>
          </w:p>
        </w:tc>
        <w:tc>
          <w:tcPr>
            <w:tcW w:w="569" w:type="pct"/>
            <w:tcBorders>
              <w:top w:val="nil"/>
              <w:left w:val="nil"/>
              <w:bottom w:val="single" w:sz="8" w:space="0" w:color="B3EFFD"/>
              <w:right w:val="nil"/>
            </w:tcBorders>
            <w:shd w:val="clear" w:color="000000" w:fill="FFFFFF"/>
            <w:vAlign w:val="center"/>
            <w:hideMark/>
          </w:tcPr>
          <w:p w14:paraId="22C4AE18" w14:textId="3B3E8606"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5,319</w:t>
            </w:r>
          </w:p>
        </w:tc>
        <w:tc>
          <w:tcPr>
            <w:tcW w:w="568" w:type="pct"/>
            <w:tcBorders>
              <w:top w:val="nil"/>
              <w:left w:val="nil"/>
              <w:bottom w:val="single" w:sz="8" w:space="0" w:color="B3EFFD"/>
              <w:right w:val="nil"/>
            </w:tcBorders>
            <w:shd w:val="clear" w:color="auto" w:fill="auto"/>
            <w:vAlign w:val="center"/>
            <w:hideMark/>
          </w:tcPr>
          <w:p w14:paraId="6E579932" w14:textId="1D7DEAE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5,301</w:t>
            </w:r>
          </w:p>
        </w:tc>
        <w:tc>
          <w:tcPr>
            <w:tcW w:w="547" w:type="pct"/>
            <w:tcBorders>
              <w:top w:val="nil"/>
              <w:left w:val="nil"/>
              <w:bottom w:val="single" w:sz="8" w:space="0" w:color="B3EFFD"/>
              <w:right w:val="nil"/>
            </w:tcBorders>
            <w:shd w:val="clear" w:color="000000" w:fill="FFFFFF"/>
            <w:noWrap/>
            <w:vAlign w:val="center"/>
            <w:hideMark/>
          </w:tcPr>
          <w:p w14:paraId="319D0222" w14:textId="59DC722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5,301</w:t>
            </w:r>
          </w:p>
        </w:tc>
      </w:tr>
      <w:tr w:rsidR="00D80A0A" w:rsidRPr="00E65743" w14:paraId="70F730E4" w14:textId="77777777" w:rsidTr="00791CB8">
        <w:tc>
          <w:tcPr>
            <w:tcW w:w="532" w:type="pct"/>
            <w:tcBorders>
              <w:top w:val="nil"/>
              <w:left w:val="nil"/>
              <w:bottom w:val="single" w:sz="8" w:space="0" w:color="B3EFFD"/>
              <w:right w:val="nil"/>
            </w:tcBorders>
            <w:shd w:val="clear" w:color="000000" w:fill="FFFFFF"/>
            <w:vAlign w:val="center"/>
            <w:hideMark/>
          </w:tcPr>
          <w:p w14:paraId="7756E4B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5B9067B0"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4DE6C1D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Boiler Reset Controls</w:t>
            </w:r>
          </w:p>
        </w:tc>
        <w:tc>
          <w:tcPr>
            <w:tcW w:w="250" w:type="pct"/>
            <w:tcBorders>
              <w:top w:val="nil"/>
              <w:left w:val="nil"/>
              <w:bottom w:val="single" w:sz="8" w:space="0" w:color="B3EFFD"/>
              <w:right w:val="nil"/>
            </w:tcBorders>
            <w:shd w:val="clear" w:color="000000" w:fill="FFFFFF"/>
            <w:noWrap/>
            <w:vAlign w:val="center"/>
            <w:hideMark/>
          </w:tcPr>
          <w:p w14:paraId="28A785CA"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3DC455B3" w14:textId="0107F64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w:t>
            </w:r>
          </w:p>
        </w:tc>
        <w:tc>
          <w:tcPr>
            <w:tcW w:w="429" w:type="pct"/>
            <w:tcBorders>
              <w:top w:val="nil"/>
              <w:left w:val="nil"/>
              <w:bottom w:val="single" w:sz="8" w:space="0" w:color="B3EFFD"/>
              <w:right w:val="nil"/>
            </w:tcBorders>
            <w:shd w:val="clear" w:color="000000" w:fill="FFFFFF"/>
            <w:noWrap/>
            <w:vAlign w:val="center"/>
            <w:hideMark/>
          </w:tcPr>
          <w:p w14:paraId="30187A29" w14:textId="20E1863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16.0</w:t>
            </w:r>
          </w:p>
        </w:tc>
        <w:tc>
          <w:tcPr>
            <w:tcW w:w="569" w:type="pct"/>
            <w:tcBorders>
              <w:top w:val="nil"/>
              <w:left w:val="nil"/>
              <w:bottom w:val="single" w:sz="8" w:space="0" w:color="B3EFFD"/>
              <w:right w:val="nil"/>
            </w:tcBorders>
            <w:shd w:val="clear" w:color="000000" w:fill="FFFFFF"/>
            <w:vAlign w:val="center"/>
            <w:hideMark/>
          </w:tcPr>
          <w:p w14:paraId="36135155" w14:textId="3B4CFD7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4,381</w:t>
            </w:r>
          </w:p>
        </w:tc>
        <w:tc>
          <w:tcPr>
            <w:tcW w:w="568" w:type="pct"/>
            <w:tcBorders>
              <w:top w:val="nil"/>
              <w:left w:val="nil"/>
              <w:bottom w:val="single" w:sz="8" w:space="0" w:color="B3EFFD"/>
              <w:right w:val="nil"/>
            </w:tcBorders>
            <w:shd w:val="clear" w:color="auto" w:fill="auto"/>
            <w:vAlign w:val="center"/>
            <w:hideMark/>
          </w:tcPr>
          <w:p w14:paraId="1E240CF0" w14:textId="4DFC09A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4,381</w:t>
            </w:r>
          </w:p>
        </w:tc>
        <w:tc>
          <w:tcPr>
            <w:tcW w:w="547" w:type="pct"/>
            <w:tcBorders>
              <w:top w:val="nil"/>
              <w:left w:val="nil"/>
              <w:bottom w:val="single" w:sz="8" w:space="0" w:color="B3EFFD"/>
              <w:right w:val="nil"/>
            </w:tcBorders>
            <w:shd w:val="clear" w:color="000000" w:fill="FFFFFF"/>
            <w:noWrap/>
            <w:vAlign w:val="center"/>
            <w:hideMark/>
          </w:tcPr>
          <w:p w14:paraId="68110B9B" w14:textId="78D60F1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4,381</w:t>
            </w:r>
          </w:p>
        </w:tc>
      </w:tr>
      <w:tr w:rsidR="00D80A0A" w:rsidRPr="00E65743" w14:paraId="141ACBE7" w14:textId="77777777" w:rsidTr="00791CB8">
        <w:tc>
          <w:tcPr>
            <w:tcW w:w="532" w:type="pct"/>
            <w:tcBorders>
              <w:top w:val="nil"/>
              <w:left w:val="nil"/>
              <w:bottom w:val="single" w:sz="8" w:space="0" w:color="B3EFFD"/>
              <w:right w:val="nil"/>
            </w:tcBorders>
            <w:shd w:val="clear" w:color="000000" w:fill="FFFFFF"/>
            <w:vAlign w:val="center"/>
            <w:hideMark/>
          </w:tcPr>
          <w:p w14:paraId="561B972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7B81DA60"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3FA38BB6"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DHW Tune Up</w:t>
            </w:r>
          </w:p>
        </w:tc>
        <w:tc>
          <w:tcPr>
            <w:tcW w:w="250" w:type="pct"/>
            <w:tcBorders>
              <w:top w:val="nil"/>
              <w:left w:val="nil"/>
              <w:bottom w:val="single" w:sz="8" w:space="0" w:color="B3EFFD"/>
              <w:right w:val="nil"/>
            </w:tcBorders>
            <w:shd w:val="clear" w:color="000000" w:fill="FFFFFF"/>
            <w:noWrap/>
            <w:vAlign w:val="center"/>
            <w:hideMark/>
          </w:tcPr>
          <w:p w14:paraId="0033A242"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57E468FC" w14:textId="5424B23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49</w:t>
            </w:r>
          </w:p>
        </w:tc>
        <w:tc>
          <w:tcPr>
            <w:tcW w:w="429" w:type="pct"/>
            <w:tcBorders>
              <w:top w:val="nil"/>
              <w:left w:val="nil"/>
              <w:bottom w:val="single" w:sz="8" w:space="0" w:color="B3EFFD"/>
              <w:right w:val="nil"/>
            </w:tcBorders>
            <w:shd w:val="clear" w:color="000000" w:fill="FFFFFF"/>
            <w:noWrap/>
            <w:vAlign w:val="center"/>
            <w:hideMark/>
          </w:tcPr>
          <w:p w14:paraId="709C6F6D" w14:textId="23BCD878"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3.0</w:t>
            </w:r>
          </w:p>
        </w:tc>
        <w:tc>
          <w:tcPr>
            <w:tcW w:w="569" w:type="pct"/>
            <w:tcBorders>
              <w:top w:val="nil"/>
              <w:left w:val="nil"/>
              <w:bottom w:val="single" w:sz="8" w:space="0" w:color="B3EFFD"/>
              <w:right w:val="nil"/>
            </w:tcBorders>
            <w:shd w:val="clear" w:color="000000" w:fill="FFFFFF"/>
            <w:vAlign w:val="center"/>
            <w:hideMark/>
          </w:tcPr>
          <w:p w14:paraId="3C6B95B2" w14:textId="2A1CDEF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3,722</w:t>
            </w:r>
          </w:p>
        </w:tc>
        <w:tc>
          <w:tcPr>
            <w:tcW w:w="568" w:type="pct"/>
            <w:tcBorders>
              <w:top w:val="nil"/>
              <w:left w:val="nil"/>
              <w:bottom w:val="single" w:sz="8" w:space="0" w:color="B3EFFD"/>
              <w:right w:val="nil"/>
            </w:tcBorders>
            <w:shd w:val="clear" w:color="auto" w:fill="auto"/>
            <w:vAlign w:val="center"/>
            <w:hideMark/>
          </w:tcPr>
          <w:p w14:paraId="065A9320" w14:textId="70A7EA9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3,721</w:t>
            </w:r>
          </w:p>
        </w:tc>
        <w:tc>
          <w:tcPr>
            <w:tcW w:w="547" w:type="pct"/>
            <w:tcBorders>
              <w:top w:val="nil"/>
              <w:left w:val="nil"/>
              <w:bottom w:val="single" w:sz="8" w:space="0" w:color="B3EFFD"/>
              <w:right w:val="nil"/>
            </w:tcBorders>
            <w:shd w:val="clear" w:color="000000" w:fill="FFFFFF"/>
            <w:noWrap/>
            <w:vAlign w:val="center"/>
            <w:hideMark/>
          </w:tcPr>
          <w:p w14:paraId="5BCAF4B6" w14:textId="3381D4C6"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3,721</w:t>
            </w:r>
          </w:p>
        </w:tc>
      </w:tr>
      <w:tr w:rsidR="00D80A0A" w:rsidRPr="00E65743" w14:paraId="726C9741" w14:textId="77777777" w:rsidTr="00791CB8">
        <w:tc>
          <w:tcPr>
            <w:tcW w:w="532" w:type="pct"/>
            <w:tcBorders>
              <w:top w:val="nil"/>
              <w:left w:val="nil"/>
              <w:bottom w:val="single" w:sz="8" w:space="0" w:color="B3EFFD"/>
              <w:right w:val="nil"/>
            </w:tcBorders>
            <w:shd w:val="clear" w:color="000000" w:fill="FFFFFF"/>
            <w:vAlign w:val="center"/>
            <w:hideMark/>
          </w:tcPr>
          <w:p w14:paraId="630D11F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077721A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0052ACE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Reprogrammable Thermostat</w:t>
            </w:r>
          </w:p>
        </w:tc>
        <w:tc>
          <w:tcPr>
            <w:tcW w:w="250" w:type="pct"/>
            <w:tcBorders>
              <w:top w:val="nil"/>
              <w:left w:val="nil"/>
              <w:bottom w:val="single" w:sz="8" w:space="0" w:color="B3EFFD"/>
              <w:right w:val="nil"/>
            </w:tcBorders>
            <w:shd w:val="clear" w:color="000000" w:fill="FFFFFF"/>
            <w:noWrap/>
            <w:vAlign w:val="center"/>
            <w:hideMark/>
          </w:tcPr>
          <w:p w14:paraId="7EBF09D4"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01E8FEE9" w14:textId="3C58C412"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78</w:t>
            </w:r>
          </w:p>
        </w:tc>
        <w:tc>
          <w:tcPr>
            <w:tcW w:w="429" w:type="pct"/>
            <w:tcBorders>
              <w:top w:val="nil"/>
              <w:left w:val="nil"/>
              <w:bottom w:val="single" w:sz="8" w:space="0" w:color="B3EFFD"/>
              <w:right w:val="nil"/>
            </w:tcBorders>
            <w:shd w:val="clear" w:color="000000" w:fill="FFFFFF"/>
            <w:noWrap/>
            <w:vAlign w:val="center"/>
            <w:hideMark/>
          </w:tcPr>
          <w:p w14:paraId="6287D9EE" w14:textId="655C55F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w:t>
            </w:r>
          </w:p>
        </w:tc>
        <w:tc>
          <w:tcPr>
            <w:tcW w:w="569" w:type="pct"/>
            <w:tcBorders>
              <w:top w:val="nil"/>
              <w:left w:val="nil"/>
              <w:bottom w:val="single" w:sz="8" w:space="0" w:color="B3EFFD"/>
              <w:right w:val="nil"/>
            </w:tcBorders>
            <w:shd w:val="clear" w:color="000000" w:fill="FFFFFF"/>
            <w:vAlign w:val="center"/>
            <w:hideMark/>
          </w:tcPr>
          <w:p w14:paraId="10C05C87" w14:textId="3BC1AD3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3,198</w:t>
            </w:r>
          </w:p>
        </w:tc>
        <w:tc>
          <w:tcPr>
            <w:tcW w:w="568" w:type="pct"/>
            <w:tcBorders>
              <w:top w:val="nil"/>
              <w:left w:val="nil"/>
              <w:bottom w:val="single" w:sz="8" w:space="0" w:color="B3EFFD"/>
              <w:right w:val="nil"/>
            </w:tcBorders>
            <w:shd w:val="clear" w:color="auto" w:fill="auto"/>
            <w:vAlign w:val="center"/>
            <w:hideMark/>
          </w:tcPr>
          <w:p w14:paraId="3EAA6216" w14:textId="77DF393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3,198</w:t>
            </w:r>
          </w:p>
        </w:tc>
        <w:tc>
          <w:tcPr>
            <w:tcW w:w="547" w:type="pct"/>
            <w:tcBorders>
              <w:top w:val="nil"/>
              <w:left w:val="nil"/>
              <w:bottom w:val="single" w:sz="8" w:space="0" w:color="B3EFFD"/>
              <w:right w:val="nil"/>
            </w:tcBorders>
            <w:shd w:val="clear" w:color="000000" w:fill="FFFFFF"/>
            <w:noWrap/>
            <w:vAlign w:val="center"/>
            <w:hideMark/>
          </w:tcPr>
          <w:p w14:paraId="2981C4EE" w14:textId="398F8F8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3,198</w:t>
            </w:r>
          </w:p>
        </w:tc>
      </w:tr>
      <w:tr w:rsidR="00D80A0A" w:rsidRPr="00E65743" w14:paraId="07CC8B83" w14:textId="77777777" w:rsidTr="00791CB8">
        <w:tc>
          <w:tcPr>
            <w:tcW w:w="532" w:type="pct"/>
            <w:tcBorders>
              <w:top w:val="nil"/>
              <w:left w:val="nil"/>
              <w:bottom w:val="single" w:sz="8" w:space="0" w:color="B3EFFD"/>
              <w:right w:val="nil"/>
            </w:tcBorders>
            <w:shd w:val="clear" w:color="000000" w:fill="FFFFFF"/>
            <w:vAlign w:val="center"/>
            <w:hideMark/>
          </w:tcPr>
          <w:p w14:paraId="4AF38CAD"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7C68B09F"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574CB38E"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Tankless Water Heater</w:t>
            </w:r>
          </w:p>
        </w:tc>
        <w:tc>
          <w:tcPr>
            <w:tcW w:w="250" w:type="pct"/>
            <w:tcBorders>
              <w:top w:val="nil"/>
              <w:left w:val="nil"/>
              <w:bottom w:val="single" w:sz="8" w:space="0" w:color="B3EFFD"/>
              <w:right w:val="nil"/>
            </w:tcBorders>
            <w:shd w:val="clear" w:color="000000" w:fill="FFFFFF"/>
            <w:noWrap/>
            <w:vAlign w:val="center"/>
            <w:hideMark/>
          </w:tcPr>
          <w:p w14:paraId="349128BA"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3FD42EC1" w14:textId="2D559FF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64</w:t>
            </w:r>
          </w:p>
        </w:tc>
        <w:tc>
          <w:tcPr>
            <w:tcW w:w="429" w:type="pct"/>
            <w:tcBorders>
              <w:top w:val="nil"/>
              <w:left w:val="nil"/>
              <w:bottom w:val="single" w:sz="8" w:space="0" w:color="B3EFFD"/>
              <w:right w:val="nil"/>
            </w:tcBorders>
            <w:shd w:val="clear" w:color="000000" w:fill="FFFFFF"/>
            <w:noWrap/>
            <w:vAlign w:val="center"/>
            <w:hideMark/>
          </w:tcPr>
          <w:p w14:paraId="4A126B05" w14:textId="7F8C2DC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3FA06E8A" w14:textId="1EF6A91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2,705</w:t>
            </w:r>
          </w:p>
        </w:tc>
        <w:tc>
          <w:tcPr>
            <w:tcW w:w="568" w:type="pct"/>
            <w:tcBorders>
              <w:top w:val="nil"/>
              <w:left w:val="nil"/>
              <w:bottom w:val="single" w:sz="8" w:space="0" w:color="B3EFFD"/>
              <w:right w:val="nil"/>
            </w:tcBorders>
            <w:shd w:val="clear" w:color="auto" w:fill="auto"/>
            <w:vAlign w:val="center"/>
            <w:hideMark/>
          </w:tcPr>
          <w:p w14:paraId="08BD882A" w14:textId="2F3548F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2,705</w:t>
            </w:r>
          </w:p>
        </w:tc>
        <w:tc>
          <w:tcPr>
            <w:tcW w:w="547" w:type="pct"/>
            <w:tcBorders>
              <w:top w:val="nil"/>
              <w:left w:val="nil"/>
              <w:bottom w:val="single" w:sz="8" w:space="0" w:color="B3EFFD"/>
              <w:right w:val="nil"/>
            </w:tcBorders>
            <w:shd w:val="clear" w:color="000000" w:fill="FFFFFF"/>
            <w:noWrap/>
            <w:vAlign w:val="center"/>
            <w:hideMark/>
          </w:tcPr>
          <w:p w14:paraId="6A1D798A" w14:textId="2C6BDBA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2,705</w:t>
            </w:r>
          </w:p>
        </w:tc>
      </w:tr>
      <w:tr w:rsidR="00D80A0A" w:rsidRPr="00E65743" w14:paraId="5A4A9E23" w14:textId="77777777" w:rsidTr="00791CB8">
        <w:tc>
          <w:tcPr>
            <w:tcW w:w="532" w:type="pct"/>
            <w:tcBorders>
              <w:top w:val="nil"/>
              <w:left w:val="nil"/>
              <w:bottom w:val="single" w:sz="8" w:space="0" w:color="B3EFFD"/>
              <w:right w:val="nil"/>
            </w:tcBorders>
            <w:shd w:val="clear" w:color="000000" w:fill="FFFFFF"/>
            <w:vAlign w:val="center"/>
            <w:hideMark/>
          </w:tcPr>
          <w:p w14:paraId="4D10D50A"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19C9C02B"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6BDDFBCC"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Furnace Filter</w:t>
            </w:r>
          </w:p>
        </w:tc>
        <w:tc>
          <w:tcPr>
            <w:tcW w:w="250" w:type="pct"/>
            <w:tcBorders>
              <w:top w:val="nil"/>
              <w:left w:val="nil"/>
              <w:bottom w:val="single" w:sz="8" w:space="0" w:color="B3EFFD"/>
              <w:right w:val="nil"/>
            </w:tcBorders>
            <w:shd w:val="clear" w:color="000000" w:fill="FFFFFF"/>
            <w:noWrap/>
            <w:vAlign w:val="center"/>
            <w:hideMark/>
          </w:tcPr>
          <w:p w14:paraId="3E11BA92"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492F3773" w14:textId="6414C4B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160</w:t>
            </w:r>
          </w:p>
        </w:tc>
        <w:tc>
          <w:tcPr>
            <w:tcW w:w="429" w:type="pct"/>
            <w:tcBorders>
              <w:top w:val="nil"/>
              <w:left w:val="nil"/>
              <w:bottom w:val="single" w:sz="8" w:space="0" w:color="B3EFFD"/>
              <w:right w:val="nil"/>
            </w:tcBorders>
            <w:shd w:val="clear" w:color="auto" w:fill="auto"/>
            <w:noWrap/>
            <w:vAlign w:val="center"/>
            <w:hideMark/>
          </w:tcPr>
          <w:p w14:paraId="336F0A66" w14:textId="76BBAE1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3.0</w:t>
            </w:r>
          </w:p>
        </w:tc>
        <w:tc>
          <w:tcPr>
            <w:tcW w:w="569" w:type="pct"/>
            <w:tcBorders>
              <w:top w:val="nil"/>
              <w:left w:val="nil"/>
              <w:bottom w:val="single" w:sz="8" w:space="0" w:color="B3EFFD"/>
              <w:right w:val="nil"/>
            </w:tcBorders>
            <w:shd w:val="clear" w:color="000000" w:fill="FFFFFF"/>
            <w:vAlign w:val="center"/>
            <w:hideMark/>
          </w:tcPr>
          <w:p w14:paraId="45EEB9CE" w14:textId="61C0F43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1,608</w:t>
            </w:r>
          </w:p>
        </w:tc>
        <w:tc>
          <w:tcPr>
            <w:tcW w:w="568" w:type="pct"/>
            <w:tcBorders>
              <w:top w:val="nil"/>
              <w:left w:val="nil"/>
              <w:bottom w:val="single" w:sz="8" w:space="0" w:color="B3EFFD"/>
              <w:right w:val="nil"/>
            </w:tcBorders>
            <w:shd w:val="clear" w:color="auto" w:fill="auto"/>
            <w:vAlign w:val="center"/>
            <w:hideMark/>
          </w:tcPr>
          <w:p w14:paraId="725AEA00" w14:textId="0695910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1,608</w:t>
            </w:r>
          </w:p>
        </w:tc>
        <w:tc>
          <w:tcPr>
            <w:tcW w:w="547" w:type="pct"/>
            <w:tcBorders>
              <w:top w:val="nil"/>
              <w:left w:val="nil"/>
              <w:bottom w:val="single" w:sz="8" w:space="0" w:color="B3EFFD"/>
              <w:right w:val="nil"/>
            </w:tcBorders>
            <w:shd w:val="clear" w:color="000000" w:fill="FFFFFF"/>
            <w:noWrap/>
            <w:vAlign w:val="center"/>
            <w:hideMark/>
          </w:tcPr>
          <w:p w14:paraId="24CFFDDC" w14:textId="6DE67A3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1,608</w:t>
            </w:r>
          </w:p>
        </w:tc>
      </w:tr>
      <w:tr w:rsidR="00D80A0A" w:rsidRPr="00E65743" w14:paraId="64E17A6B" w14:textId="77777777" w:rsidTr="00791CB8">
        <w:tc>
          <w:tcPr>
            <w:tcW w:w="532" w:type="pct"/>
            <w:tcBorders>
              <w:top w:val="nil"/>
              <w:left w:val="nil"/>
              <w:bottom w:val="single" w:sz="8" w:space="0" w:color="B3EFFD"/>
              <w:right w:val="nil"/>
            </w:tcBorders>
            <w:shd w:val="clear" w:color="000000" w:fill="FFFFFF"/>
            <w:vAlign w:val="center"/>
            <w:hideMark/>
          </w:tcPr>
          <w:p w14:paraId="7BA18DE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7FCE24BE"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22648C0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Central Water Heater</w:t>
            </w:r>
          </w:p>
        </w:tc>
        <w:tc>
          <w:tcPr>
            <w:tcW w:w="250" w:type="pct"/>
            <w:tcBorders>
              <w:top w:val="nil"/>
              <w:left w:val="nil"/>
              <w:bottom w:val="single" w:sz="8" w:space="0" w:color="B3EFFD"/>
              <w:right w:val="nil"/>
            </w:tcBorders>
            <w:shd w:val="clear" w:color="000000" w:fill="FFFFFF"/>
            <w:noWrap/>
            <w:vAlign w:val="center"/>
            <w:hideMark/>
          </w:tcPr>
          <w:p w14:paraId="065CBDE4"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2EED8309" w14:textId="69C3112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167</w:t>
            </w:r>
          </w:p>
        </w:tc>
        <w:tc>
          <w:tcPr>
            <w:tcW w:w="429" w:type="pct"/>
            <w:tcBorders>
              <w:top w:val="nil"/>
              <w:left w:val="nil"/>
              <w:bottom w:val="single" w:sz="8" w:space="0" w:color="B3EFFD"/>
              <w:right w:val="nil"/>
            </w:tcBorders>
            <w:shd w:val="clear" w:color="000000" w:fill="FFFFFF"/>
            <w:noWrap/>
            <w:vAlign w:val="center"/>
            <w:hideMark/>
          </w:tcPr>
          <w:p w14:paraId="68C8B461" w14:textId="6E42033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15.0</w:t>
            </w:r>
          </w:p>
        </w:tc>
        <w:tc>
          <w:tcPr>
            <w:tcW w:w="569" w:type="pct"/>
            <w:tcBorders>
              <w:top w:val="nil"/>
              <w:left w:val="nil"/>
              <w:bottom w:val="single" w:sz="8" w:space="0" w:color="B3EFFD"/>
              <w:right w:val="nil"/>
            </w:tcBorders>
            <w:shd w:val="clear" w:color="000000" w:fill="FFFFFF"/>
            <w:vAlign w:val="center"/>
            <w:hideMark/>
          </w:tcPr>
          <w:p w14:paraId="76BCCB58" w14:textId="2DA18F6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1,586</w:t>
            </w:r>
          </w:p>
        </w:tc>
        <w:tc>
          <w:tcPr>
            <w:tcW w:w="568" w:type="pct"/>
            <w:tcBorders>
              <w:top w:val="nil"/>
              <w:left w:val="nil"/>
              <w:bottom w:val="single" w:sz="8" w:space="0" w:color="B3EFFD"/>
              <w:right w:val="nil"/>
            </w:tcBorders>
            <w:shd w:val="clear" w:color="auto" w:fill="auto"/>
            <w:vAlign w:val="center"/>
            <w:hideMark/>
          </w:tcPr>
          <w:p w14:paraId="43D1F491" w14:textId="4CDF747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1,586</w:t>
            </w:r>
          </w:p>
        </w:tc>
        <w:tc>
          <w:tcPr>
            <w:tcW w:w="547" w:type="pct"/>
            <w:tcBorders>
              <w:top w:val="nil"/>
              <w:left w:val="nil"/>
              <w:bottom w:val="single" w:sz="8" w:space="0" w:color="B3EFFD"/>
              <w:right w:val="nil"/>
            </w:tcBorders>
            <w:shd w:val="clear" w:color="000000" w:fill="FFFFFF"/>
            <w:noWrap/>
            <w:vAlign w:val="center"/>
            <w:hideMark/>
          </w:tcPr>
          <w:p w14:paraId="68A0336B" w14:textId="4195AF3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1,586</w:t>
            </w:r>
          </w:p>
        </w:tc>
      </w:tr>
      <w:tr w:rsidR="00D80A0A" w:rsidRPr="00E65743" w14:paraId="024D9453" w14:textId="77777777" w:rsidTr="00791CB8">
        <w:tc>
          <w:tcPr>
            <w:tcW w:w="532" w:type="pct"/>
            <w:tcBorders>
              <w:top w:val="nil"/>
              <w:left w:val="nil"/>
              <w:bottom w:val="single" w:sz="8" w:space="0" w:color="B3EFFD"/>
              <w:right w:val="nil"/>
            </w:tcBorders>
            <w:shd w:val="clear" w:color="000000" w:fill="FFFFFF"/>
            <w:vAlign w:val="center"/>
            <w:hideMark/>
          </w:tcPr>
          <w:p w14:paraId="39223FF3" w14:textId="77777777" w:rsidR="00CC1DE5" w:rsidRPr="00E65743" w:rsidRDefault="00CC1DE5" w:rsidP="00791CB8">
            <w:pPr>
              <w:suppressAutoHyphens w:val="0"/>
              <w:autoSpaceDN/>
              <w:spacing w:before="0" w:after="0"/>
              <w:rPr>
                <w:rFonts w:ascii="Arial Narrow" w:hAnsi="Arial Narrow" w:cs="Calibri"/>
                <w:b/>
                <w:bCs/>
                <w:color w:val="000000"/>
                <w:sz w:val="20"/>
                <w:szCs w:val="20"/>
              </w:rPr>
            </w:pPr>
            <w:r w:rsidRPr="00E65743">
              <w:rPr>
                <w:rFonts w:ascii="Arial Narrow" w:hAnsi="Arial Narrow" w:cs="Calibri"/>
                <w:b/>
                <w:bCs/>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71FC2863"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71A6595E"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Advanced Thermostat</w:t>
            </w:r>
          </w:p>
        </w:tc>
        <w:tc>
          <w:tcPr>
            <w:tcW w:w="250" w:type="pct"/>
            <w:tcBorders>
              <w:top w:val="nil"/>
              <w:left w:val="nil"/>
              <w:bottom w:val="single" w:sz="8" w:space="0" w:color="B3EFFD"/>
              <w:right w:val="nil"/>
            </w:tcBorders>
            <w:shd w:val="clear" w:color="000000" w:fill="FFFFFF"/>
            <w:noWrap/>
            <w:vAlign w:val="center"/>
            <w:hideMark/>
          </w:tcPr>
          <w:p w14:paraId="15BF71A6"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6C77A294" w14:textId="7E308AA6"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11</w:t>
            </w:r>
          </w:p>
        </w:tc>
        <w:tc>
          <w:tcPr>
            <w:tcW w:w="429" w:type="pct"/>
            <w:tcBorders>
              <w:top w:val="nil"/>
              <w:left w:val="nil"/>
              <w:bottom w:val="single" w:sz="8" w:space="0" w:color="B3EFFD"/>
              <w:right w:val="nil"/>
            </w:tcBorders>
            <w:shd w:val="clear" w:color="000000" w:fill="FFFFFF"/>
            <w:noWrap/>
            <w:vAlign w:val="center"/>
            <w:hideMark/>
          </w:tcPr>
          <w:p w14:paraId="44A4E739" w14:textId="7743856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11.0</w:t>
            </w:r>
          </w:p>
        </w:tc>
        <w:tc>
          <w:tcPr>
            <w:tcW w:w="569" w:type="pct"/>
            <w:tcBorders>
              <w:top w:val="nil"/>
              <w:left w:val="nil"/>
              <w:bottom w:val="single" w:sz="8" w:space="0" w:color="B3EFFD"/>
              <w:right w:val="nil"/>
            </w:tcBorders>
            <w:shd w:val="clear" w:color="000000" w:fill="FFFFFF"/>
            <w:vAlign w:val="center"/>
            <w:hideMark/>
          </w:tcPr>
          <w:p w14:paraId="05475F6F" w14:textId="7B77049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692</w:t>
            </w:r>
          </w:p>
        </w:tc>
        <w:tc>
          <w:tcPr>
            <w:tcW w:w="568" w:type="pct"/>
            <w:tcBorders>
              <w:top w:val="nil"/>
              <w:left w:val="nil"/>
              <w:bottom w:val="single" w:sz="8" w:space="0" w:color="B3EFFD"/>
              <w:right w:val="nil"/>
            </w:tcBorders>
            <w:shd w:val="clear" w:color="auto" w:fill="auto"/>
            <w:vAlign w:val="center"/>
            <w:hideMark/>
          </w:tcPr>
          <w:p w14:paraId="1E24E41E" w14:textId="27816D5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692</w:t>
            </w:r>
          </w:p>
        </w:tc>
        <w:tc>
          <w:tcPr>
            <w:tcW w:w="547" w:type="pct"/>
            <w:tcBorders>
              <w:top w:val="nil"/>
              <w:left w:val="nil"/>
              <w:bottom w:val="single" w:sz="8" w:space="0" w:color="B3EFFD"/>
              <w:right w:val="nil"/>
            </w:tcBorders>
            <w:shd w:val="clear" w:color="000000" w:fill="FFFFFF"/>
            <w:noWrap/>
            <w:vAlign w:val="center"/>
            <w:hideMark/>
          </w:tcPr>
          <w:p w14:paraId="08500E9F" w14:textId="20EFC42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692</w:t>
            </w:r>
          </w:p>
        </w:tc>
      </w:tr>
      <w:tr w:rsidR="00D80A0A" w:rsidRPr="00E65743" w14:paraId="0B64B49D" w14:textId="77777777" w:rsidTr="00791CB8">
        <w:tc>
          <w:tcPr>
            <w:tcW w:w="532" w:type="pct"/>
            <w:tcBorders>
              <w:top w:val="nil"/>
              <w:left w:val="nil"/>
              <w:bottom w:val="single" w:sz="8" w:space="0" w:color="B3EFFD"/>
              <w:right w:val="nil"/>
            </w:tcBorders>
            <w:shd w:val="clear" w:color="000000" w:fill="FFFFFF"/>
            <w:vAlign w:val="center"/>
            <w:hideMark/>
          </w:tcPr>
          <w:p w14:paraId="753FEE3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30A2D1C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7156C4BD"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Exhaust Damper</w:t>
            </w:r>
          </w:p>
        </w:tc>
        <w:tc>
          <w:tcPr>
            <w:tcW w:w="250" w:type="pct"/>
            <w:tcBorders>
              <w:top w:val="nil"/>
              <w:left w:val="nil"/>
              <w:bottom w:val="single" w:sz="8" w:space="0" w:color="B3EFFD"/>
              <w:right w:val="nil"/>
            </w:tcBorders>
            <w:shd w:val="clear" w:color="000000" w:fill="FFFFFF"/>
            <w:noWrap/>
            <w:vAlign w:val="center"/>
            <w:hideMark/>
          </w:tcPr>
          <w:p w14:paraId="28C673C2"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60539EEF" w14:textId="36C1D43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3,082</w:t>
            </w:r>
          </w:p>
        </w:tc>
        <w:tc>
          <w:tcPr>
            <w:tcW w:w="429" w:type="pct"/>
            <w:tcBorders>
              <w:top w:val="nil"/>
              <w:left w:val="nil"/>
              <w:bottom w:val="single" w:sz="8" w:space="0" w:color="B3EFFD"/>
              <w:right w:val="nil"/>
            </w:tcBorders>
            <w:shd w:val="clear" w:color="auto" w:fill="auto"/>
            <w:noWrap/>
            <w:vAlign w:val="center"/>
            <w:hideMark/>
          </w:tcPr>
          <w:p w14:paraId="03051F47" w14:textId="7B2F179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15.0</w:t>
            </w:r>
          </w:p>
        </w:tc>
        <w:tc>
          <w:tcPr>
            <w:tcW w:w="569" w:type="pct"/>
            <w:tcBorders>
              <w:top w:val="nil"/>
              <w:left w:val="nil"/>
              <w:bottom w:val="single" w:sz="8" w:space="0" w:color="B3EFFD"/>
              <w:right w:val="nil"/>
            </w:tcBorders>
            <w:shd w:val="clear" w:color="000000" w:fill="FFFFFF"/>
            <w:vAlign w:val="center"/>
            <w:hideMark/>
          </w:tcPr>
          <w:p w14:paraId="768DA235" w14:textId="15C9D508"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549</w:t>
            </w:r>
          </w:p>
        </w:tc>
        <w:tc>
          <w:tcPr>
            <w:tcW w:w="568" w:type="pct"/>
            <w:tcBorders>
              <w:top w:val="nil"/>
              <w:left w:val="nil"/>
              <w:bottom w:val="single" w:sz="8" w:space="0" w:color="B3EFFD"/>
              <w:right w:val="nil"/>
            </w:tcBorders>
            <w:shd w:val="clear" w:color="auto" w:fill="auto"/>
            <w:vAlign w:val="center"/>
            <w:hideMark/>
          </w:tcPr>
          <w:p w14:paraId="3294CD08" w14:textId="0A585182"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549</w:t>
            </w:r>
          </w:p>
        </w:tc>
        <w:tc>
          <w:tcPr>
            <w:tcW w:w="547" w:type="pct"/>
            <w:tcBorders>
              <w:top w:val="nil"/>
              <w:left w:val="nil"/>
              <w:bottom w:val="single" w:sz="8" w:space="0" w:color="B3EFFD"/>
              <w:right w:val="nil"/>
            </w:tcBorders>
            <w:shd w:val="clear" w:color="000000" w:fill="FFFFFF"/>
            <w:noWrap/>
            <w:vAlign w:val="center"/>
            <w:hideMark/>
          </w:tcPr>
          <w:p w14:paraId="118A8D8A" w14:textId="7D66EA5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549</w:t>
            </w:r>
          </w:p>
        </w:tc>
      </w:tr>
      <w:tr w:rsidR="00D80A0A" w:rsidRPr="00E65743" w14:paraId="75F72E1B" w14:textId="77777777" w:rsidTr="00791CB8">
        <w:tc>
          <w:tcPr>
            <w:tcW w:w="532" w:type="pct"/>
            <w:tcBorders>
              <w:top w:val="nil"/>
              <w:left w:val="nil"/>
              <w:bottom w:val="single" w:sz="8" w:space="0" w:color="B3EFFD"/>
              <w:right w:val="nil"/>
            </w:tcBorders>
            <w:shd w:val="clear" w:color="000000" w:fill="FFFFFF"/>
            <w:vAlign w:val="center"/>
            <w:hideMark/>
          </w:tcPr>
          <w:p w14:paraId="3171977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6DCCA56A"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5EF2D701"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Wall Insulation</w:t>
            </w:r>
          </w:p>
        </w:tc>
        <w:tc>
          <w:tcPr>
            <w:tcW w:w="250" w:type="pct"/>
            <w:tcBorders>
              <w:top w:val="nil"/>
              <w:left w:val="nil"/>
              <w:bottom w:val="single" w:sz="8" w:space="0" w:color="B3EFFD"/>
              <w:right w:val="nil"/>
            </w:tcBorders>
            <w:shd w:val="clear" w:color="000000" w:fill="FFFFFF"/>
            <w:noWrap/>
            <w:vAlign w:val="center"/>
            <w:hideMark/>
          </w:tcPr>
          <w:p w14:paraId="252F392D"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1FB137D6" w14:textId="6BC86CA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3,934</w:t>
            </w:r>
          </w:p>
        </w:tc>
        <w:tc>
          <w:tcPr>
            <w:tcW w:w="429" w:type="pct"/>
            <w:tcBorders>
              <w:top w:val="nil"/>
              <w:left w:val="nil"/>
              <w:bottom w:val="single" w:sz="8" w:space="0" w:color="B3EFFD"/>
              <w:right w:val="nil"/>
            </w:tcBorders>
            <w:shd w:val="clear" w:color="000000" w:fill="FFFFFF"/>
            <w:noWrap/>
            <w:vAlign w:val="center"/>
            <w:hideMark/>
          </w:tcPr>
          <w:p w14:paraId="6CB7C0F7" w14:textId="342FA64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6072B4B8" w14:textId="655D0B5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468</w:t>
            </w:r>
          </w:p>
        </w:tc>
        <w:tc>
          <w:tcPr>
            <w:tcW w:w="568" w:type="pct"/>
            <w:tcBorders>
              <w:top w:val="nil"/>
              <w:left w:val="nil"/>
              <w:bottom w:val="single" w:sz="8" w:space="0" w:color="B3EFFD"/>
              <w:right w:val="nil"/>
            </w:tcBorders>
            <w:shd w:val="clear" w:color="auto" w:fill="auto"/>
            <w:vAlign w:val="center"/>
            <w:hideMark/>
          </w:tcPr>
          <w:p w14:paraId="2B8BF3C0" w14:textId="32C66E88"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468</w:t>
            </w:r>
          </w:p>
        </w:tc>
        <w:tc>
          <w:tcPr>
            <w:tcW w:w="547" w:type="pct"/>
            <w:tcBorders>
              <w:top w:val="nil"/>
              <w:left w:val="nil"/>
              <w:bottom w:val="single" w:sz="8" w:space="0" w:color="B3EFFD"/>
              <w:right w:val="nil"/>
            </w:tcBorders>
            <w:shd w:val="clear" w:color="000000" w:fill="FFFFFF"/>
            <w:noWrap/>
            <w:vAlign w:val="center"/>
            <w:hideMark/>
          </w:tcPr>
          <w:p w14:paraId="3312DEB9" w14:textId="4F69838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468</w:t>
            </w:r>
          </w:p>
        </w:tc>
      </w:tr>
      <w:tr w:rsidR="00D80A0A" w:rsidRPr="00E65743" w14:paraId="4A6D94C5" w14:textId="77777777" w:rsidTr="00791CB8">
        <w:tc>
          <w:tcPr>
            <w:tcW w:w="532" w:type="pct"/>
            <w:tcBorders>
              <w:top w:val="nil"/>
              <w:left w:val="nil"/>
              <w:bottom w:val="single" w:sz="8" w:space="0" w:color="B3EFFD"/>
              <w:right w:val="nil"/>
            </w:tcBorders>
            <w:shd w:val="clear" w:color="000000" w:fill="FFFFFF"/>
            <w:vAlign w:val="center"/>
            <w:hideMark/>
          </w:tcPr>
          <w:p w14:paraId="26B0A5EA"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lastRenderedPageBreak/>
              <w:t> </w:t>
            </w:r>
          </w:p>
        </w:tc>
        <w:tc>
          <w:tcPr>
            <w:tcW w:w="445" w:type="pct"/>
            <w:tcBorders>
              <w:top w:val="nil"/>
              <w:left w:val="nil"/>
              <w:bottom w:val="single" w:sz="8" w:space="0" w:color="B3EFFD"/>
              <w:right w:val="nil"/>
            </w:tcBorders>
            <w:shd w:val="clear" w:color="auto" w:fill="auto"/>
            <w:vAlign w:val="center"/>
            <w:hideMark/>
          </w:tcPr>
          <w:p w14:paraId="61D9CF4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7BF0FB3A"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Crawl Space Ceiling Insulation</w:t>
            </w:r>
          </w:p>
        </w:tc>
        <w:tc>
          <w:tcPr>
            <w:tcW w:w="250" w:type="pct"/>
            <w:tcBorders>
              <w:top w:val="nil"/>
              <w:left w:val="nil"/>
              <w:bottom w:val="single" w:sz="8" w:space="0" w:color="B3EFFD"/>
              <w:right w:val="nil"/>
            </w:tcBorders>
            <w:shd w:val="clear" w:color="000000" w:fill="FFFFFF"/>
            <w:noWrap/>
            <w:vAlign w:val="center"/>
            <w:hideMark/>
          </w:tcPr>
          <w:p w14:paraId="66E2E19F"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Sq Ft</w:t>
            </w:r>
          </w:p>
        </w:tc>
        <w:tc>
          <w:tcPr>
            <w:tcW w:w="393" w:type="pct"/>
            <w:tcBorders>
              <w:top w:val="nil"/>
              <w:left w:val="nil"/>
              <w:bottom w:val="single" w:sz="8" w:space="0" w:color="B3EFFD"/>
              <w:right w:val="nil"/>
            </w:tcBorders>
            <w:shd w:val="clear" w:color="000000" w:fill="FFFFFF"/>
            <w:noWrap/>
            <w:vAlign w:val="center"/>
            <w:hideMark/>
          </w:tcPr>
          <w:p w14:paraId="28F66CDA" w14:textId="797583C8"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1,440</w:t>
            </w:r>
          </w:p>
        </w:tc>
        <w:tc>
          <w:tcPr>
            <w:tcW w:w="429" w:type="pct"/>
            <w:tcBorders>
              <w:top w:val="nil"/>
              <w:left w:val="nil"/>
              <w:bottom w:val="single" w:sz="8" w:space="0" w:color="B3EFFD"/>
              <w:right w:val="nil"/>
            </w:tcBorders>
            <w:shd w:val="clear" w:color="000000" w:fill="FFFFFF"/>
            <w:noWrap/>
            <w:vAlign w:val="center"/>
            <w:hideMark/>
          </w:tcPr>
          <w:p w14:paraId="10BAA3BE" w14:textId="32B5095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63285A82" w14:textId="191DA8BA"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174</w:t>
            </w:r>
          </w:p>
        </w:tc>
        <w:tc>
          <w:tcPr>
            <w:tcW w:w="568" w:type="pct"/>
            <w:tcBorders>
              <w:top w:val="nil"/>
              <w:left w:val="nil"/>
              <w:bottom w:val="single" w:sz="8" w:space="0" w:color="B3EFFD"/>
              <w:right w:val="nil"/>
            </w:tcBorders>
            <w:shd w:val="clear" w:color="auto" w:fill="auto"/>
            <w:vAlign w:val="center"/>
            <w:hideMark/>
          </w:tcPr>
          <w:p w14:paraId="1E2506B1" w14:textId="75C937B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174</w:t>
            </w:r>
          </w:p>
        </w:tc>
        <w:tc>
          <w:tcPr>
            <w:tcW w:w="547" w:type="pct"/>
            <w:tcBorders>
              <w:top w:val="nil"/>
              <w:left w:val="nil"/>
              <w:bottom w:val="single" w:sz="8" w:space="0" w:color="B3EFFD"/>
              <w:right w:val="nil"/>
            </w:tcBorders>
            <w:shd w:val="clear" w:color="000000" w:fill="FFFFFF"/>
            <w:noWrap/>
            <w:vAlign w:val="center"/>
            <w:hideMark/>
          </w:tcPr>
          <w:p w14:paraId="0D7E897F" w14:textId="63BB547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174</w:t>
            </w:r>
          </w:p>
        </w:tc>
      </w:tr>
      <w:tr w:rsidR="00D80A0A" w:rsidRPr="00E65743" w14:paraId="1DCE98F6" w14:textId="77777777" w:rsidTr="00791CB8">
        <w:tc>
          <w:tcPr>
            <w:tcW w:w="532" w:type="pct"/>
            <w:tcBorders>
              <w:top w:val="nil"/>
              <w:left w:val="nil"/>
              <w:bottom w:val="single" w:sz="8" w:space="0" w:color="B3EFFD"/>
              <w:right w:val="nil"/>
            </w:tcBorders>
            <w:shd w:val="clear" w:color="000000" w:fill="FFFFFF"/>
            <w:vAlign w:val="center"/>
            <w:hideMark/>
          </w:tcPr>
          <w:p w14:paraId="68F115EB"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03E2B5BC"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2B62AD36"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High Efficiency Furnace</w:t>
            </w:r>
          </w:p>
        </w:tc>
        <w:tc>
          <w:tcPr>
            <w:tcW w:w="250" w:type="pct"/>
            <w:tcBorders>
              <w:top w:val="nil"/>
              <w:left w:val="nil"/>
              <w:bottom w:val="single" w:sz="8" w:space="0" w:color="B3EFFD"/>
              <w:right w:val="nil"/>
            </w:tcBorders>
            <w:shd w:val="clear" w:color="000000" w:fill="FFFFFF"/>
            <w:noWrap/>
            <w:vAlign w:val="center"/>
            <w:hideMark/>
          </w:tcPr>
          <w:p w14:paraId="039BC823"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MBH</w:t>
            </w:r>
          </w:p>
        </w:tc>
        <w:tc>
          <w:tcPr>
            <w:tcW w:w="393" w:type="pct"/>
            <w:tcBorders>
              <w:top w:val="nil"/>
              <w:left w:val="nil"/>
              <w:bottom w:val="single" w:sz="8" w:space="0" w:color="B3EFFD"/>
              <w:right w:val="nil"/>
            </w:tcBorders>
            <w:shd w:val="clear" w:color="000000" w:fill="FFFFFF"/>
            <w:noWrap/>
            <w:vAlign w:val="center"/>
            <w:hideMark/>
          </w:tcPr>
          <w:p w14:paraId="0A59A030" w14:textId="26EC4276"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80</w:t>
            </w:r>
          </w:p>
        </w:tc>
        <w:tc>
          <w:tcPr>
            <w:tcW w:w="429" w:type="pct"/>
            <w:tcBorders>
              <w:top w:val="nil"/>
              <w:left w:val="nil"/>
              <w:bottom w:val="single" w:sz="8" w:space="0" w:color="B3EFFD"/>
              <w:right w:val="nil"/>
            </w:tcBorders>
            <w:shd w:val="clear" w:color="000000" w:fill="FFFFFF"/>
            <w:noWrap/>
            <w:vAlign w:val="center"/>
            <w:hideMark/>
          </w:tcPr>
          <w:p w14:paraId="2B631121" w14:textId="3367BC7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1294E19A" w14:textId="1537744A"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172</w:t>
            </w:r>
          </w:p>
        </w:tc>
        <w:tc>
          <w:tcPr>
            <w:tcW w:w="568" w:type="pct"/>
            <w:tcBorders>
              <w:top w:val="nil"/>
              <w:left w:val="nil"/>
              <w:bottom w:val="single" w:sz="8" w:space="0" w:color="B3EFFD"/>
              <w:right w:val="nil"/>
            </w:tcBorders>
            <w:shd w:val="clear" w:color="auto" w:fill="auto"/>
            <w:vAlign w:val="center"/>
            <w:hideMark/>
          </w:tcPr>
          <w:p w14:paraId="749F96C7" w14:textId="2258D508"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172</w:t>
            </w:r>
          </w:p>
        </w:tc>
        <w:tc>
          <w:tcPr>
            <w:tcW w:w="547" w:type="pct"/>
            <w:tcBorders>
              <w:top w:val="nil"/>
              <w:left w:val="nil"/>
              <w:bottom w:val="single" w:sz="8" w:space="0" w:color="B3EFFD"/>
              <w:right w:val="nil"/>
            </w:tcBorders>
            <w:shd w:val="clear" w:color="000000" w:fill="FFFFFF"/>
            <w:noWrap/>
            <w:vAlign w:val="center"/>
            <w:hideMark/>
          </w:tcPr>
          <w:p w14:paraId="29683539" w14:textId="7B31BF6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172</w:t>
            </w:r>
          </w:p>
        </w:tc>
      </w:tr>
      <w:tr w:rsidR="00D80A0A" w:rsidRPr="00E65743" w14:paraId="62F6B7BA" w14:textId="77777777" w:rsidTr="00791CB8">
        <w:tc>
          <w:tcPr>
            <w:tcW w:w="532" w:type="pct"/>
            <w:tcBorders>
              <w:top w:val="nil"/>
              <w:left w:val="nil"/>
              <w:bottom w:val="single" w:sz="8" w:space="0" w:color="B3EFFD"/>
              <w:right w:val="nil"/>
            </w:tcBorders>
            <w:shd w:val="clear" w:color="000000" w:fill="FFFFFF"/>
            <w:vAlign w:val="center"/>
            <w:hideMark/>
          </w:tcPr>
          <w:p w14:paraId="19CED343"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2E8B662A"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34DB3545"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Assessment/No Savings</w:t>
            </w:r>
          </w:p>
        </w:tc>
        <w:tc>
          <w:tcPr>
            <w:tcW w:w="250" w:type="pct"/>
            <w:tcBorders>
              <w:top w:val="nil"/>
              <w:left w:val="nil"/>
              <w:bottom w:val="single" w:sz="8" w:space="0" w:color="B3EFFD"/>
              <w:right w:val="nil"/>
            </w:tcBorders>
            <w:shd w:val="clear" w:color="000000" w:fill="FFFFFF"/>
            <w:noWrap/>
            <w:vAlign w:val="center"/>
            <w:hideMark/>
          </w:tcPr>
          <w:p w14:paraId="58977401"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454A1F55" w14:textId="14DEE6E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91,578</w:t>
            </w:r>
          </w:p>
        </w:tc>
        <w:tc>
          <w:tcPr>
            <w:tcW w:w="429" w:type="pct"/>
            <w:tcBorders>
              <w:top w:val="nil"/>
              <w:left w:val="nil"/>
              <w:bottom w:val="single" w:sz="8" w:space="0" w:color="B3EFFD"/>
              <w:right w:val="nil"/>
            </w:tcBorders>
            <w:shd w:val="clear" w:color="000000" w:fill="FFFFFF"/>
            <w:noWrap/>
            <w:vAlign w:val="center"/>
            <w:hideMark/>
          </w:tcPr>
          <w:p w14:paraId="47A0D8F8" w14:textId="6A5FB34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w:t>
            </w:r>
          </w:p>
        </w:tc>
        <w:tc>
          <w:tcPr>
            <w:tcW w:w="569" w:type="pct"/>
            <w:tcBorders>
              <w:top w:val="nil"/>
              <w:left w:val="nil"/>
              <w:bottom w:val="single" w:sz="8" w:space="0" w:color="B3EFFD"/>
              <w:right w:val="nil"/>
            </w:tcBorders>
            <w:shd w:val="clear" w:color="000000" w:fill="FFFFFF"/>
            <w:vAlign w:val="center"/>
            <w:hideMark/>
          </w:tcPr>
          <w:p w14:paraId="00B07AD0" w14:textId="1801AAC4"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w:t>
            </w:r>
          </w:p>
        </w:tc>
        <w:tc>
          <w:tcPr>
            <w:tcW w:w="568" w:type="pct"/>
            <w:tcBorders>
              <w:top w:val="nil"/>
              <w:left w:val="nil"/>
              <w:bottom w:val="single" w:sz="8" w:space="0" w:color="B3EFFD"/>
              <w:right w:val="nil"/>
            </w:tcBorders>
            <w:shd w:val="clear" w:color="auto" w:fill="auto"/>
            <w:vAlign w:val="center"/>
            <w:hideMark/>
          </w:tcPr>
          <w:p w14:paraId="0D643370" w14:textId="21F7685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w:t>
            </w:r>
          </w:p>
        </w:tc>
        <w:tc>
          <w:tcPr>
            <w:tcW w:w="547" w:type="pct"/>
            <w:tcBorders>
              <w:top w:val="nil"/>
              <w:left w:val="nil"/>
              <w:bottom w:val="single" w:sz="8" w:space="0" w:color="B3EFFD"/>
              <w:right w:val="nil"/>
            </w:tcBorders>
            <w:shd w:val="clear" w:color="000000" w:fill="FFFFFF"/>
            <w:noWrap/>
            <w:vAlign w:val="center"/>
            <w:hideMark/>
          </w:tcPr>
          <w:p w14:paraId="58161A2B" w14:textId="5BF493CF"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w:t>
            </w:r>
          </w:p>
        </w:tc>
      </w:tr>
      <w:tr w:rsidR="00D80A0A" w:rsidRPr="00E65743" w14:paraId="1CD3CF81" w14:textId="77777777" w:rsidTr="00791CB8">
        <w:tc>
          <w:tcPr>
            <w:tcW w:w="532" w:type="pct"/>
            <w:tcBorders>
              <w:top w:val="nil"/>
              <w:left w:val="nil"/>
              <w:bottom w:val="single" w:sz="8" w:space="0" w:color="B3EFFD"/>
              <w:right w:val="nil"/>
            </w:tcBorders>
            <w:shd w:val="clear" w:color="000000" w:fill="FFFFFF"/>
            <w:vAlign w:val="center"/>
            <w:hideMark/>
          </w:tcPr>
          <w:p w14:paraId="2DF3437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687037D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IHWAP</w:t>
            </w:r>
          </w:p>
        </w:tc>
        <w:tc>
          <w:tcPr>
            <w:tcW w:w="1267" w:type="pct"/>
            <w:tcBorders>
              <w:top w:val="nil"/>
              <w:left w:val="nil"/>
              <w:bottom w:val="single" w:sz="8" w:space="0" w:color="B3EFFD"/>
              <w:right w:val="nil"/>
            </w:tcBorders>
            <w:shd w:val="clear" w:color="000000" w:fill="FFFFFF"/>
            <w:noWrap/>
            <w:vAlign w:val="center"/>
            <w:hideMark/>
          </w:tcPr>
          <w:p w14:paraId="341A5C57"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Custom - Thermostatic Radiator Valve</w:t>
            </w:r>
          </w:p>
        </w:tc>
        <w:tc>
          <w:tcPr>
            <w:tcW w:w="250" w:type="pct"/>
            <w:tcBorders>
              <w:top w:val="nil"/>
              <w:left w:val="nil"/>
              <w:bottom w:val="single" w:sz="8" w:space="0" w:color="B3EFFD"/>
              <w:right w:val="nil"/>
            </w:tcBorders>
            <w:shd w:val="clear" w:color="000000" w:fill="FFFFFF"/>
            <w:noWrap/>
            <w:vAlign w:val="center"/>
            <w:hideMark/>
          </w:tcPr>
          <w:p w14:paraId="72554267"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4BE17097" w14:textId="6F2DADB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100</w:t>
            </w:r>
          </w:p>
        </w:tc>
        <w:tc>
          <w:tcPr>
            <w:tcW w:w="429" w:type="pct"/>
            <w:tcBorders>
              <w:top w:val="nil"/>
              <w:left w:val="nil"/>
              <w:bottom w:val="single" w:sz="8" w:space="0" w:color="B3EFFD"/>
              <w:right w:val="nil"/>
            </w:tcBorders>
            <w:shd w:val="clear" w:color="auto" w:fill="auto"/>
            <w:noWrap/>
            <w:vAlign w:val="center"/>
            <w:hideMark/>
          </w:tcPr>
          <w:p w14:paraId="22A91E69" w14:textId="0BE2057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15.0</w:t>
            </w:r>
          </w:p>
        </w:tc>
        <w:tc>
          <w:tcPr>
            <w:tcW w:w="569" w:type="pct"/>
            <w:tcBorders>
              <w:top w:val="nil"/>
              <w:left w:val="nil"/>
              <w:bottom w:val="single" w:sz="8" w:space="0" w:color="B3EFFD"/>
              <w:right w:val="nil"/>
            </w:tcBorders>
            <w:shd w:val="clear" w:color="000000" w:fill="FFFFFF"/>
            <w:vAlign w:val="center"/>
            <w:hideMark/>
          </w:tcPr>
          <w:p w14:paraId="4D00558B" w14:textId="557D196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2,853</w:t>
            </w:r>
          </w:p>
        </w:tc>
        <w:tc>
          <w:tcPr>
            <w:tcW w:w="568" w:type="pct"/>
            <w:tcBorders>
              <w:top w:val="nil"/>
              <w:left w:val="nil"/>
              <w:bottom w:val="single" w:sz="8" w:space="0" w:color="B3EFFD"/>
              <w:right w:val="nil"/>
            </w:tcBorders>
            <w:shd w:val="clear" w:color="auto" w:fill="auto"/>
            <w:vAlign w:val="center"/>
            <w:hideMark/>
          </w:tcPr>
          <w:p w14:paraId="20DEA691" w14:textId="702D9701"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2,853</w:t>
            </w:r>
          </w:p>
        </w:tc>
        <w:tc>
          <w:tcPr>
            <w:tcW w:w="547" w:type="pct"/>
            <w:tcBorders>
              <w:top w:val="nil"/>
              <w:left w:val="nil"/>
              <w:bottom w:val="single" w:sz="8" w:space="0" w:color="B3EFFD"/>
              <w:right w:val="nil"/>
            </w:tcBorders>
            <w:shd w:val="clear" w:color="000000" w:fill="FFFFFF"/>
            <w:noWrap/>
            <w:vAlign w:val="center"/>
            <w:hideMark/>
          </w:tcPr>
          <w:p w14:paraId="18A8BFD3" w14:textId="47E528A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2,853</w:t>
            </w:r>
          </w:p>
        </w:tc>
      </w:tr>
      <w:tr w:rsidR="00D80A0A" w:rsidRPr="00E65743" w14:paraId="2D994A89" w14:textId="77777777" w:rsidTr="00791CB8">
        <w:tc>
          <w:tcPr>
            <w:tcW w:w="532" w:type="pct"/>
            <w:tcBorders>
              <w:top w:val="nil"/>
              <w:left w:val="nil"/>
              <w:bottom w:val="single" w:sz="8" w:space="0" w:color="B3EFFD"/>
              <w:right w:val="nil"/>
            </w:tcBorders>
            <w:shd w:val="clear" w:color="000000" w:fill="FFFFFF"/>
            <w:vAlign w:val="center"/>
            <w:hideMark/>
          </w:tcPr>
          <w:p w14:paraId="04CC5724"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2E37BA4C"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2AF2D49F"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Custom - Water Heater</w:t>
            </w:r>
          </w:p>
        </w:tc>
        <w:tc>
          <w:tcPr>
            <w:tcW w:w="250" w:type="pct"/>
            <w:tcBorders>
              <w:top w:val="nil"/>
              <w:left w:val="nil"/>
              <w:bottom w:val="single" w:sz="8" w:space="0" w:color="B3EFFD"/>
              <w:right w:val="nil"/>
            </w:tcBorders>
            <w:shd w:val="clear" w:color="000000" w:fill="FFFFFF"/>
            <w:noWrap/>
            <w:vAlign w:val="center"/>
            <w:hideMark/>
          </w:tcPr>
          <w:p w14:paraId="40D39787"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1068DFA0" w14:textId="081CD68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w:t>
            </w:r>
          </w:p>
        </w:tc>
        <w:tc>
          <w:tcPr>
            <w:tcW w:w="429" w:type="pct"/>
            <w:tcBorders>
              <w:top w:val="nil"/>
              <w:left w:val="nil"/>
              <w:bottom w:val="single" w:sz="8" w:space="0" w:color="B3EFFD"/>
              <w:right w:val="nil"/>
            </w:tcBorders>
            <w:shd w:val="clear" w:color="auto" w:fill="auto"/>
            <w:noWrap/>
            <w:vAlign w:val="center"/>
            <w:hideMark/>
          </w:tcPr>
          <w:p w14:paraId="2257BED7" w14:textId="43934D0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1B40FD0C" w14:textId="62F1DAF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1,574</w:t>
            </w:r>
          </w:p>
        </w:tc>
        <w:tc>
          <w:tcPr>
            <w:tcW w:w="568" w:type="pct"/>
            <w:tcBorders>
              <w:top w:val="nil"/>
              <w:left w:val="nil"/>
              <w:bottom w:val="single" w:sz="8" w:space="0" w:color="B3EFFD"/>
              <w:right w:val="nil"/>
            </w:tcBorders>
            <w:shd w:val="clear" w:color="auto" w:fill="auto"/>
            <w:vAlign w:val="center"/>
            <w:hideMark/>
          </w:tcPr>
          <w:p w14:paraId="27387F04" w14:textId="70F6E12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1,574</w:t>
            </w:r>
          </w:p>
        </w:tc>
        <w:tc>
          <w:tcPr>
            <w:tcW w:w="547" w:type="pct"/>
            <w:tcBorders>
              <w:top w:val="nil"/>
              <w:left w:val="nil"/>
              <w:bottom w:val="single" w:sz="8" w:space="0" w:color="B3EFFD"/>
              <w:right w:val="nil"/>
            </w:tcBorders>
            <w:shd w:val="clear" w:color="000000" w:fill="FFFFFF"/>
            <w:noWrap/>
            <w:vAlign w:val="center"/>
            <w:hideMark/>
          </w:tcPr>
          <w:p w14:paraId="3D6D8522" w14:textId="66BC612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1,574</w:t>
            </w:r>
          </w:p>
        </w:tc>
      </w:tr>
      <w:tr w:rsidR="00D80A0A" w:rsidRPr="00E65743" w14:paraId="44171C76" w14:textId="77777777" w:rsidTr="00791CB8">
        <w:tc>
          <w:tcPr>
            <w:tcW w:w="532" w:type="pct"/>
            <w:tcBorders>
              <w:top w:val="nil"/>
              <w:left w:val="nil"/>
              <w:bottom w:val="single" w:sz="8" w:space="0" w:color="B3EFFD"/>
              <w:right w:val="nil"/>
            </w:tcBorders>
            <w:shd w:val="clear" w:color="000000" w:fill="FFFFFF"/>
            <w:vAlign w:val="center"/>
            <w:hideMark/>
          </w:tcPr>
          <w:p w14:paraId="6CCD33CC"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174904A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67438780"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Custom - Attic Insulation</w:t>
            </w:r>
          </w:p>
        </w:tc>
        <w:tc>
          <w:tcPr>
            <w:tcW w:w="250" w:type="pct"/>
            <w:tcBorders>
              <w:top w:val="nil"/>
              <w:left w:val="nil"/>
              <w:bottom w:val="single" w:sz="8" w:space="0" w:color="B3EFFD"/>
              <w:right w:val="nil"/>
            </w:tcBorders>
            <w:shd w:val="clear" w:color="000000" w:fill="FFFFFF"/>
            <w:noWrap/>
            <w:vAlign w:val="center"/>
            <w:hideMark/>
          </w:tcPr>
          <w:p w14:paraId="24B232BC"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63512C17" w14:textId="638F9BB2"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93</w:t>
            </w:r>
          </w:p>
        </w:tc>
        <w:tc>
          <w:tcPr>
            <w:tcW w:w="429" w:type="pct"/>
            <w:tcBorders>
              <w:top w:val="nil"/>
              <w:left w:val="nil"/>
              <w:bottom w:val="single" w:sz="8" w:space="0" w:color="B3EFFD"/>
              <w:right w:val="nil"/>
            </w:tcBorders>
            <w:shd w:val="clear" w:color="auto" w:fill="auto"/>
            <w:noWrap/>
            <w:vAlign w:val="center"/>
            <w:hideMark/>
          </w:tcPr>
          <w:p w14:paraId="3C15475F" w14:textId="2CE8A38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20.0</w:t>
            </w:r>
          </w:p>
        </w:tc>
        <w:tc>
          <w:tcPr>
            <w:tcW w:w="569" w:type="pct"/>
            <w:tcBorders>
              <w:top w:val="nil"/>
              <w:left w:val="nil"/>
              <w:bottom w:val="single" w:sz="8" w:space="0" w:color="B3EFFD"/>
              <w:right w:val="nil"/>
            </w:tcBorders>
            <w:shd w:val="clear" w:color="000000" w:fill="FFFFFF"/>
            <w:vAlign w:val="center"/>
            <w:hideMark/>
          </w:tcPr>
          <w:p w14:paraId="175FD943" w14:textId="7D32E56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973</w:t>
            </w:r>
          </w:p>
        </w:tc>
        <w:tc>
          <w:tcPr>
            <w:tcW w:w="568" w:type="pct"/>
            <w:tcBorders>
              <w:top w:val="nil"/>
              <w:left w:val="nil"/>
              <w:bottom w:val="single" w:sz="8" w:space="0" w:color="B3EFFD"/>
              <w:right w:val="nil"/>
            </w:tcBorders>
            <w:shd w:val="clear" w:color="auto" w:fill="auto"/>
            <w:vAlign w:val="center"/>
            <w:hideMark/>
          </w:tcPr>
          <w:p w14:paraId="531E9955" w14:textId="66C3537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973</w:t>
            </w:r>
          </w:p>
        </w:tc>
        <w:tc>
          <w:tcPr>
            <w:tcW w:w="547" w:type="pct"/>
            <w:tcBorders>
              <w:top w:val="nil"/>
              <w:left w:val="nil"/>
              <w:bottom w:val="single" w:sz="8" w:space="0" w:color="B3EFFD"/>
              <w:right w:val="nil"/>
            </w:tcBorders>
            <w:shd w:val="clear" w:color="000000" w:fill="FFFFFF"/>
            <w:noWrap/>
            <w:vAlign w:val="center"/>
            <w:hideMark/>
          </w:tcPr>
          <w:p w14:paraId="57ED4258" w14:textId="63C12AB2"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973</w:t>
            </w:r>
          </w:p>
        </w:tc>
      </w:tr>
      <w:tr w:rsidR="00D80A0A" w:rsidRPr="00E65743" w14:paraId="462F5B2A" w14:textId="77777777" w:rsidTr="00791CB8">
        <w:tc>
          <w:tcPr>
            <w:tcW w:w="532" w:type="pct"/>
            <w:tcBorders>
              <w:top w:val="nil"/>
              <w:left w:val="nil"/>
              <w:bottom w:val="single" w:sz="8" w:space="0" w:color="B3EFFD"/>
              <w:right w:val="nil"/>
            </w:tcBorders>
            <w:shd w:val="clear" w:color="000000" w:fill="FFFFFF"/>
            <w:vAlign w:val="center"/>
            <w:hideMark/>
          </w:tcPr>
          <w:p w14:paraId="45ABA353"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64A5736D"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3A4A195B"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Showerhead (IU)</w:t>
            </w:r>
          </w:p>
        </w:tc>
        <w:tc>
          <w:tcPr>
            <w:tcW w:w="250" w:type="pct"/>
            <w:tcBorders>
              <w:top w:val="nil"/>
              <w:left w:val="nil"/>
              <w:bottom w:val="single" w:sz="8" w:space="0" w:color="B3EFFD"/>
              <w:right w:val="nil"/>
            </w:tcBorders>
            <w:shd w:val="clear" w:color="000000" w:fill="FFFFFF"/>
            <w:noWrap/>
            <w:vAlign w:val="center"/>
            <w:hideMark/>
          </w:tcPr>
          <w:p w14:paraId="47BB7C18"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7E947BDB" w14:textId="1E41E98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80</w:t>
            </w:r>
          </w:p>
        </w:tc>
        <w:tc>
          <w:tcPr>
            <w:tcW w:w="429" w:type="pct"/>
            <w:tcBorders>
              <w:top w:val="nil"/>
              <w:left w:val="nil"/>
              <w:bottom w:val="single" w:sz="8" w:space="0" w:color="B3EFFD"/>
              <w:right w:val="nil"/>
            </w:tcBorders>
            <w:shd w:val="clear" w:color="000000" w:fill="FFFFFF"/>
            <w:noWrap/>
            <w:vAlign w:val="center"/>
            <w:hideMark/>
          </w:tcPr>
          <w:p w14:paraId="21608A47" w14:textId="3F35881C"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10.0</w:t>
            </w:r>
          </w:p>
        </w:tc>
        <w:tc>
          <w:tcPr>
            <w:tcW w:w="569" w:type="pct"/>
            <w:tcBorders>
              <w:top w:val="nil"/>
              <w:left w:val="nil"/>
              <w:bottom w:val="single" w:sz="8" w:space="0" w:color="B3EFFD"/>
              <w:right w:val="nil"/>
            </w:tcBorders>
            <w:shd w:val="clear" w:color="000000" w:fill="FFFFFF"/>
            <w:vAlign w:val="center"/>
            <w:hideMark/>
          </w:tcPr>
          <w:p w14:paraId="0FA59A3E" w14:textId="18A40FA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321</w:t>
            </w:r>
          </w:p>
        </w:tc>
        <w:tc>
          <w:tcPr>
            <w:tcW w:w="568" w:type="pct"/>
            <w:tcBorders>
              <w:top w:val="nil"/>
              <w:left w:val="nil"/>
              <w:bottom w:val="single" w:sz="8" w:space="0" w:color="B3EFFD"/>
              <w:right w:val="nil"/>
            </w:tcBorders>
            <w:shd w:val="clear" w:color="auto" w:fill="auto"/>
            <w:vAlign w:val="center"/>
            <w:hideMark/>
          </w:tcPr>
          <w:p w14:paraId="5F1AE4D5" w14:textId="5D9E9EFE"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321</w:t>
            </w:r>
          </w:p>
        </w:tc>
        <w:tc>
          <w:tcPr>
            <w:tcW w:w="547" w:type="pct"/>
            <w:tcBorders>
              <w:top w:val="nil"/>
              <w:left w:val="nil"/>
              <w:bottom w:val="single" w:sz="8" w:space="0" w:color="B3EFFD"/>
              <w:right w:val="nil"/>
            </w:tcBorders>
            <w:shd w:val="clear" w:color="000000" w:fill="FFFFFF"/>
            <w:noWrap/>
            <w:vAlign w:val="center"/>
            <w:hideMark/>
          </w:tcPr>
          <w:p w14:paraId="25C9B4F1" w14:textId="0E3943A3"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321</w:t>
            </w:r>
          </w:p>
        </w:tc>
      </w:tr>
      <w:tr w:rsidR="00D80A0A" w:rsidRPr="00E65743" w14:paraId="6395A7D5" w14:textId="77777777" w:rsidTr="00791CB8">
        <w:tc>
          <w:tcPr>
            <w:tcW w:w="532" w:type="pct"/>
            <w:tcBorders>
              <w:top w:val="nil"/>
              <w:left w:val="nil"/>
              <w:bottom w:val="single" w:sz="8" w:space="0" w:color="B3EFFD"/>
              <w:right w:val="nil"/>
            </w:tcBorders>
            <w:shd w:val="clear" w:color="000000" w:fill="FFFFFF"/>
            <w:vAlign w:val="center"/>
            <w:hideMark/>
          </w:tcPr>
          <w:p w14:paraId="21C93D64"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4044E4B8"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2E0733F2"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Faucet Aerator - Bathroom (IU)</w:t>
            </w:r>
          </w:p>
        </w:tc>
        <w:tc>
          <w:tcPr>
            <w:tcW w:w="250" w:type="pct"/>
            <w:tcBorders>
              <w:top w:val="nil"/>
              <w:left w:val="nil"/>
              <w:bottom w:val="single" w:sz="8" w:space="0" w:color="B3EFFD"/>
              <w:right w:val="nil"/>
            </w:tcBorders>
            <w:shd w:val="clear" w:color="000000" w:fill="FFFFFF"/>
            <w:noWrap/>
            <w:vAlign w:val="center"/>
            <w:hideMark/>
          </w:tcPr>
          <w:p w14:paraId="6560A13B"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471637DD" w14:textId="4394F7D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37</w:t>
            </w:r>
          </w:p>
        </w:tc>
        <w:tc>
          <w:tcPr>
            <w:tcW w:w="429" w:type="pct"/>
            <w:tcBorders>
              <w:top w:val="nil"/>
              <w:left w:val="nil"/>
              <w:bottom w:val="single" w:sz="8" w:space="0" w:color="B3EFFD"/>
              <w:right w:val="nil"/>
            </w:tcBorders>
            <w:shd w:val="clear" w:color="000000" w:fill="FFFFFF"/>
            <w:noWrap/>
            <w:vAlign w:val="center"/>
            <w:hideMark/>
          </w:tcPr>
          <w:p w14:paraId="3A69F48C" w14:textId="2072A97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10.0</w:t>
            </w:r>
          </w:p>
        </w:tc>
        <w:tc>
          <w:tcPr>
            <w:tcW w:w="569" w:type="pct"/>
            <w:tcBorders>
              <w:top w:val="nil"/>
              <w:left w:val="nil"/>
              <w:bottom w:val="single" w:sz="8" w:space="0" w:color="B3EFFD"/>
              <w:right w:val="nil"/>
            </w:tcBorders>
            <w:shd w:val="clear" w:color="000000" w:fill="FFFFFF"/>
            <w:vAlign w:val="center"/>
            <w:hideMark/>
          </w:tcPr>
          <w:p w14:paraId="0DD781D8" w14:textId="425E331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66</w:t>
            </w:r>
          </w:p>
        </w:tc>
        <w:tc>
          <w:tcPr>
            <w:tcW w:w="568" w:type="pct"/>
            <w:tcBorders>
              <w:top w:val="nil"/>
              <w:left w:val="nil"/>
              <w:bottom w:val="single" w:sz="8" w:space="0" w:color="B3EFFD"/>
              <w:right w:val="nil"/>
            </w:tcBorders>
            <w:shd w:val="clear" w:color="auto" w:fill="auto"/>
            <w:vAlign w:val="center"/>
            <w:hideMark/>
          </w:tcPr>
          <w:p w14:paraId="1F9CECEC" w14:textId="3423D56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66</w:t>
            </w:r>
          </w:p>
        </w:tc>
        <w:tc>
          <w:tcPr>
            <w:tcW w:w="547" w:type="pct"/>
            <w:tcBorders>
              <w:top w:val="nil"/>
              <w:left w:val="nil"/>
              <w:bottom w:val="single" w:sz="8" w:space="0" w:color="B3EFFD"/>
              <w:right w:val="nil"/>
            </w:tcBorders>
            <w:shd w:val="clear" w:color="000000" w:fill="FFFFFF"/>
            <w:noWrap/>
            <w:vAlign w:val="center"/>
            <w:hideMark/>
          </w:tcPr>
          <w:p w14:paraId="6239EF13" w14:textId="49EBBA1B"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66</w:t>
            </w:r>
          </w:p>
        </w:tc>
      </w:tr>
      <w:tr w:rsidR="00D80A0A" w:rsidRPr="00E65743" w14:paraId="09FDB190" w14:textId="77777777" w:rsidTr="00791CB8">
        <w:tc>
          <w:tcPr>
            <w:tcW w:w="532" w:type="pct"/>
            <w:tcBorders>
              <w:top w:val="nil"/>
              <w:left w:val="nil"/>
              <w:bottom w:val="single" w:sz="8" w:space="0" w:color="B3EFFD"/>
              <w:right w:val="nil"/>
            </w:tcBorders>
            <w:shd w:val="clear" w:color="000000" w:fill="FFFFFF"/>
            <w:vAlign w:val="center"/>
            <w:hideMark/>
          </w:tcPr>
          <w:p w14:paraId="7F5480D9"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45" w:type="pct"/>
            <w:tcBorders>
              <w:top w:val="nil"/>
              <w:left w:val="nil"/>
              <w:bottom w:val="single" w:sz="8" w:space="0" w:color="B3EFFD"/>
              <w:right w:val="nil"/>
            </w:tcBorders>
            <w:shd w:val="clear" w:color="auto" w:fill="auto"/>
            <w:vAlign w:val="center"/>
            <w:hideMark/>
          </w:tcPr>
          <w:p w14:paraId="67E0094E"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67" w:type="pct"/>
            <w:tcBorders>
              <w:top w:val="nil"/>
              <w:left w:val="nil"/>
              <w:bottom w:val="single" w:sz="8" w:space="0" w:color="B3EFFD"/>
              <w:right w:val="nil"/>
            </w:tcBorders>
            <w:shd w:val="clear" w:color="000000" w:fill="FFFFFF"/>
            <w:noWrap/>
            <w:vAlign w:val="center"/>
            <w:hideMark/>
          </w:tcPr>
          <w:p w14:paraId="18D1D493" w14:textId="77777777" w:rsidR="00CC1DE5" w:rsidRPr="00E65743" w:rsidRDefault="00CC1DE5" w:rsidP="00791CB8">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Faucet Aerator - Kitchen (IU)</w:t>
            </w:r>
          </w:p>
        </w:tc>
        <w:tc>
          <w:tcPr>
            <w:tcW w:w="250" w:type="pct"/>
            <w:tcBorders>
              <w:top w:val="nil"/>
              <w:left w:val="nil"/>
              <w:bottom w:val="single" w:sz="8" w:space="0" w:color="B3EFFD"/>
              <w:right w:val="nil"/>
            </w:tcBorders>
            <w:shd w:val="clear" w:color="000000" w:fill="FFFFFF"/>
            <w:noWrap/>
            <w:vAlign w:val="center"/>
            <w:hideMark/>
          </w:tcPr>
          <w:p w14:paraId="44D4B9B5" w14:textId="77777777" w:rsidR="00CC1DE5" w:rsidRPr="00E65743" w:rsidRDefault="00CC1DE5" w:rsidP="00791CB8">
            <w:pPr>
              <w:suppressAutoHyphens w:val="0"/>
              <w:autoSpaceDN/>
              <w:spacing w:before="0" w:after="0"/>
              <w:jc w:val="center"/>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93" w:type="pct"/>
            <w:tcBorders>
              <w:top w:val="nil"/>
              <w:left w:val="nil"/>
              <w:bottom w:val="single" w:sz="8" w:space="0" w:color="B3EFFD"/>
              <w:right w:val="nil"/>
            </w:tcBorders>
            <w:shd w:val="clear" w:color="000000" w:fill="FFFFFF"/>
            <w:noWrap/>
            <w:vAlign w:val="center"/>
            <w:hideMark/>
          </w:tcPr>
          <w:p w14:paraId="2FE53856" w14:textId="4C79D849"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w:t>
            </w:r>
          </w:p>
        </w:tc>
        <w:tc>
          <w:tcPr>
            <w:tcW w:w="429" w:type="pct"/>
            <w:tcBorders>
              <w:top w:val="nil"/>
              <w:left w:val="nil"/>
              <w:bottom w:val="single" w:sz="8" w:space="0" w:color="B3EFFD"/>
              <w:right w:val="nil"/>
            </w:tcBorders>
            <w:shd w:val="clear" w:color="000000" w:fill="FFFFFF"/>
            <w:noWrap/>
            <w:vAlign w:val="center"/>
            <w:hideMark/>
          </w:tcPr>
          <w:p w14:paraId="07AEFE15" w14:textId="21BE2207"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10.0</w:t>
            </w:r>
          </w:p>
        </w:tc>
        <w:tc>
          <w:tcPr>
            <w:tcW w:w="569" w:type="pct"/>
            <w:tcBorders>
              <w:top w:val="nil"/>
              <w:left w:val="nil"/>
              <w:bottom w:val="single" w:sz="8" w:space="0" w:color="B3EFFD"/>
              <w:right w:val="nil"/>
            </w:tcBorders>
            <w:shd w:val="clear" w:color="000000" w:fill="FFFFFF"/>
            <w:vAlign w:val="center"/>
            <w:hideMark/>
          </w:tcPr>
          <w:p w14:paraId="5F562001" w14:textId="3927D2DD"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18</w:t>
            </w:r>
          </w:p>
        </w:tc>
        <w:tc>
          <w:tcPr>
            <w:tcW w:w="568" w:type="pct"/>
            <w:tcBorders>
              <w:top w:val="nil"/>
              <w:left w:val="nil"/>
              <w:bottom w:val="single" w:sz="8" w:space="0" w:color="B3EFFD"/>
              <w:right w:val="nil"/>
            </w:tcBorders>
            <w:shd w:val="clear" w:color="auto" w:fill="auto"/>
            <w:vAlign w:val="center"/>
            <w:hideMark/>
          </w:tcPr>
          <w:p w14:paraId="06169EEF" w14:textId="3F9271F0"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18</w:t>
            </w:r>
          </w:p>
        </w:tc>
        <w:tc>
          <w:tcPr>
            <w:tcW w:w="547" w:type="pct"/>
            <w:tcBorders>
              <w:top w:val="nil"/>
              <w:left w:val="nil"/>
              <w:bottom w:val="single" w:sz="8" w:space="0" w:color="B3EFFD"/>
              <w:right w:val="nil"/>
            </w:tcBorders>
            <w:shd w:val="clear" w:color="000000" w:fill="FFFFFF"/>
            <w:noWrap/>
            <w:vAlign w:val="center"/>
            <w:hideMark/>
          </w:tcPr>
          <w:p w14:paraId="2CDBDEC3" w14:textId="11E3FC75" w:rsidR="00CC1DE5" w:rsidRPr="00E65743" w:rsidRDefault="00CC1DE5" w:rsidP="00791CB8">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18</w:t>
            </w:r>
          </w:p>
        </w:tc>
      </w:tr>
      <w:tr w:rsidR="003B7768" w:rsidRPr="00E65743" w14:paraId="0E2A2C18" w14:textId="77777777" w:rsidTr="00791CB8">
        <w:tc>
          <w:tcPr>
            <w:tcW w:w="977" w:type="pct"/>
            <w:gridSpan w:val="2"/>
            <w:tcBorders>
              <w:top w:val="nil"/>
              <w:left w:val="nil"/>
              <w:bottom w:val="single" w:sz="8" w:space="0" w:color="036479"/>
              <w:right w:val="nil"/>
            </w:tcBorders>
            <w:shd w:val="clear" w:color="auto" w:fill="auto"/>
            <w:noWrap/>
            <w:vAlign w:val="center"/>
            <w:hideMark/>
          </w:tcPr>
          <w:p w14:paraId="1A63A929" w14:textId="4826B57F" w:rsidR="003B7768" w:rsidRPr="00E65743" w:rsidRDefault="003B7768" w:rsidP="00791CB8">
            <w:pPr>
              <w:suppressAutoHyphens w:val="0"/>
              <w:autoSpaceDN/>
              <w:spacing w:before="0" w:after="0"/>
              <w:rPr>
                <w:rFonts w:ascii="Arial Narrow" w:hAnsi="Arial Narrow" w:cs="Calibri"/>
                <w:b/>
                <w:bCs/>
                <w:color w:val="000000"/>
                <w:sz w:val="20"/>
                <w:szCs w:val="20"/>
              </w:rPr>
            </w:pPr>
            <w:r w:rsidRPr="00E65743">
              <w:rPr>
                <w:rFonts w:ascii="Arial Narrow" w:hAnsi="Arial Narrow" w:cs="Calibri"/>
                <w:b/>
                <w:bCs/>
                <w:color w:val="000000"/>
                <w:sz w:val="20"/>
                <w:szCs w:val="20"/>
              </w:rPr>
              <w:t>Total or Weighted Average</w:t>
            </w:r>
          </w:p>
          <w:p w14:paraId="15FFEE21" w14:textId="647A247E" w:rsidR="003B7768" w:rsidRPr="00E65743" w:rsidRDefault="003B7768" w:rsidP="00791CB8">
            <w:pPr>
              <w:spacing w:before="0" w:after="0"/>
              <w:jc w:val="center"/>
              <w:rPr>
                <w:rFonts w:ascii="Arial Narrow" w:hAnsi="Arial Narrow" w:cs="Calibri"/>
                <w:b/>
                <w:bCs/>
                <w:color w:val="000000"/>
                <w:sz w:val="20"/>
                <w:szCs w:val="20"/>
              </w:rPr>
            </w:pPr>
          </w:p>
        </w:tc>
        <w:tc>
          <w:tcPr>
            <w:tcW w:w="1267" w:type="pct"/>
            <w:tcBorders>
              <w:top w:val="nil"/>
              <w:left w:val="nil"/>
              <w:bottom w:val="single" w:sz="8" w:space="0" w:color="036479"/>
              <w:right w:val="nil"/>
            </w:tcBorders>
            <w:shd w:val="clear" w:color="auto" w:fill="auto"/>
            <w:noWrap/>
            <w:vAlign w:val="center"/>
            <w:hideMark/>
          </w:tcPr>
          <w:p w14:paraId="165F1E77" w14:textId="3CD6F18E" w:rsidR="003B7768" w:rsidRPr="00E65743" w:rsidRDefault="003B7768" w:rsidP="00791CB8">
            <w:pPr>
              <w:spacing w:before="0" w:after="0"/>
              <w:jc w:val="center"/>
              <w:rPr>
                <w:rFonts w:ascii="Arial Narrow" w:hAnsi="Arial Narrow" w:cs="Calibri"/>
                <w:b/>
                <w:bCs/>
                <w:color w:val="000000"/>
                <w:sz w:val="20"/>
                <w:szCs w:val="20"/>
              </w:rPr>
            </w:pPr>
          </w:p>
        </w:tc>
        <w:tc>
          <w:tcPr>
            <w:tcW w:w="250" w:type="pct"/>
            <w:tcBorders>
              <w:top w:val="nil"/>
              <w:left w:val="nil"/>
              <w:bottom w:val="single" w:sz="8" w:space="0" w:color="036479"/>
              <w:right w:val="nil"/>
            </w:tcBorders>
            <w:shd w:val="clear" w:color="auto" w:fill="auto"/>
            <w:noWrap/>
            <w:vAlign w:val="center"/>
            <w:hideMark/>
          </w:tcPr>
          <w:p w14:paraId="5A2070BA" w14:textId="1CFDB120" w:rsidR="003B7768" w:rsidRPr="00E65743" w:rsidRDefault="003B7768" w:rsidP="00791CB8">
            <w:pPr>
              <w:spacing w:before="0" w:after="0"/>
              <w:jc w:val="center"/>
              <w:rPr>
                <w:rFonts w:ascii="Arial Narrow" w:hAnsi="Arial Narrow" w:cs="Calibri"/>
                <w:b/>
                <w:bCs/>
                <w:color w:val="000000"/>
                <w:sz w:val="20"/>
                <w:szCs w:val="20"/>
              </w:rPr>
            </w:pPr>
          </w:p>
        </w:tc>
        <w:tc>
          <w:tcPr>
            <w:tcW w:w="393" w:type="pct"/>
            <w:tcBorders>
              <w:top w:val="nil"/>
              <w:left w:val="nil"/>
              <w:bottom w:val="single" w:sz="8" w:space="0" w:color="036479"/>
              <w:right w:val="nil"/>
            </w:tcBorders>
            <w:shd w:val="clear" w:color="auto" w:fill="auto"/>
            <w:noWrap/>
            <w:vAlign w:val="center"/>
            <w:hideMark/>
          </w:tcPr>
          <w:p w14:paraId="299183F0" w14:textId="4B80D89D" w:rsidR="003B7768" w:rsidRPr="00E65743" w:rsidRDefault="003B7768" w:rsidP="00791CB8">
            <w:pPr>
              <w:spacing w:before="0" w:after="0"/>
              <w:jc w:val="right"/>
              <w:rPr>
                <w:rFonts w:ascii="Arial Narrow" w:hAnsi="Arial Narrow" w:cs="Calibri"/>
                <w:b/>
                <w:bCs/>
                <w:color w:val="000000"/>
                <w:sz w:val="20"/>
                <w:szCs w:val="20"/>
              </w:rPr>
            </w:pPr>
          </w:p>
        </w:tc>
        <w:tc>
          <w:tcPr>
            <w:tcW w:w="429" w:type="pct"/>
            <w:tcBorders>
              <w:top w:val="nil"/>
              <w:left w:val="nil"/>
              <w:bottom w:val="single" w:sz="8" w:space="0" w:color="036479"/>
              <w:right w:val="nil"/>
            </w:tcBorders>
            <w:shd w:val="clear" w:color="auto" w:fill="auto"/>
            <w:noWrap/>
            <w:vAlign w:val="center"/>
            <w:hideMark/>
          </w:tcPr>
          <w:p w14:paraId="4E7F4509" w14:textId="76EDE05D" w:rsidR="003B7768" w:rsidRPr="00E65743" w:rsidRDefault="003B7768" w:rsidP="00791CB8">
            <w:pPr>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14.4</w:t>
            </w:r>
          </w:p>
        </w:tc>
        <w:tc>
          <w:tcPr>
            <w:tcW w:w="569" w:type="pct"/>
            <w:tcBorders>
              <w:top w:val="nil"/>
              <w:left w:val="nil"/>
              <w:bottom w:val="single" w:sz="8" w:space="0" w:color="036479"/>
              <w:right w:val="nil"/>
            </w:tcBorders>
            <w:shd w:val="clear" w:color="auto" w:fill="auto"/>
            <w:noWrap/>
            <w:vAlign w:val="center"/>
            <w:hideMark/>
          </w:tcPr>
          <w:p w14:paraId="0388429D" w14:textId="12F66A86" w:rsidR="003B7768" w:rsidRPr="00E65743" w:rsidRDefault="003B7768" w:rsidP="00791CB8">
            <w:pPr>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1,790,976</w:t>
            </w:r>
          </w:p>
        </w:tc>
        <w:tc>
          <w:tcPr>
            <w:tcW w:w="568" w:type="pct"/>
            <w:tcBorders>
              <w:top w:val="nil"/>
              <w:left w:val="nil"/>
              <w:bottom w:val="single" w:sz="8" w:space="0" w:color="036479"/>
              <w:right w:val="nil"/>
            </w:tcBorders>
            <w:shd w:val="clear" w:color="auto" w:fill="auto"/>
            <w:noWrap/>
            <w:vAlign w:val="center"/>
            <w:hideMark/>
          </w:tcPr>
          <w:p w14:paraId="1D703A6F" w14:textId="37DCE3EC" w:rsidR="003B7768" w:rsidRPr="00E65743" w:rsidRDefault="003B7768" w:rsidP="00791CB8">
            <w:pPr>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1,791,752</w:t>
            </w:r>
          </w:p>
        </w:tc>
        <w:tc>
          <w:tcPr>
            <w:tcW w:w="547" w:type="pct"/>
            <w:tcBorders>
              <w:top w:val="nil"/>
              <w:left w:val="nil"/>
              <w:bottom w:val="single" w:sz="8" w:space="0" w:color="036479"/>
              <w:right w:val="nil"/>
            </w:tcBorders>
            <w:shd w:val="clear" w:color="auto" w:fill="auto"/>
            <w:noWrap/>
            <w:vAlign w:val="center"/>
            <w:hideMark/>
          </w:tcPr>
          <w:p w14:paraId="757E6D0B" w14:textId="6F24029A" w:rsidR="003B7768" w:rsidRPr="00E65743" w:rsidRDefault="003B7768" w:rsidP="00791CB8">
            <w:pPr>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1,791,752</w:t>
            </w:r>
          </w:p>
        </w:tc>
      </w:tr>
    </w:tbl>
    <w:p w14:paraId="46C93E3D" w14:textId="73F364AD" w:rsidR="00E93A62" w:rsidRPr="00F65903" w:rsidRDefault="00E93A62" w:rsidP="00507A4B">
      <w:pPr>
        <w:pStyle w:val="Source"/>
      </w:pPr>
      <w:r w:rsidRPr="00F65903">
        <w:t xml:space="preserve">Source: </w:t>
      </w:r>
      <w:r w:rsidR="00CA196F">
        <w:t>E</w:t>
      </w:r>
      <w:r w:rsidRPr="00F65903">
        <w:t>valuation team analysis.</w:t>
      </w:r>
    </w:p>
    <w:p w14:paraId="1F351DC9" w14:textId="77777777" w:rsidR="00E93A62" w:rsidRPr="00D12853" w:rsidRDefault="00E93A62" w:rsidP="00E93A62"/>
    <w:p w14:paraId="53C46C34" w14:textId="24B54D65" w:rsidR="00E93A62" w:rsidRDefault="00F31C26" w:rsidP="004B73FE">
      <w:pPr>
        <w:pStyle w:val="Caption"/>
      </w:pPr>
      <w:bookmarkStart w:id="136" w:name="_Ref134176201"/>
      <w:bookmarkStart w:id="137" w:name="_Toc138318620"/>
      <w:bookmarkStart w:id="138" w:name="_Toc193349144"/>
      <w:bookmarkStart w:id="139" w:name="_Toc193349944"/>
      <w:bookmarkStart w:id="140" w:name="_Toc193349958"/>
      <w:bookmarkStart w:id="141" w:name="_Toc193350152"/>
      <w:r>
        <w:t xml:space="preserve">Table </w:t>
      </w:r>
      <w:r w:rsidR="000B1F3F">
        <w:t>B</w:t>
      </w:r>
      <w:r>
        <w:noBreakHyphen/>
      </w:r>
      <w:r w:rsidR="00434B54">
        <w:fldChar w:fldCharType="begin"/>
      </w:r>
      <w:r w:rsidR="00434B54">
        <w:instrText xml:space="preserve"> SEQ Table_Apx \* ARABIC \s 5 </w:instrText>
      </w:r>
      <w:r w:rsidR="00434B54">
        <w:fldChar w:fldCharType="separate"/>
      </w:r>
      <w:r w:rsidR="00434B54">
        <w:rPr>
          <w:noProof/>
        </w:rPr>
        <w:t>2</w:t>
      </w:r>
      <w:r w:rsidR="00434B54">
        <w:rPr>
          <w:noProof/>
        </w:rPr>
        <w:fldChar w:fldCharType="end"/>
      </w:r>
      <w:bookmarkEnd w:id="136"/>
      <w:r>
        <w:t xml:space="preserve">. </w:t>
      </w:r>
      <w:r w:rsidR="004F7BBC">
        <w:t xml:space="preserve">2024 MFIE Program </w:t>
      </w:r>
      <w:r>
        <w:t xml:space="preserve">Verified Cost </w:t>
      </w:r>
      <w:r w:rsidRPr="00956B89">
        <w:t>Effectiveness</w:t>
      </w:r>
      <w:r>
        <w:t xml:space="preserve"> Inputs – NSG</w:t>
      </w:r>
      <w:bookmarkEnd w:id="137"/>
      <w:bookmarkEnd w:id="138"/>
      <w:bookmarkEnd w:id="139"/>
      <w:bookmarkEnd w:id="140"/>
      <w:bookmarkEnd w:id="141"/>
    </w:p>
    <w:tbl>
      <w:tblPr>
        <w:tblW w:w="5000" w:type="pct"/>
        <w:tblLook w:val="04A0" w:firstRow="1" w:lastRow="0" w:firstColumn="1" w:lastColumn="0" w:noHBand="0" w:noVBand="1"/>
      </w:tblPr>
      <w:tblGrid>
        <w:gridCol w:w="1192"/>
        <w:gridCol w:w="1076"/>
        <w:gridCol w:w="3154"/>
        <w:gridCol w:w="638"/>
        <w:gridCol w:w="886"/>
        <w:gridCol w:w="1229"/>
        <w:gridCol w:w="1623"/>
        <w:gridCol w:w="1617"/>
        <w:gridCol w:w="1545"/>
      </w:tblGrid>
      <w:tr w:rsidR="00575F90" w:rsidRPr="00B77A62" w14:paraId="66C91A66" w14:textId="77777777" w:rsidTr="00D219D8">
        <w:trPr>
          <w:trHeight w:val="1278"/>
          <w:tblHeader/>
        </w:trPr>
        <w:tc>
          <w:tcPr>
            <w:tcW w:w="460" w:type="pct"/>
            <w:tcBorders>
              <w:top w:val="nil"/>
              <w:left w:val="nil"/>
              <w:bottom w:val="single" w:sz="12" w:space="0" w:color="95D600"/>
              <w:right w:val="nil"/>
            </w:tcBorders>
            <w:shd w:val="clear" w:color="000000" w:fill="036479"/>
            <w:vAlign w:val="center"/>
            <w:hideMark/>
          </w:tcPr>
          <w:p w14:paraId="7C514153" w14:textId="77777777" w:rsidR="0080323F" w:rsidRPr="00E65743" w:rsidRDefault="0080323F" w:rsidP="0080323F">
            <w:pPr>
              <w:suppressAutoHyphens w:val="0"/>
              <w:autoSpaceDN/>
              <w:spacing w:before="0" w:after="0"/>
              <w:rPr>
                <w:rFonts w:ascii="Arial Narrow" w:hAnsi="Arial Narrow" w:cs="Calibri"/>
                <w:color w:val="FFFFFF"/>
                <w:sz w:val="20"/>
                <w:szCs w:val="20"/>
              </w:rPr>
            </w:pPr>
            <w:r w:rsidRPr="00E65743">
              <w:rPr>
                <w:rFonts w:ascii="Arial Narrow" w:hAnsi="Arial Narrow" w:cs="Calibri"/>
                <w:color w:val="FFFFFF"/>
                <w:sz w:val="20"/>
                <w:szCs w:val="20"/>
              </w:rPr>
              <w:t>Program Category</w:t>
            </w:r>
          </w:p>
        </w:tc>
        <w:tc>
          <w:tcPr>
            <w:tcW w:w="415" w:type="pct"/>
            <w:tcBorders>
              <w:top w:val="nil"/>
              <w:left w:val="nil"/>
              <w:bottom w:val="single" w:sz="12" w:space="0" w:color="95D600"/>
              <w:right w:val="nil"/>
            </w:tcBorders>
            <w:shd w:val="clear" w:color="000000" w:fill="036479"/>
            <w:vAlign w:val="center"/>
            <w:hideMark/>
          </w:tcPr>
          <w:p w14:paraId="54440EC7" w14:textId="77777777" w:rsidR="0080323F" w:rsidRPr="00E65743" w:rsidRDefault="0080323F" w:rsidP="0080323F">
            <w:pPr>
              <w:suppressAutoHyphens w:val="0"/>
              <w:autoSpaceDN/>
              <w:spacing w:before="0" w:after="0"/>
              <w:rPr>
                <w:rFonts w:ascii="Arial Narrow" w:hAnsi="Arial Narrow" w:cs="Calibri"/>
                <w:color w:val="FFFFFF"/>
                <w:sz w:val="20"/>
                <w:szCs w:val="20"/>
              </w:rPr>
            </w:pPr>
            <w:r w:rsidRPr="00E65743">
              <w:rPr>
                <w:rFonts w:ascii="Arial Narrow" w:hAnsi="Arial Narrow" w:cs="Calibri"/>
                <w:color w:val="FFFFFF"/>
                <w:sz w:val="20"/>
                <w:szCs w:val="20"/>
              </w:rPr>
              <w:t>Program Path</w:t>
            </w:r>
          </w:p>
        </w:tc>
        <w:tc>
          <w:tcPr>
            <w:tcW w:w="1217" w:type="pct"/>
            <w:tcBorders>
              <w:top w:val="nil"/>
              <w:left w:val="nil"/>
              <w:bottom w:val="single" w:sz="12" w:space="0" w:color="95D600"/>
              <w:right w:val="nil"/>
            </w:tcBorders>
            <w:shd w:val="clear" w:color="000000" w:fill="036479"/>
            <w:vAlign w:val="center"/>
            <w:hideMark/>
          </w:tcPr>
          <w:p w14:paraId="51F7CB6C" w14:textId="77777777" w:rsidR="0080323F" w:rsidRPr="00E65743" w:rsidRDefault="0080323F" w:rsidP="0080323F">
            <w:pPr>
              <w:suppressAutoHyphens w:val="0"/>
              <w:autoSpaceDN/>
              <w:spacing w:before="0" w:after="0"/>
              <w:rPr>
                <w:rFonts w:ascii="Arial Narrow" w:hAnsi="Arial Narrow" w:cs="Calibri"/>
                <w:color w:val="FFFFFF"/>
                <w:sz w:val="20"/>
                <w:szCs w:val="20"/>
              </w:rPr>
            </w:pPr>
            <w:r w:rsidRPr="00E65743">
              <w:rPr>
                <w:rFonts w:ascii="Arial Narrow" w:hAnsi="Arial Narrow" w:cs="Calibri"/>
                <w:color w:val="FFFFFF"/>
                <w:sz w:val="20"/>
                <w:szCs w:val="20"/>
              </w:rPr>
              <w:t>Savings Category</w:t>
            </w:r>
          </w:p>
        </w:tc>
        <w:tc>
          <w:tcPr>
            <w:tcW w:w="246" w:type="pct"/>
            <w:tcBorders>
              <w:top w:val="nil"/>
              <w:left w:val="nil"/>
              <w:bottom w:val="single" w:sz="12" w:space="0" w:color="95D600"/>
              <w:right w:val="nil"/>
            </w:tcBorders>
            <w:shd w:val="clear" w:color="000000" w:fill="036479"/>
            <w:vAlign w:val="center"/>
            <w:hideMark/>
          </w:tcPr>
          <w:p w14:paraId="2A43D3FD" w14:textId="77777777" w:rsidR="0080323F" w:rsidRPr="00E65743" w:rsidRDefault="0080323F" w:rsidP="0080323F">
            <w:pPr>
              <w:suppressAutoHyphens w:val="0"/>
              <w:autoSpaceDN/>
              <w:spacing w:before="0" w:after="0"/>
              <w:rPr>
                <w:rFonts w:ascii="Arial Narrow" w:hAnsi="Arial Narrow" w:cs="Calibri"/>
                <w:color w:val="FFFFFF"/>
                <w:sz w:val="20"/>
                <w:szCs w:val="20"/>
              </w:rPr>
            </w:pPr>
            <w:r w:rsidRPr="00E65743">
              <w:rPr>
                <w:rFonts w:ascii="Arial Narrow" w:hAnsi="Arial Narrow" w:cs="Calibri"/>
                <w:color w:val="FFFFFF"/>
                <w:sz w:val="20"/>
                <w:szCs w:val="20"/>
              </w:rPr>
              <w:t>Units</w:t>
            </w:r>
          </w:p>
        </w:tc>
        <w:tc>
          <w:tcPr>
            <w:tcW w:w="342" w:type="pct"/>
            <w:tcBorders>
              <w:top w:val="nil"/>
              <w:left w:val="nil"/>
              <w:bottom w:val="single" w:sz="12" w:space="0" w:color="95D600"/>
              <w:right w:val="nil"/>
            </w:tcBorders>
            <w:shd w:val="clear" w:color="000000" w:fill="036479"/>
            <w:vAlign w:val="center"/>
            <w:hideMark/>
          </w:tcPr>
          <w:p w14:paraId="07285E04" w14:textId="77777777" w:rsidR="0080323F" w:rsidRPr="00E65743" w:rsidRDefault="0080323F" w:rsidP="0080323F">
            <w:pPr>
              <w:suppressAutoHyphens w:val="0"/>
              <w:autoSpaceDN/>
              <w:spacing w:before="0" w:after="0"/>
              <w:jc w:val="right"/>
              <w:rPr>
                <w:rFonts w:ascii="Arial Narrow" w:hAnsi="Arial Narrow" w:cs="Calibri"/>
                <w:color w:val="FFFFFF"/>
                <w:sz w:val="20"/>
                <w:szCs w:val="20"/>
              </w:rPr>
            </w:pPr>
            <w:r w:rsidRPr="00E65743">
              <w:rPr>
                <w:rFonts w:ascii="Arial Narrow" w:hAnsi="Arial Narrow" w:cs="Calibri"/>
                <w:color w:val="FFFFFF"/>
                <w:sz w:val="20"/>
                <w:szCs w:val="20"/>
              </w:rPr>
              <w:t xml:space="preserve"> Quantity </w:t>
            </w:r>
          </w:p>
        </w:tc>
        <w:tc>
          <w:tcPr>
            <w:tcW w:w="474" w:type="pct"/>
            <w:tcBorders>
              <w:top w:val="nil"/>
              <w:left w:val="nil"/>
              <w:bottom w:val="single" w:sz="12" w:space="0" w:color="95D600"/>
              <w:right w:val="nil"/>
            </w:tcBorders>
            <w:shd w:val="clear" w:color="000000" w:fill="036479"/>
            <w:vAlign w:val="center"/>
            <w:hideMark/>
          </w:tcPr>
          <w:p w14:paraId="32AB6F69" w14:textId="77777777" w:rsidR="0080323F" w:rsidRPr="00E65743" w:rsidRDefault="0080323F" w:rsidP="0080323F">
            <w:pPr>
              <w:suppressAutoHyphens w:val="0"/>
              <w:autoSpaceDN/>
              <w:spacing w:before="0" w:after="0"/>
              <w:jc w:val="right"/>
              <w:rPr>
                <w:rFonts w:ascii="Arial Narrow" w:hAnsi="Arial Narrow" w:cs="Calibri"/>
                <w:color w:val="FFFFFF"/>
                <w:sz w:val="20"/>
                <w:szCs w:val="20"/>
              </w:rPr>
            </w:pPr>
            <w:r w:rsidRPr="00E65743">
              <w:rPr>
                <w:rFonts w:ascii="Arial Narrow" w:hAnsi="Arial Narrow" w:cs="Calibri"/>
                <w:color w:val="FFFFFF"/>
                <w:sz w:val="20"/>
                <w:szCs w:val="20"/>
              </w:rPr>
              <w:t xml:space="preserve"> Effective Useful Life </w:t>
            </w:r>
          </w:p>
        </w:tc>
        <w:tc>
          <w:tcPr>
            <w:tcW w:w="626" w:type="pct"/>
            <w:tcBorders>
              <w:top w:val="nil"/>
              <w:left w:val="nil"/>
              <w:bottom w:val="single" w:sz="12" w:space="0" w:color="95D600"/>
              <w:right w:val="nil"/>
            </w:tcBorders>
            <w:shd w:val="clear" w:color="000000" w:fill="036479"/>
            <w:vAlign w:val="center"/>
            <w:hideMark/>
          </w:tcPr>
          <w:p w14:paraId="75DDCC35" w14:textId="77777777" w:rsidR="0080323F" w:rsidRPr="00E65743" w:rsidRDefault="0080323F" w:rsidP="0080323F">
            <w:pPr>
              <w:suppressAutoHyphens w:val="0"/>
              <w:autoSpaceDN/>
              <w:spacing w:before="0" w:after="0"/>
              <w:jc w:val="right"/>
              <w:rPr>
                <w:rFonts w:ascii="Arial Narrow" w:hAnsi="Arial Narrow" w:cs="Calibri"/>
                <w:color w:val="FFFFFF"/>
                <w:sz w:val="20"/>
                <w:szCs w:val="20"/>
              </w:rPr>
            </w:pPr>
            <w:r w:rsidRPr="00E65743">
              <w:rPr>
                <w:rFonts w:ascii="Arial Narrow" w:hAnsi="Arial Narrow" w:cs="Calibri"/>
                <w:color w:val="FFFFFF"/>
                <w:sz w:val="20"/>
                <w:szCs w:val="20"/>
              </w:rPr>
              <w:t xml:space="preserve"> Ex Ante Gross Savings (Therms) </w:t>
            </w:r>
          </w:p>
        </w:tc>
        <w:tc>
          <w:tcPr>
            <w:tcW w:w="624" w:type="pct"/>
            <w:tcBorders>
              <w:top w:val="nil"/>
              <w:left w:val="nil"/>
              <w:bottom w:val="single" w:sz="12" w:space="0" w:color="95D600"/>
              <w:right w:val="nil"/>
            </w:tcBorders>
            <w:shd w:val="clear" w:color="000000" w:fill="036479"/>
            <w:vAlign w:val="center"/>
            <w:hideMark/>
          </w:tcPr>
          <w:p w14:paraId="58F00EE1" w14:textId="77777777" w:rsidR="0080323F" w:rsidRPr="00E65743" w:rsidRDefault="0080323F" w:rsidP="0080323F">
            <w:pPr>
              <w:suppressAutoHyphens w:val="0"/>
              <w:autoSpaceDN/>
              <w:spacing w:before="0" w:after="0"/>
              <w:jc w:val="right"/>
              <w:rPr>
                <w:rFonts w:ascii="Arial Narrow" w:hAnsi="Arial Narrow" w:cs="Calibri"/>
                <w:color w:val="FFFFFF"/>
                <w:sz w:val="20"/>
                <w:szCs w:val="20"/>
              </w:rPr>
            </w:pPr>
            <w:r w:rsidRPr="00E65743">
              <w:rPr>
                <w:rFonts w:ascii="Arial Narrow" w:hAnsi="Arial Narrow" w:cs="Calibri"/>
                <w:color w:val="FFFFFF"/>
                <w:sz w:val="20"/>
                <w:szCs w:val="20"/>
              </w:rPr>
              <w:t xml:space="preserve"> Verified Gross Savings (Therms) </w:t>
            </w:r>
          </w:p>
        </w:tc>
        <w:tc>
          <w:tcPr>
            <w:tcW w:w="596" w:type="pct"/>
            <w:tcBorders>
              <w:top w:val="nil"/>
              <w:left w:val="nil"/>
              <w:bottom w:val="single" w:sz="12" w:space="0" w:color="95D600"/>
              <w:right w:val="nil"/>
            </w:tcBorders>
            <w:shd w:val="clear" w:color="000000" w:fill="036479"/>
            <w:vAlign w:val="center"/>
            <w:hideMark/>
          </w:tcPr>
          <w:p w14:paraId="0C77B0DF" w14:textId="77777777" w:rsidR="0080323F" w:rsidRPr="00E65743" w:rsidRDefault="0080323F" w:rsidP="0080323F">
            <w:pPr>
              <w:suppressAutoHyphens w:val="0"/>
              <w:autoSpaceDN/>
              <w:spacing w:before="0" w:after="0"/>
              <w:jc w:val="right"/>
              <w:rPr>
                <w:rFonts w:ascii="Arial Narrow" w:hAnsi="Arial Narrow" w:cs="Calibri"/>
                <w:color w:val="FFFFFF"/>
                <w:sz w:val="20"/>
                <w:szCs w:val="20"/>
              </w:rPr>
            </w:pPr>
            <w:r w:rsidRPr="00E65743">
              <w:rPr>
                <w:rFonts w:ascii="Arial Narrow" w:hAnsi="Arial Narrow" w:cs="Calibri"/>
                <w:color w:val="FFFFFF"/>
                <w:sz w:val="20"/>
                <w:szCs w:val="20"/>
              </w:rPr>
              <w:t xml:space="preserve"> Verified Net Savings (Therms) </w:t>
            </w:r>
          </w:p>
        </w:tc>
      </w:tr>
      <w:tr w:rsidR="00434B54" w:rsidRPr="00B77A62" w14:paraId="2BF72B16" w14:textId="77777777" w:rsidTr="00D80A0A">
        <w:trPr>
          <w:trHeight w:val="576"/>
        </w:trPr>
        <w:tc>
          <w:tcPr>
            <w:tcW w:w="460" w:type="pct"/>
            <w:tcBorders>
              <w:top w:val="nil"/>
              <w:left w:val="nil"/>
              <w:bottom w:val="single" w:sz="8" w:space="0" w:color="B3EFFD"/>
              <w:right w:val="nil"/>
            </w:tcBorders>
            <w:shd w:val="clear" w:color="000000" w:fill="FFFFFF"/>
            <w:vAlign w:val="center"/>
            <w:hideMark/>
          </w:tcPr>
          <w:p w14:paraId="4C06AE85" w14:textId="77777777" w:rsidR="0080323F" w:rsidRPr="00E65743" w:rsidRDefault="0080323F" w:rsidP="0080323F">
            <w:pPr>
              <w:suppressAutoHyphens w:val="0"/>
              <w:autoSpaceDN/>
              <w:spacing w:before="0" w:after="0"/>
              <w:rPr>
                <w:rFonts w:ascii="Arial Narrow" w:hAnsi="Arial Narrow" w:cs="Calibri"/>
                <w:b/>
                <w:bCs/>
                <w:color w:val="000000"/>
                <w:sz w:val="20"/>
                <w:szCs w:val="20"/>
              </w:rPr>
            </w:pPr>
            <w:r w:rsidRPr="00E65743">
              <w:rPr>
                <w:rFonts w:ascii="Arial Narrow" w:hAnsi="Arial Narrow" w:cs="Calibri"/>
                <w:b/>
                <w:bCs/>
                <w:color w:val="000000"/>
                <w:sz w:val="20"/>
                <w:szCs w:val="20"/>
              </w:rPr>
              <w:t>Multi-Family</w:t>
            </w:r>
          </w:p>
        </w:tc>
        <w:tc>
          <w:tcPr>
            <w:tcW w:w="415" w:type="pct"/>
            <w:tcBorders>
              <w:top w:val="nil"/>
              <w:left w:val="nil"/>
              <w:bottom w:val="single" w:sz="8" w:space="0" w:color="B3EFFD"/>
              <w:right w:val="nil"/>
            </w:tcBorders>
            <w:shd w:val="clear" w:color="auto" w:fill="auto"/>
            <w:vAlign w:val="center"/>
            <w:hideMark/>
          </w:tcPr>
          <w:p w14:paraId="3761FAA2"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Income Eligible</w:t>
            </w:r>
          </w:p>
        </w:tc>
        <w:tc>
          <w:tcPr>
            <w:tcW w:w="1217" w:type="pct"/>
            <w:tcBorders>
              <w:top w:val="nil"/>
              <w:left w:val="nil"/>
              <w:bottom w:val="single" w:sz="8" w:space="0" w:color="B3EFFD"/>
              <w:right w:val="nil"/>
            </w:tcBorders>
            <w:shd w:val="clear" w:color="000000" w:fill="FFFFFF"/>
            <w:noWrap/>
            <w:vAlign w:val="center"/>
            <w:hideMark/>
          </w:tcPr>
          <w:p w14:paraId="44D8FC4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Air Sealing</w:t>
            </w:r>
          </w:p>
        </w:tc>
        <w:tc>
          <w:tcPr>
            <w:tcW w:w="246" w:type="pct"/>
            <w:tcBorders>
              <w:top w:val="nil"/>
              <w:left w:val="nil"/>
              <w:bottom w:val="single" w:sz="8" w:space="0" w:color="B3EFFD"/>
              <w:right w:val="nil"/>
            </w:tcBorders>
            <w:shd w:val="clear" w:color="000000" w:fill="FFFFFF"/>
            <w:noWrap/>
            <w:vAlign w:val="center"/>
            <w:hideMark/>
          </w:tcPr>
          <w:p w14:paraId="5353316B"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Ln Ft</w:t>
            </w:r>
          </w:p>
        </w:tc>
        <w:tc>
          <w:tcPr>
            <w:tcW w:w="342" w:type="pct"/>
            <w:tcBorders>
              <w:top w:val="nil"/>
              <w:left w:val="nil"/>
              <w:bottom w:val="single" w:sz="8" w:space="0" w:color="B3EFFD"/>
              <w:right w:val="nil"/>
            </w:tcBorders>
            <w:shd w:val="clear" w:color="000000" w:fill="FFFFFF"/>
            <w:noWrap/>
            <w:vAlign w:val="center"/>
            <w:hideMark/>
          </w:tcPr>
          <w:p w14:paraId="399BB8DA" w14:textId="06D8E781"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135,431</w:t>
            </w:r>
          </w:p>
        </w:tc>
        <w:tc>
          <w:tcPr>
            <w:tcW w:w="474" w:type="pct"/>
            <w:tcBorders>
              <w:top w:val="nil"/>
              <w:left w:val="nil"/>
              <w:bottom w:val="single" w:sz="8" w:space="0" w:color="B3EFFD"/>
              <w:right w:val="nil"/>
            </w:tcBorders>
            <w:shd w:val="clear" w:color="000000" w:fill="FFFFFF"/>
            <w:noWrap/>
            <w:vAlign w:val="center"/>
            <w:hideMark/>
          </w:tcPr>
          <w:p w14:paraId="260F5B03" w14:textId="14BC2BA6"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w:t>
            </w:r>
          </w:p>
        </w:tc>
        <w:tc>
          <w:tcPr>
            <w:tcW w:w="626" w:type="pct"/>
            <w:tcBorders>
              <w:top w:val="nil"/>
              <w:left w:val="nil"/>
              <w:bottom w:val="single" w:sz="8" w:space="0" w:color="B3EFFD"/>
              <w:right w:val="nil"/>
            </w:tcBorders>
            <w:shd w:val="clear" w:color="000000" w:fill="FFFFFF"/>
            <w:vAlign w:val="center"/>
            <w:hideMark/>
          </w:tcPr>
          <w:p w14:paraId="3623576F" w14:textId="5536C7C8"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56,339</w:t>
            </w:r>
          </w:p>
        </w:tc>
        <w:tc>
          <w:tcPr>
            <w:tcW w:w="624" w:type="pct"/>
            <w:tcBorders>
              <w:top w:val="nil"/>
              <w:left w:val="nil"/>
              <w:bottom w:val="single" w:sz="8" w:space="0" w:color="B3EFFD"/>
              <w:right w:val="nil"/>
            </w:tcBorders>
            <w:shd w:val="clear" w:color="auto" w:fill="auto"/>
            <w:vAlign w:val="center"/>
            <w:hideMark/>
          </w:tcPr>
          <w:p w14:paraId="04DE12E5" w14:textId="2A0BDD2D"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56,339</w:t>
            </w:r>
          </w:p>
        </w:tc>
        <w:tc>
          <w:tcPr>
            <w:tcW w:w="596" w:type="pct"/>
            <w:tcBorders>
              <w:top w:val="nil"/>
              <w:left w:val="nil"/>
              <w:bottom w:val="single" w:sz="8" w:space="0" w:color="B3EFFD"/>
              <w:right w:val="nil"/>
            </w:tcBorders>
            <w:shd w:val="clear" w:color="000000" w:fill="FFFFFF"/>
            <w:noWrap/>
            <w:vAlign w:val="center"/>
            <w:hideMark/>
          </w:tcPr>
          <w:p w14:paraId="56879F4D"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56,339</w:t>
            </w:r>
          </w:p>
        </w:tc>
      </w:tr>
      <w:tr w:rsidR="00434B54" w:rsidRPr="00B77A62" w14:paraId="74C8777F"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443CA3DD"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656729F4"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41C1593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On Demand DHW Control</w:t>
            </w:r>
          </w:p>
        </w:tc>
        <w:tc>
          <w:tcPr>
            <w:tcW w:w="246" w:type="pct"/>
            <w:tcBorders>
              <w:top w:val="nil"/>
              <w:left w:val="nil"/>
              <w:bottom w:val="single" w:sz="8" w:space="0" w:color="B3EFFD"/>
              <w:right w:val="nil"/>
            </w:tcBorders>
            <w:shd w:val="clear" w:color="000000" w:fill="FFFFFF"/>
            <w:noWrap/>
            <w:vAlign w:val="center"/>
            <w:hideMark/>
          </w:tcPr>
          <w:p w14:paraId="3188A28B"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61D0893C" w14:textId="00AC321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112</w:t>
            </w:r>
          </w:p>
        </w:tc>
        <w:tc>
          <w:tcPr>
            <w:tcW w:w="474" w:type="pct"/>
            <w:tcBorders>
              <w:top w:val="nil"/>
              <w:left w:val="nil"/>
              <w:bottom w:val="single" w:sz="8" w:space="0" w:color="B3EFFD"/>
              <w:right w:val="nil"/>
            </w:tcBorders>
            <w:shd w:val="clear" w:color="000000" w:fill="FFFFFF"/>
            <w:noWrap/>
            <w:vAlign w:val="center"/>
            <w:hideMark/>
          </w:tcPr>
          <w:p w14:paraId="182D9B5D" w14:textId="4B2F955B"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w:t>
            </w:r>
          </w:p>
        </w:tc>
        <w:tc>
          <w:tcPr>
            <w:tcW w:w="626" w:type="pct"/>
            <w:tcBorders>
              <w:top w:val="nil"/>
              <w:left w:val="nil"/>
              <w:bottom w:val="single" w:sz="8" w:space="0" w:color="B3EFFD"/>
              <w:right w:val="nil"/>
            </w:tcBorders>
            <w:shd w:val="clear" w:color="000000" w:fill="FFFFFF"/>
            <w:vAlign w:val="center"/>
            <w:hideMark/>
          </w:tcPr>
          <w:p w14:paraId="28AE0D16" w14:textId="34CD26A9"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7,022</w:t>
            </w:r>
          </w:p>
        </w:tc>
        <w:tc>
          <w:tcPr>
            <w:tcW w:w="624" w:type="pct"/>
            <w:tcBorders>
              <w:top w:val="nil"/>
              <w:left w:val="nil"/>
              <w:bottom w:val="single" w:sz="8" w:space="0" w:color="B3EFFD"/>
              <w:right w:val="nil"/>
            </w:tcBorders>
            <w:shd w:val="clear" w:color="auto" w:fill="auto"/>
            <w:vAlign w:val="center"/>
            <w:hideMark/>
          </w:tcPr>
          <w:p w14:paraId="3838D7B7" w14:textId="6689810E"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7,022</w:t>
            </w:r>
          </w:p>
        </w:tc>
        <w:tc>
          <w:tcPr>
            <w:tcW w:w="596" w:type="pct"/>
            <w:tcBorders>
              <w:top w:val="nil"/>
              <w:left w:val="nil"/>
              <w:bottom w:val="single" w:sz="8" w:space="0" w:color="B3EFFD"/>
              <w:right w:val="nil"/>
            </w:tcBorders>
            <w:shd w:val="clear" w:color="000000" w:fill="FFFFFF"/>
            <w:noWrap/>
            <w:vAlign w:val="center"/>
            <w:hideMark/>
          </w:tcPr>
          <w:p w14:paraId="77B84F55"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7,022</w:t>
            </w:r>
          </w:p>
        </w:tc>
      </w:tr>
      <w:tr w:rsidR="00434B54" w:rsidRPr="00B77A62" w14:paraId="1DA7FCC1"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499D3AA6"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2FDFC15B"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36098BBD"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Attic Insulation</w:t>
            </w:r>
          </w:p>
        </w:tc>
        <w:tc>
          <w:tcPr>
            <w:tcW w:w="246" w:type="pct"/>
            <w:tcBorders>
              <w:top w:val="nil"/>
              <w:left w:val="nil"/>
              <w:bottom w:val="single" w:sz="8" w:space="0" w:color="B3EFFD"/>
              <w:right w:val="nil"/>
            </w:tcBorders>
            <w:shd w:val="clear" w:color="000000" w:fill="FFFFFF"/>
            <w:noWrap/>
            <w:vAlign w:val="center"/>
            <w:hideMark/>
          </w:tcPr>
          <w:p w14:paraId="274296AC"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Sq Ft</w:t>
            </w:r>
          </w:p>
        </w:tc>
        <w:tc>
          <w:tcPr>
            <w:tcW w:w="342" w:type="pct"/>
            <w:tcBorders>
              <w:top w:val="nil"/>
              <w:left w:val="nil"/>
              <w:bottom w:val="single" w:sz="8" w:space="0" w:color="B3EFFD"/>
              <w:right w:val="nil"/>
            </w:tcBorders>
            <w:shd w:val="clear" w:color="000000" w:fill="FFFFFF"/>
            <w:noWrap/>
            <w:vAlign w:val="center"/>
            <w:hideMark/>
          </w:tcPr>
          <w:p w14:paraId="409B0320" w14:textId="6D86BFB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12,864</w:t>
            </w:r>
          </w:p>
        </w:tc>
        <w:tc>
          <w:tcPr>
            <w:tcW w:w="474" w:type="pct"/>
            <w:tcBorders>
              <w:top w:val="nil"/>
              <w:left w:val="nil"/>
              <w:bottom w:val="single" w:sz="8" w:space="0" w:color="B3EFFD"/>
              <w:right w:val="nil"/>
            </w:tcBorders>
            <w:shd w:val="clear" w:color="000000" w:fill="FFFFFF"/>
            <w:noWrap/>
            <w:vAlign w:val="center"/>
            <w:hideMark/>
          </w:tcPr>
          <w:p w14:paraId="15D3B6C6" w14:textId="709F617F"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20</w:t>
            </w:r>
          </w:p>
        </w:tc>
        <w:tc>
          <w:tcPr>
            <w:tcW w:w="626" w:type="pct"/>
            <w:tcBorders>
              <w:top w:val="nil"/>
              <w:left w:val="nil"/>
              <w:bottom w:val="single" w:sz="8" w:space="0" w:color="B3EFFD"/>
              <w:right w:val="nil"/>
            </w:tcBorders>
            <w:shd w:val="clear" w:color="000000" w:fill="FFFFFF"/>
            <w:vAlign w:val="center"/>
            <w:hideMark/>
          </w:tcPr>
          <w:p w14:paraId="76177CBA" w14:textId="2A2934E8"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4,784</w:t>
            </w:r>
          </w:p>
        </w:tc>
        <w:tc>
          <w:tcPr>
            <w:tcW w:w="624" w:type="pct"/>
            <w:tcBorders>
              <w:top w:val="nil"/>
              <w:left w:val="nil"/>
              <w:bottom w:val="single" w:sz="8" w:space="0" w:color="B3EFFD"/>
              <w:right w:val="nil"/>
            </w:tcBorders>
            <w:shd w:val="clear" w:color="auto" w:fill="auto"/>
            <w:vAlign w:val="center"/>
            <w:hideMark/>
          </w:tcPr>
          <w:p w14:paraId="7E18F19D" w14:textId="5E6A529D"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4,784</w:t>
            </w:r>
          </w:p>
        </w:tc>
        <w:tc>
          <w:tcPr>
            <w:tcW w:w="596" w:type="pct"/>
            <w:tcBorders>
              <w:top w:val="nil"/>
              <w:left w:val="nil"/>
              <w:bottom w:val="single" w:sz="8" w:space="0" w:color="B3EFFD"/>
              <w:right w:val="nil"/>
            </w:tcBorders>
            <w:shd w:val="clear" w:color="000000" w:fill="FFFFFF"/>
            <w:noWrap/>
            <w:vAlign w:val="center"/>
            <w:hideMark/>
          </w:tcPr>
          <w:p w14:paraId="1DFA1297"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4,784</w:t>
            </w:r>
          </w:p>
        </w:tc>
      </w:tr>
      <w:tr w:rsidR="00434B54" w:rsidRPr="00B77A62" w14:paraId="459BB373"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5098400B"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7BDDCE3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073D2D96"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Showerhead (IU)</w:t>
            </w:r>
          </w:p>
        </w:tc>
        <w:tc>
          <w:tcPr>
            <w:tcW w:w="246" w:type="pct"/>
            <w:tcBorders>
              <w:top w:val="nil"/>
              <w:left w:val="nil"/>
              <w:bottom w:val="single" w:sz="8" w:space="0" w:color="B3EFFD"/>
              <w:right w:val="nil"/>
            </w:tcBorders>
            <w:shd w:val="clear" w:color="000000" w:fill="FFFFFF"/>
            <w:noWrap/>
            <w:vAlign w:val="center"/>
            <w:hideMark/>
          </w:tcPr>
          <w:p w14:paraId="510A950E"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1E051174" w14:textId="2DDFEB92"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254</w:t>
            </w:r>
          </w:p>
        </w:tc>
        <w:tc>
          <w:tcPr>
            <w:tcW w:w="474" w:type="pct"/>
            <w:tcBorders>
              <w:top w:val="nil"/>
              <w:left w:val="nil"/>
              <w:bottom w:val="single" w:sz="8" w:space="0" w:color="B3EFFD"/>
              <w:right w:val="nil"/>
            </w:tcBorders>
            <w:shd w:val="clear" w:color="000000" w:fill="FFFFFF"/>
            <w:noWrap/>
            <w:vAlign w:val="center"/>
            <w:hideMark/>
          </w:tcPr>
          <w:p w14:paraId="437B610A" w14:textId="47B6C9EC"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w:t>
            </w:r>
          </w:p>
        </w:tc>
        <w:tc>
          <w:tcPr>
            <w:tcW w:w="626" w:type="pct"/>
            <w:tcBorders>
              <w:top w:val="nil"/>
              <w:left w:val="nil"/>
              <w:bottom w:val="single" w:sz="8" w:space="0" w:color="B3EFFD"/>
              <w:right w:val="nil"/>
            </w:tcBorders>
            <w:shd w:val="clear" w:color="000000" w:fill="FFFFFF"/>
            <w:vAlign w:val="center"/>
            <w:hideMark/>
          </w:tcPr>
          <w:p w14:paraId="6F468490" w14:textId="5921B9F3"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3,139</w:t>
            </w:r>
          </w:p>
        </w:tc>
        <w:tc>
          <w:tcPr>
            <w:tcW w:w="624" w:type="pct"/>
            <w:tcBorders>
              <w:top w:val="nil"/>
              <w:left w:val="nil"/>
              <w:bottom w:val="single" w:sz="8" w:space="0" w:color="B3EFFD"/>
              <w:right w:val="nil"/>
            </w:tcBorders>
            <w:shd w:val="clear" w:color="auto" w:fill="auto"/>
            <w:vAlign w:val="center"/>
            <w:hideMark/>
          </w:tcPr>
          <w:p w14:paraId="7F587089" w14:textId="375FE011"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3,139</w:t>
            </w:r>
          </w:p>
        </w:tc>
        <w:tc>
          <w:tcPr>
            <w:tcW w:w="596" w:type="pct"/>
            <w:tcBorders>
              <w:top w:val="nil"/>
              <w:left w:val="nil"/>
              <w:bottom w:val="single" w:sz="8" w:space="0" w:color="B3EFFD"/>
              <w:right w:val="nil"/>
            </w:tcBorders>
            <w:shd w:val="clear" w:color="000000" w:fill="FFFFFF"/>
            <w:noWrap/>
            <w:vAlign w:val="center"/>
            <w:hideMark/>
          </w:tcPr>
          <w:p w14:paraId="7EE22B15"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3,139</w:t>
            </w:r>
          </w:p>
        </w:tc>
      </w:tr>
      <w:tr w:rsidR="00434B54" w:rsidRPr="00B77A62" w14:paraId="12BFB810"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01400F22"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1191425A"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0CAB369D"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xml:space="preserve">Covers and Gap Sealers for Room AC </w:t>
            </w:r>
          </w:p>
        </w:tc>
        <w:tc>
          <w:tcPr>
            <w:tcW w:w="246" w:type="pct"/>
            <w:tcBorders>
              <w:top w:val="nil"/>
              <w:left w:val="nil"/>
              <w:bottom w:val="single" w:sz="8" w:space="0" w:color="B3EFFD"/>
              <w:right w:val="nil"/>
            </w:tcBorders>
            <w:shd w:val="clear" w:color="000000" w:fill="FFFFFF"/>
            <w:noWrap/>
            <w:vAlign w:val="center"/>
            <w:hideMark/>
          </w:tcPr>
          <w:p w14:paraId="1F5AE1B1"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7C910B6A" w14:textId="1A7EE3FE"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400</w:t>
            </w:r>
          </w:p>
        </w:tc>
        <w:tc>
          <w:tcPr>
            <w:tcW w:w="474" w:type="pct"/>
            <w:tcBorders>
              <w:top w:val="nil"/>
              <w:left w:val="nil"/>
              <w:bottom w:val="single" w:sz="8" w:space="0" w:color="B3EFFD"/>
              <w:right w:val="nil"/>
            </w:tcBorders>
            <w:shd w:val="clear" w:color="000000" w:fill="FFFFFF"/>
            <w:noWrap/>
            <w:vAlign w:val="center"/>
            <w:hideMark/>
          </w:tcPr>
          <w:p w14:paraId="636FEE55" w14:textId="5DDAA863"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w:t>
            </w:r>
          </w:p>
        </w:tc>
        <w:tc>
          <w:tcPr>
            <w:tcW w:w="626" w:type="pct"/>
            <w:tcBorders>
              <w:top w:val="nil"/>
              <w:left w:val="nil"/>
              <w:bottom w:val="single" w:sz="8" w:space="0" w:color="B3EFFD"/>
              <w:right w:val="nil"/>
            </w:tcBorders>
            <w:shd w:val="clear" w:color="000000" w:fill="FFFFFF"/>
            <w:vAlign w:val="center"/>
            <w:hideMark/>
          </w:tcPr>
          <w:p w14:paraId="58172F09" w14:textId="07A7E2FA"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2,816</w:t>
            </w:r>
          </w:p>
        </w:tc>
        <w:tc>
          <w:tcPr>
            <w:tcW w:w="624" w:type="pct"/>
            <w:tcBorders>
              <w:top w:val="nil"/>
              <w:left w:val="nil"/>
              <w:bottom w:val="single" w:sz="8" w:space="0" w:color="B3EFFD"/>
              <w:right w:val="nil"/>
            </w:tcBorders>
            <w:shd w:val="clear" w:color="auto" w:fill="auto"/>
            <w:vAlign w:val="center"/>
            <w:hideMark/>
          </w:tcPr>
          <w:p w14:paraId="0C74454A" w14:textId="00A27003"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2,816</w:t>
            </w:r>
          </w:p>
        </w:tc>
        <w:tc>
          <w:tcPr>
            <w:tcW w:w="596" w:type="pct"/>
            <w:tcBorders>
              <w:top w:val="nil"/>
              <w:left w:val="nil"/>
              <w:bottom w:val="single" w:sz="8" w:space="0" w:color="B3EFFD"/>
              <w:right w:val="nil"/>
            </w:tcBorders>
            <w:shd w:val="clear" w:color="000000" w:fill="FFFFFF"/>
            <w:noWrap/>
            <w:vAlign w:val="center"/>
            <w:hideMark/>
          </w:tcPr>
          <w:p w14:paraId="6392D344"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2,816</w:t>
            </w:r>
          </w:p>
        </w:tc>
      </w:tr>
      <w:tr w:rsidR="00434B54" w:rsidRPr="00B77A62" w14:paraId="2D91D332"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600507EA"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3C0D8E80"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6F208CF4"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Programmable Thermostat</w:t>
            </w:r>
          </w:p>
        </w:tc>
        <w:tc>
          <w:tcPr>
            <w:tcW w:w="246" w:type="pct"/>
            <w:tcBorders>
              <w:top w:val="nil"/>
              <w:left w:val="nil"/>
              <w:bottom w:val="single" w:sz="8" w:space="0" w:color="B3EFFD"/>
              <w:right w:val="nil"/>
            </w:tcBorders>
            <w:shd w:val="clear" w:color="000000" w:fill="FFFFFF"/>
            <w:noWrap/>
            <w:vAlign w:val="center"/>
            <w:hideMark/>
          </w:tcPr>
          <w:p w14:paraId="4ECC5F4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117023B4" w14:textId="5C54A68A"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67</w:t>
            </w:r>
          </w:p>
        </w:tc>
        <w:tc>
          <w:tcPr>
            <w:tcW w:w="474" w:type="pct"/>
            <w:tcBorders>
              <w:top w:val="nil"/>
              <w:left w:val="nil"/>
              <w:bottom w:val="single" w:sz="8" w:space="0" w:color="B3EFFD"/>
              <w:right w:val="nil"/>
            </w:tcBorders>
            <w:shd w:val="clear" w:color="000000" w:fill="FFFFFF"/>
            <w:noWrap/>
            <w:vAlign w:val="center"/>
            <w:hideMark/>
          </w:tcPr>
          <w:p w14:paraId="16165C00" w14:textId="4B7F1450"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16</w:t>
            </w:r>
          </w:p>
        </w:tc>
        <w:tc>
          <w:tcPr>
            <w:tcW w:w="626" w:type="pct"/>
            <w:tcBorders>
              <w:top w:val="nil"/>
              <w:left w:val="nil"/>
              <w:bottom w:val="single" w:sz="8" w:space="0" w:color="B3EFFD"/>
              <w:right w:val="nil"/>
            </w:tcBorders>
            <w:shd w:val="clear" w:color="000000" w:fill="FFFFFF"/>
            <w:vAlign w:val="center"/>
            <w:hideMark/>
          </w:tcPr>
          <w:p w14:paraId="72D43AE6" w14:textId="28195ADE"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2,714</w:t>
            </w:r>
          </w:p>
        </w:tc>
        <w:tc>
          <w:tcPr>
            <w:tcW w:w="624" w:type="pct"/>
            <w:tcBorders>
              <w:top w:val="nil"/>
              <w:left w:val="nil"/>
              <w:bottom w:val="single" w:sz="8" w:space="0" w:color="B3EFFD"/>
              <w:right w:val="nil"/>
            </w:tcBorders>
            <w:shd w:val="clear" w:color="auto" w:fill="auto"/>
            <w:vAlign w:val="center"/>
            <w:hideMark/>
          </w:tcPr>
          <w:p w14:paraId="52E46DA8" w14:textId="293E84A8"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2,714</w:t>
            </w:r>
          </w:p>
        </w:tc>
        <w:tc>
          <w:tcPr>
            <w:tcW w:w="596" w:type="pct"/>
            <w:tcBorders>
              <w:top w:val="nil"/>
              <w:left w:val="nil"/>
              <w:bottom w:val="single" w:sz="8" w:space="0" w:color="B3EFFD"/>
              <w:right w:val="nil"/>
            </w:tcBorders>
            <w:shd w:val="clear" w:color="000000" w:fill="FFFFFF"/>
            <w:noWrap/>
            <w:vAlign w:val="center"/>
            <w:hideMark/>
          </w:tcPr>
          <w:p w14:paraId="204FB9A6"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2,714</w:t>
            </w:r>
          </w:p>
        </w:tc>
      </w:tr>
      <w:tr w:rsidR="00434B54" w:rsidRPr="00B77A62" w14:paraId="66A5D0B8"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4E60005A"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53FA58B5"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4629F3B1"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Shower Timer (IU)</w:t>
            </w:r>
          </w:p>
        </w:tc>
        <w:tc>
          <w:tcPr>
            <w:tcW w:w="246" w:type="pct"/>
            <w:tcBorders>
              <w:top w:val="nil"/>
              <w:left w:val="nil"/>
              <w:bottom w:val="single" w:sz="8" w:space="0" w:color="B3EFFD"/>
              <w:right w:val="nil"/>
            </w:tcBorders>
            <w:shd w:val="clear" w:color="000000" w:fill="FFFFFF"/>
            <w:noWrap/>
            <w:vAlign w:val="center"/>
            <w:hideMark/>
          </w:tcPr>
          <w:p w14:paraId="5276A245"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2C3C0A28" w14:textId="219D17FF"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634</w:t>
            </w:r>
          </w:p>
        </w:tc>
        <w:tc>
          <w:tcPr>
            <w:tcW w:w="474" w:type="pct"/>
            <w:tcBorders>
              <w:top w:val="nil"/>
              <w:left w:val="nil"/>
              <w:bottom w:val="single" w:sz="8" w:space="0" w:color="B3EFFD"/>
              <w:right w:val="nil"/>
            </w:tcBorders>
            <w:shd w:val="clear" w:color="000000" w:fill="FFFFFF"/>
            <w:noWrap/>
            <w:vAlign w:val="center"/>
            <w:hideMark/>
          </w:tcPr>
          <w:p w14:paraId="165E7940" w14:textId="16C5CB5C"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w:t>
            </w:r>
          </w:p>
        </w:tc>
        <w:tc>
          <w:tcPr>
            <w:tcW w:w="626" w:type="pct"/>
            <w:tcBorders>
              <w:top w:val="nil"/>
              <w:left w:val="nil"/>
              <w:bottom w:val="single" w:sz="8" w:space="0" w:color="B3EFFD"/>
              <w:right w:val="nil"/>
            </w:tcBorders>
            <w:shd w:val="clear" w:color="000000" w:fill="FFFFFF"/>
            <w:vAlign w:val="center"/>
            <w:hideMark/>
          </w:tcPr>
          <w:p w14:paraId="415E4220" w14:textId="40C62831"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2,405</w:t>
            </w:r>
          </w:p>
        </w:tc>
        <w:tc>
          <w:tcPr>
            <w:tcW w:w="624" w:type="pct"/>
            <w:tcBorders>
              <w:top w:val="nil"/>
              <w:left w:val="nil"/>
              <w:bottom w:val="single" w:sz="8" w:space="0" w:color="B3EFFD"/>
              <w:right w:val="nil"/>
            </w:tcBorders>
            <w:shd w:val="clear" w:color="auto" w:fill="auto"/>
            <w:vAlign w:val="center"/>
            <w:hideMark/>
          </w:tcPr>
          <w:p w14:paraId="581B901A" w14:textId="6DF5F03C"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2,405</w:t>
            </w:r>
          </w:p>
        </w:tc>
        <w:tc>
          <w:tcPr>
            <w:tcW w:w="596" w:type="pct"/>
            <w:tcBorders>
              <w:top w:val="nil"/>
              <w:left w:val="nil"/>
              <w:bottom w:val="single" w:sz="8" w:space="0" w:color="B3EFFD"/>
              <w:right w:val="nil"/>
            </w:tcBorders>
            <w:shd w:val="clear" w:color="000000" w:fill="FFFFFF"/>
            <w:noWrap/>
            <w:vAlign w:val="center"/>
            <w:hideMark/>
          </w:tcPr>
          <w:p w14:paraId="3474246A"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2,405</w:t>
            </w:r>
          </w:p>
        </w:tc>
      </w:tr>
      <w:tr w:rsidR="00434B54" w:rsidRPr="00B77A62" w14:paraId="0D2566CB"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0245175D"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2F9DE935"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5808665A"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Faucet Aerator - Kitchen (IU)</w:t>
            </w:r>
          </w:p>
        </w:tc>
        <w:tc>
          <w:tcPr>
            <w:tcW w:w="246" w:type="pct"/>
            <w:tcBorders>
              <w:top w:val="nil"/>
              <w:left w:val="nil"/>
              <w:bottom w:val="single" w:sz="8" w:space="0" w:color="B3EFFD"/>
              <w:right w:val="nil"/>
            </w:tcBorders>
            <w:shd w:val="clear" w:color="000000" w:fill="FFFFFF"/>
            <w:noWrap/>
            <w:vAlign w:val="center"/>
            <w:hideMark/>
          </w:tcPr>
          <w:p w14:paraId="554B8234"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4CCEFA3A" w14:textId="29B7B969"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466</w:t>
            </w:r>
          </w:p>
        </w:tc>
        <w:tc>
          <w:tcPr>
            <w:tcW w:w="474" w:type="pct"/>
            <w:tcBorders>
              <w:top w:val="nil"/>
              <w:left w:val="nil"/>
              <w:bottom w:val="single" w:sz="8" w:space="0" w:color="B3EFFD"/>
              <w:right w:val="nil"/>
            </w:tcBorders>
            <w:shd w:val="clear" w:color="000000" w:fill="FFFFFF"/>
            <w:noWrap/>
            <w:vAlign w:val="center"/>
            <w:hideMark/>
          </w:tcPr>
          <w:p w14:paraId="3B626E25" w14:textId="1B323DA2"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w:t>
            </w:r>
          </w:p>
        </w:tc>
        <w:tc>
          <w:tcPr>
            <w:tcW w:w="626" w:type="pct"/>
            <w:tcBorders>
              <w:top w:val="nil"/>
              <w:left w:val="nil"/>
              <w:bottom w:val="single" w:sz="8" w:space="0" w:color="B3EFFD"/>
              <w:right w:val="nil"/>
            </w:tcBorders>
            <w:shd w:val="clear" w:color="000000" w:fill="FFFFFF"/>
            <w:vAlign w:val="center"/>
            <w:hideMark/>
          </w:tcPr>
          <w:p w14:paraId="4A284A92" w14:textId="6881064C"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1,314</w:t>
            </w:r>
          </w:p>
        </w:tc>
        <w:tc>
          <w:tcPr>
            <w:tcW w:w="624" w:type="pct"/>
            <w:tcBorders>
              <w:top w:val="nil"/>
              <w:left w:val="nil"/>
              <w:bottom w:val="single" w:sz="8" w:space="0" w:color="B3EFFD"/>
              <w:right w:val="nil"/>
            </w:tcBorders>
            <w:shd w:val="clear" w:color="auto" w:fill="auto"/>
            <w:vAlign w:val="center"/>
            <w:hideMark/>
          </w:tcPr>
          <w:p w14:paraId="06C1A7AC" w14:textId="59E030F5"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1,314</w:t>
            </w:r>
          </w:p>
        </w:tc>
        <w:tc>
          <w:tcPr>
            <w:tcW w:w="596" w:type="pct"/>
            <w:tcBorders>
              <w:top w:val="nil"/>
              <w:left w:val="nil"/>
              <w:bottom w:val="single" w:sz="8" w:space="0" w:color="B3EFFD"/>
              <w:right w:val="nil"/>
            </w:tcBorders>
            <w:shd w:val="clear" w:color="000000" w:fill="FFFFFF"/>
            <w:noWrap/>
            <w:vAlign w:val="center"/>
            <w:hideMark/>
          </w:tcPr>
          <w:p w14:paraId="4E4A22C9"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1,314</w:t>
            </w:r>
          </w:p>
        </w:tc>
      </w:tr>
      <w:tr w:rsidR="00434B54" w:rsidRPr="00B77A62" w14:paraId="2BA343A1"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6EE53131"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699D0E86"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49430FE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Boiler Tune Up</w:t>
            </w:r>
          </w:p>
        </w:tc>
        <w:tc>
          <w:tcPr>
            <w:tcW w:w="246" w:type="pct"/>
            <w:tcBorders>
              <w:top w:val="nil"/>
              <w:left w:val="nil"/>
              <w:bottom w:val="single" w:sz="8" w:space="0" w:color="B3EFFD"/>
              <w:right w:val="nil"/>
            </w:tcBorders>
            <w:shd w:val="clear" w:color="000000" w:fill="FFFFFF"/>
            <w:noWrap/>
            <w:vAlign w:val="center"/>
            <w:hideMark/>
          </w:tcPr>
          <w:p w14:paraId="2CC62055"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47D329AE" w14:textId="3F514A1F"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2</w:t>
            </w:r>
          </w:p>
        </w:tc>
        <w:tc>
          <w:tcPr>
            <w:tcW w:w="474" w:type="pct"/>
            <w:tcBorders>
              <w:top w:val="nil"/>
              <w:left w:val="nil"/>
              <w:bottom w:val="single" w:sz="8" w:space="0" w:color="B3EFFD"/>
              <w:right w:val="nil"/>
            </w:tcBorders>
            <w:shd w:val="clear" w:color="000000" w:fill="FFFFFF"/>
            <w:noWrap/>
            <w:vAlign w:val="center"/>
            <w:hideMark/>
          </w:tcPr>
          <w:p w14:paraId="0AF2D906" w14:textId="76511B6E"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w:t>
            </w:r>
          </w:p>
        </w:tc>
        <w:tc>
          <w:tcPr>
            <w:tcW w:w="626" w:type="pct"/>
            <w:tcBorders>
              <w:top w:val="nil"/>
              <w:left w:val="nil"/>
              <w:bottom w:val="single" w:sz="8" w:space="0" w:color="B3EFFD"/>
              <w:right w:val="nil"/>
            </w:tcBorders>
            <w:shd w:val="clear" w:color="000000" w:fill="FFFFFF"/>
            <w:vAlign w:val="center"/>
            <w:hideMark/>
          </w:tcPr>
          <w:p w14:paraId="217C625F" w14:textId="3EC3338B"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563</w:t>
            </w:r>
          </w:p>
        </w:tc>
        <w:tc>
          <w:tcPr>
            <w:tcW w:w="624" w:type="pct"/>
            <w:tcBorders>
              <w:top w:val="nil"/>
              <w:left w:val="nil"/>
              <w:bottom w:val="single" w:sz="8" w:space="0" w:color="B3EFFD"/>
              <w:right w:val="nil"/>
            </w:tcBorders>
            <w:shd w:val="clear" w:color="auto" w:fill="auto"/>
            <w:vAlign w:val="center"/>
            <w:hideMark/>
          </w:tcPr>
          <w:p w14:paraId="3BD689EA" w14:textId="6578E868"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563</w:t>
            </w:r>
          </w:p>
        </w:tc>
        <w:tc>
          <w:tcPr>
            <w:tcW w:w="596" w:type="pct"/>
            <w:tcBorders>
              <w:top w:val="nil"/>
              <w:left w:val="nil"/>
              <w:bottom w:val="single" w:sz="8" w:space="0" w:color="B3EFFD"/>
              <w:right w:val="nil"/>
            </w:tcBorders>
            <w:shd w:val="clear" w:color="000000" w:fill="FFFFFF"/>
            <w:noWrap/>
            <w:vAlign w:val="center"/>
            <w:hideMark/>
          </w:tcPr>
          <w:p w14:paraId="3075A0B6"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563</w:t>
            </w:r>
          </w:p>
        </w:tc>
      </w:tr>
      <w:tr w:rsidR="00434B54" w:rsidRPr="00B77A62" w14:paraId="559A1EA0"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31664557"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3B7EE9E1"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0EDF3D53"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Faucet Aerator - Bathroom (IU)</w:t>
            </w:r>
          </w:p>
        </w:tc>
        <w:tc>
          <w:tcPr>
            <w:tcW w:w="246" w:type="pct"/>
            <w:tcBorders>
              <w:top w:val="nil"/>
              <w:left w:val="nil"/>
              <w:bottom w:val="single" w:sz="8" w:space="0" w:color="B3EFFD"/>
              <w:right w:val="nil"/>
            </w:tcBorders>
            <w:shd w:val="clear" w:color="000000" w:fill="FFFFFF"/>
            <w:noWrap/>
            <w:vAlign w:val="center"/>
            <w:hideMark/>
          </w:tcPr>
          <w:p w14:paraId="254051CD"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2F8EE53D" w14:textId="362BA949"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332</w:t>
            </w:r>
          </w:p>
        </w:tc>
        <w:tc>
          <w:tcPr>
            <w:tcW w:w="474" w:type="pct"/>
            <w:tcBorders>
              <w:top w:val="nil"/>
              <w:left w:val="nil"/>
              <w:bottom w:val="single" w:sz="8" w:space="0" w:color="B3EFFD"/>
              <w:right w:val="nil"/>
            </w:tcBorders>
            <w:shd w:val="clear" w:color="000000" w:fill="FFFFFF"/>
            <w:noWrap/>
            <w:vAlign w:val="center"/>
            <w:hideMark/>
          </w:tcPr>
          <w:p w14:paraId="17FD1EBE" w14:textId="54661E00"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10</w:t>
            </w:r>
          </w:p>
        </w:tc>
        <w:tc>
          <w:tcPr>
            <w:tcW w:w="626" w:type="pct"/>
            <w:tcBorders>
              <w:top w:val="nil"/>
              <w:left w:val="nil"/>
              <w:bottom w:val="single" w:sz="8" w:space="0" w:color="B3EFFD"/>
              <w:right w:val="nil"/>
            </w:tcBorders>
            <w:shd w:val="clear" w:color="000000" w:fill="FFFFFF"/>
            <w:vAlign w:val="center"/>
            <w:hideMark/>
          </w:tcPr>
          <w:p w14:paraId="649120BC" w14:textId="62897F74"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561</w:t>
            </w:r>
          </w:p>
        </w:tc>
        <w:tc>
          <w:tcPr>
            <w:tcW w:w="624" w:type="pct"/>
            <w:tcBorders>
              <w:top w:val="nil"/>
              <w:left w:val="nil"/>
              <w:bottom w:val="single" w:sz="8" w:space="0" w:color="B3EFFD"/>
              <w:right w:val="nil"/>
            </w:tcBorders>
            <w:shd w:val="clear" w:color="auto" w:fill="auto"/>
            <w:vAlign w:val="center"/>
            <w:hideMark/>
          </w:tcPr>
          <w:p w14:paraId="2EA1B19A" w14:textId="18FA178F"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561</w:t>
            </w:r>
          </w:p>
        </w:tc>
        <w:tc>
          <w:tcPr>
            <w:tcW w:w="596" w:type="pct"/>
            <w:tcBorders>
              <w:top w:val="nil"/>
              <w:left w:val="nil"/>
              <w:bottom w:val="single" w:sz="8" w:space="0" w:color="B3EFFD"/>
              <w:right w:val="nil"/>
            </w:tcBorders>
            <w:shd w:val="clear" w:color="000000" w:fill="FFFFFF"/>
            <w:noWrap/>
            <w:vAlign w:val="center"/>
            <w:hideMark/>
          </w:tcPr>
          <w:p w14:paraId="0C272A9A"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561</w:t>
            </w:r>
          </w:p>
        </w:tc>
      </w:tr>
      <w:tr w:rsidR="00434B54" w:rsidRPr="00B77A62" w14:paraId="51A610DF"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1495C14F"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5025BDBA"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52EC7417"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DHW Tune Up</w:t>
            </w:r>
          </w:p>
        </w:tc>
        <w:tc>
          <w:tcPr>
            <w:tcW w:w="246" w:type="pct"/>
            <w:tcBorders>
              <w:top w:val="nil"/>
              <w:left w:val="nil"/>
              <w:bottom w:val="single" w:sz="8" w:space="0" w:color="B3EFFD"/>
              <w:right w:val="nil"/>
            </w:tcBorders>
            <w:shd w:val="clear" w:color="000000" w:fill="FFFFFF"/>
            <w:noWrap/>
            <w:vAlign w:val="center"/>
            <w:hideMark/>
          </w:tcPr>
          <w:p w14:paraId="542E894B"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1855F484" w14:textId="7027AE9C"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12</w:t>
            </w:r>
          </w:p>
        </w:tc>
        <w:tc>
          <w:tcPr>
            <w:tcW w:w="474" w:type="pct"/>
            <w:tcBorders>
              <w:top w:val="nil"/>
              <w:left w:val="nil"/>
              <w:bottom w:val="single" w:sz="8" w:space="0" w:color="B3EFFD"/>
              <w:right w:val="nil"/>
            </w:tcBorders>
            <w:shd w:val="clear" w:color="000000" w:fill="FFFFFF"/>
            <w:noWrap/>
            <w:vAlign w:val="center"/>
            <w:hideMark/>
          </w:tcPr>
          <w:p w14:paraId="34921F81" w14:textId="0AF5191B"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3</w:t>
            </w:r>
          </w:p>
        </w:tc>
        <w:tc>
          <w:tcPr>
            <w:tcW w:w="626" w:type="pct"/>
            <w:tcBorders>
              <w:top w:val="nil"/>
              <w:left w:val="nil"/>
              <w:bottom w:val="single" w:sz="8" w:space="0" w:color="B3EFFD"/>
              <w:right w:val="nil"/>
            </w:tcBorders>
            <w:shd w:val="clear" w:color="000000" w:fill="FFFFFF"/>
            <w:vAlign w:val="center"/>
            <w:hideMark/>
          </w:tcPr>
          <w:p w14:paraId="64CF7080" w14:textId="245B0470"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400</w:t>
            </w:r>
          </w:p>
        </w:tc>
        <w:tc>
          <w:tcPr>
            <w:tcW w:w="624" w:type="pct"/>
            <w:tcBorders>
              <w:top w:val="nil"/>
              <w:left w:val="nil"/>
              <w:bottom w:val="single" w:sz="8" w:space="0" w:color="B3EFFD"/>
              <w:right w:val="nil"/>
            </w:tcBorders>
            <w:shd w:val="clear" w:color="auto" w:fill="auto"/>
            <w:vAlign w:val="center"/>
            <w:hideMark/>
          </w:tcPr>
          <w:p w14:paraId="051BDA23" w14:textId="14160DD2"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400</w:t>
            </w:r>
          </w:p>
        </w:tc>
        <w:tc>
          <w:tcPr>
            <w:tcW w:w="596" w:type="pct"/>
            <w:tcBorders>
              <w:top w:val="nil"/>
              <w:left w:val="nil"/>
              <w:bottom w:val="single" w:sz="8" w:space="0" w:color="B3EFFD"/>
              <w:right w:val="nil"/>
            </w:tcBorders>
            <w:shd w:val="clear" w:color="000000" w:fill="FFFFFF"/>
            <w:noWrap/>
            <w:vAlign w:val="center"/>
            <w:hideMark/>
          </w:tcPr>
          <w:p w14:paraId="188C18F4"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400</w:t>
            </w:r>
          </w:p>
        </w:tc>
      </w:tr>
      <w:tr w:rsidR="00434B54" w:rsidRPr="00B77A62" w14:paraId="079E75B8"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6AE218BF"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lastRenderedPageBreak/>
              <w:t> </w:t>
            </w:r>
          </w:p>
        </w:tc>
        <w:tc>
          <w:tcPr>
            <w:tcW w:w="415" w:type="pct"/>
            <w:tcBorders>
              <w:top w:val="nil"/>
              <w:left w:val="nil"/>
              <w:bottom w:val="single" w:sz="8" w:space="0" w:color="B3EFFD"/>
              <w:right w:val="nil"/>
            </w:tcBorders>
            <w:shd w:val="clear" w:color="auto" w:fill="auto"/>
            <w:vAlign w:val="center"/>
            <w:hideMark/>
          </w:tcPr>
          <w:p w14:paraId="7EDC3A24"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61AF6080"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Pipe Insulation</w:t>
            </w:r>
          </w:p>
        </w:tc>
        <w:tc>
          <w:tcPr>
            <w:tcW w:w="246" w:type="pct"/>
            <w:tcBorders>
              <w:top w:val="nil"/>
              <w:left w:val="nil"/>
              <w:bottom w:val="single" w:sz="8" w:space="0" w:color="B3EFFD"/>
              <w:right w:val="nil"/>
            </w:tcBorders>
            <w:shd w:val="clear" w:color="000000" w:fill="FFFFFF"/>
            <w:noWrap/>
            <w:vAlign w:val="center"/>
            <w:hideMark/>
          </w:tcPr>
          <w:p w14:paraId="2015FE3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Ln Ft</w:t>
            </w:r>
          </w:p>
        </w:tc>
        <w:tc>
          <w:tcPr>
            <w:tcW w:w="342" w:type="pct"/>
            <w:tcBorders>
              <w:top w:val="nil"/>
              <w:left w:val="nil"/>
              <w:bottom w:val="single" w:sz="8" w:space="0" w:color="B3EFFD"/>
              <w:right w:val="nil"/>
            </w:tcBorders>
            <w:shd w:val="clear" w:color="000000" w:fill="FFFFFF"/>
            <w:noWrap/>
            <w:vAlign w:val="center"/>
            <w:hideMark/>
          </w:tcPr>
          <w:p w14:paraId="06C67D85" w14:textId="4BC29F5F"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50</w:t>
            </w:r>
          </w:p>
        </w:tc>
        <w:tc>
          <w:tcPr>
            <w:tcW w:w="474" w:type="pct"/>
            <w:tcBorders>
              <w:top w:val="nil"/>
              <w:left w:val="nil"/>
              <w:bottom w:val="single" w:sz="8" w:space="0" w:color="B3EFFD"/>
              <w:right w:val="nil"/>
            </w:tcBorders>
            <w:shd w:val="clear" w:color="000000" w:fill="FFFFFF"/>
            <w:noWrap/>
            <w:vAlign w:val="center"/>
            <w:hideMark/>
          </w:tcPr>
          <w:p w14:paraId="07C9FC43" w14:textId="4475AE3B"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w:t>
            </w:r>
          </w:p>
        </w:tc>
        <w:tc>
          <w:tcPr>
            <w:tcW w:w="626" w:type="pct"/>
            <w:tcBorders>
              <w:top w:val="nil"/>
              <w:left w:val="nil"/>
              <w:bottom w:val="single" w:sz="8" w:space="0" w:color="B3EFFD"/>
              <w:right w:val="nil"/>
            </w:tcBorders>
            <w:shd w:val="clear" w:color="000000" w:fill="FFFFFF"/>
            <w:vAlign w:val="center"/>
            <w:hideMark/>
          </w:tcPr>
          <w:p w14:paraId="6ADF3881" w14:textId="1E2B7954"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153</w:t>
            </w:r>
          </w:p>
        </w:tc>
        <w:tc>
          <w:tcPr>
            <w:tcW w:w="624" w:type="pct"/>
            <w:tcBorders>
              <w:top w:val="nil"/>
              <w:left w:val="nil"/>
              <w:bottom w:val="single" w:sz="8" w:space="0" w:color="B3EFFD"/>
              <w:right w:val="nil"/>
            </w:tcBorders>
            <w:shd w:val="clear" w:color="auto" w:fill="auto"/>
            <w:vAlign w:val="center"/>
            <w:hideMark/>
          </w:tcPr>
          <w:p w14:paraId="1087A67A" w14:textId="45A9512F"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153</w:t>
            </w:r>
          </w:p>
        </w:tc>
        <w:tc>
          <w:tcPr>
            <w:tcW w:w="596" w:type="pct"/>
            <w:tcBorders>
              <w:top w:val="nil"/>
              <w:left w:val="nil"/>
              <w:bottom w:val="single" w:sz="8" w:space="0" w:color="B3EFFD"/>
              <w:right w:val="nil"/>
            </w:tcBorders>
            <w:shd w:val="clear" w:color="000000" w:fill="FFFFFF"/>
            <w:noWrap/>
            <w:vAlign w:val="center"/>
            <w:hideMark/>
          </w:tcPr>
          <w:p w14:paraId="3F0A424E"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153</w:t>
            </w:r>
          </w:p>
        </w:tc>
      </w:tr>
      <w:tr w:rsidR="00434B54" w:rsidRPr="00B77A62" w14:paraId="3F785BF4" w14:textId="77777777" w:rsidTr="00D80A0A">
        <w:trPr>
          <w:trHeight w:val="300"/>
        </w:trPr>
        <w:tc>
          <w:tcPr>
            <w:tcW w:w="460" w:type="pct"/>
            <w:tcBorders>
              <w:top w:val="nil"/>
              <w:left w:val="nil"/>
              <w:bottom w:val="single" w:sz="8" w:space="0" w:color="B3EFFD"/>
              <w:right w:val="nil"/>
            </w:tcBorders>
            <w:shd w:val="clear" w:color="000000" w:fill="FFFFFF"/>
            <w:vAlign w:val="center"/>
            <w:hideMark/>
          </w:tcPr>
          <w:p w14:paraId="6516BCFA"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415" w:type="pct"/>
            <w:tcBorders>
              <w:top w:val="nil"/>
              <w:left w:val="nil"/>
              <w:bottom w:val="single" w:sz="8" w:space="0" w:color="B3EFFD"/>
              <w:right w:val="nil"/>
            </w:tcBorders>
            <w:shd w:val="clear" w:color="auto" w:fill="auto"/>
            <w:vAlign w:val="center"/>
            <w:hideMark/>
          </w:tcPr>
          <w:p w14:paraId="345CB84F"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 </w:t>
            </w:r>
          </w:p>
        </w:tc>
        <w:tc>
          <w:tcPr>
            <w:tcW w:w="1217" w:type="pct"/>
            <w:tcBorders>
              <w:top w:val="nil"/>
              <w:left w:val="nil"/>
              <w:bottom w:val="single" w:sz="8" w:space="0" w:color="B3EFFD"/>
              <w:right w:val="nil"/>
            </w:tcBorders>
            <w:shd w:val="clear" w:color="000000" w:fill="FFFFFF"/>
            <w:noWrap/>
            <w:vAlign w:val="center"/>
            <w:hideMark/>
          </w:tcPr>
          <w:p w14:paraId="6417815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Assessment/No Savings</w:t>
            </w:r>
          </w:p>
        </w:tc>
        <w:tc>
          <w:tcPr>
            <w:tcW w:w="246" w:type="pct"/>
            <w:tcBorders>
              <w:top w:val="nil"/>
              <w:left w:val="nil"/>
              <w:bottom w:val="single" w:sz="8" w:space="0" w:color="B3EFFD"/>
              <w:right w:val="nil"/>
            </w:tcBorders>
            <w:shd w:val="clear" w:color="000000" w:fill="FFFFFF"/>
            <w:noWrap/>
            <w:vAlign w:val="center"/>
            <w:hideMark/>
          </w:tcPr>
          <w:p w14:paraId="74C9F438" w14:textId="77777777" w:rsidR="0080323F" w:rsidRPr="00E65743" w:rsidRDefault="0080323F" w:rsidP="0080323F">
            <w:pPr>
              <w:suppressAutoHyphens w:val="0"/>
              <w:autoSpaceDN/>
              <w:spacing w:before="0" w:after="0"/>
              <w:rPr>
                <w:rFonts w:ascii="Arial Narrow" w:hAnsi="Arial Narrow" w:cs="Calibri"/>
                <w:color w:val="000000"/>
                <w:sz w:val="20"/>
                <w:szCs w:val="20"/>
              </w:rPr>
            </w:pPr>
            <w:r w:rsidRPr="00E65743">
              <w:rPr>
                <w:rFonts w:ascii="Arial Narrow" w:hAnsi="Arial Narrow" w:cs="Calibri"/>
                <w:color w:val="000000"/>
                <w:sz w:val="20"/>
                <w:szCs w:val="20"/>
              </w:rPr>
              <w:t>Unit</w:t>
            </w:r>
          </w:p>
        </w:tc>
        <w:tc>
          <w:tcPr>
            <w:tcW w:w="342" w:type="pct"/>
            <w:tcBorders>
              <w:top w:val="nil"/>
              <w:left w:val="nil"/>
              <w:bottom w:val="single" w:sz="8" w:space="0" w:color="B3EFFD"/>
              <w:right w:val="nil"/>
            </w:tcBorders>
            <w:shd w:val="clear" w:color="000000" w:fill="FFFFFF"/>
            <w:noWrap/>
            <w:vAlign w:val="center"/>
            <w:hideMark/>
          </w:tcPr>
          <w:p w14:paraId="02AAEDBA" w14:textId="07780A40"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19,385</w:t>
            </w:r>
          </w:p>
        </w:tc>
        <w:tc>
          <w:tcPr>
            <w:tcW w:w="474" w:type="pct"/>
            <w:tcBorders>
              <w:top w:val="nil"/>
              <w:left w:val="nil"/>
              <w:bottom w:val="single" w:sz="8" w:space="0" w:color="B3EFFD"/>
              <w:right w:val="nil"/>
            </w:tcBorders>
            <w:shd w:val="clear" w:color="000000" w:fill="FFFFFF"/>
            <w:noWrap/>
            <w:vAlign w:val="center"/>
            <w:hideMark/>
          </w:tcPr>
          <w:p w14:paraId="726EA2E7" w14:textId="369CCDB0"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w:t>
            </w:r>
          </w:p>
        </w:tc>
        <w:tc>
          <w:tcPr>
            <w:tcW w:w="626" w:type="pct"/>
            <w:tcBorders>
              <w:top w:val="nil"/>
              <w:left w:val="nil"/>
              <w:bottom w:val="single" w:sz="8" w:space="0" w:color="B3EFFD"/>
              <w:right w:val="nil"/>
            </w:tcBorders>
            <w:shd w:val="clear" w:color="000000" w:fill="FFFFFF"/>
            <w:vAlign w:val="center"/>
            <w:hideMark/>
          </w:tcPr>
          <w:p w14:paraId="196C69D0" w14:textId="610E9CB5"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w:t>
            </w:r>
          </w:p>
        </w:tc>
        <w:tc>
          <w:tcPr>
            <w:tcW w:w="624" w:type="pct"/>
            <w:tcBorders>
              <w:top w:val="nil"/>
              <w:left w:val="nil"/>
              <w:bottom w:val="single" w:sz="8" w:space="0" w:color="B3EFFD"/>
              <w:right w:val="nil"/>
            </w:tcBorders>
            <w:shd w:val="clear" w:color="auto" w:fill="auto"/>
            <w:vAlign w:val="center"/>
            <w:hideMark/>
          </w:tcPr>
          <w:p w14:paraId="6F241EB6" w14:textId="4A9C7A5F"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w:t>
            </w:r>
          </w:p>
        </w:tc>
        <w:tc>
          <w:tcPr>
            <w:tcW w:w="596" w:type="pct"/>
            <w:tcBorders>
              <w:top w:val="nil"/>
              <w:left w:val="nil"/>
              <w:bottom w:val="single" w:sz="8" w:space="0" w:color="B3EFFD"/>
              <w:right w:val="nil"/>
            </w:tcBorders>
            <w:shd w:val="clear" w:color="000000" w:fill="FFFFFF"/>
            <w:noWrap/>
            <w:vAlign w:val="center"/>
            <w:hideMark/>
          </w:tcPr>
          <w:p w14:paraId="57BB1743" w14:textId="77777777" w:rsidR="0080323F" w:rsidRPr="00E65743" w:rsidRDefault="0080323F" w:rsidP="00B77A62">
            <w:pPr>
              <w:suppressAutoHyphens w:val="0"/>
              <w:autoSpaceDN/>
              <w:spacing w:before="0" w:after="0"/>
              <w:jc w:val="right"/>
              <w:rPr>
                <w:rFonts w:ascii="Arial Narrow" w:hAnsi="Arial Narrow" w:cs="Calibri"/>
                <w:color w:val="000000"/>
                <w:sz w:val="20"/>
                <w:szCs w:val="20"/>
              </w:rPr>
            </w:pPr>
            <w:r w:rsidRPr="00E65743">
              <w:rPr>
                <w:rFonts w:ascii="Arial Narrow" w:hAnsi="Arial Narrow" w:cs="Calibri"/>
                <w:color w:val="000000"/>
                <w:sz w:val="20"/>
                <w:szCs w:val="20"/>
              </w:rPr>
              <w:t>0</w:t>
            </w:r>
          </w:p>
        </w:tc>
      </w:tr>
      <w:tr w:rsidR="00E121BB" w:rsidRPr="00B77A62" w14:paraId="3B436110" w14:textId="77777777" w:rsidTr="00D80A0A">
        <w:trPr>
          <w:trHeight w:val="288"/>
        </w:trPr>
        <w:tc>
          <w:tcPr>
            <w:tcW w:w="2680" w:type="pct"/>
            <w:gridSpan w:val="5"/>
            <w:tcBorders>
              <w:top w:val="nil"/>
              <w:left w:val="nil"/>
              <w:bottom w:val="single" w:sz="8" w:space="0" w:color="036479"/>
              <w:right w:val="nil"/>
            </w:tcBorders>
            <w:shd w:val="clear" w:color="auto" w:fill="auto"/>
            <w:noWrap/>
            <w:vAlign w:val="center"/>
            <w:hideMark/>
          </w:tcPr>
          <w:p w14:paraId="26BC96AA" w14:textId="414AFC6E" w:rsidR="00E121BB" w:rsidRPr="00E65743" w:rsidRDefault="00E121BB" w:rsidP="00B77A62">
            <w:pPr>
              <w:suppressAutoHyphens w:val="0"/>
              <w:autoSpaceDN/>
              <w:spacing w:before="0" w:after="0"/>
              <w:rPr>
                <w:rFonts w:ascii="Arial Narrow" w:hAnsi="Arial Narrow" w:cs="Calibri"/>
                <w:b/>
                <w:bCs/>
                <w:color w:val="000000"/>
                <w:sz w:val="20"/>
                <w:szCs w:val="20"/>
              </w:rPr>
            </w:pPr>
            <w:r w:rsidRPr="00E65743">
              <w:rPr>
                <w:rFonts w:ascii="Arial Narrow" w:hAnsi="Arial Narrow" w:cs="Calibri"/>
                <w:b/>
                <w:bCs/>
                <w:color w:val="000000"/>
                <w:sz w:val="20"/>
                <w:szCs w:val="20"/>
              </w:rPr>
              <w:t>Total or Weighted Average   </w:t>
            </w:r>
          </w:p>
        </w:tc>
        <w:tc>
          <w:tcPr>
            <w:tcW w:w="474" w:type="pct"/>
            <w:tcBorders>
              <w:top w:val="nil"/>
              <w:left w:val="nil"/>
              <w:bottom w:val="single" w:sz="8" w:space="0" w:color="036479"/>
              <w:right w:val="nil"/>
            </w:tcBorders>
            <w:shd w:val="clear" w:color="auto" w:fill="auto"/>
            <w:vAlign w:val="center"/>
            <w:hideMark/>
          </w:tcPr>
          <w:p w14:paraId="2BECCF0D" w14:textId="58DE9C12" w:rsidR="00E121BB" w:rsidRPr="00E65743" w:rsidRDefault="00E121BB" w:rsidP="00B77A62">
            <w:pPr>
              <w:suppressAutoHyphens w:val="0"/>
              <w:autoSpaceDN/>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17.6</w:t>
            </w:r>
          </w:p>
        </w:tc>
        <w:tc>
          <w:tcPr>
            <w:tcW w:w="626" w:type="pct"/>
            <w:tcBorders>
              <w:top w:val="nil"/>
              <w:left w:val="nil"/>
              <w:bottom w:val="single" w:sz="8" w:space="0" w:color="036479"/>
              <w:right w:val="nil"/>
            </w:tcBorders>
            <w:shd w:val="clear" w:color="auto" w:fill="auto"/>
            <w:noWrap/>
            <w:vAlign w:val="center"/>
            <w:hideMark/>
          </w:tcPr>
          <w:p w14:paraId="36CFF0A7" w14:textId="438EC6A0" w:rsidR="00E121BB" w:rsidRPr="00E65743" w:rsidRDefault="00E121BB" w:rsidP="00B77A62">
            <w:pPr>
              <w:suppressAutoHyphens w:val="0"/>
              <w:autoSpaceDN/>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82,212</w:t>
            </w:r>
          </w:p>
        </w:tc>
        <w:tc>
          <w:tcPr>
            <w:tcW w:w="624" w:type="pct"/>
            <w:tcBorders>
              <w:top w:val="nil"/>
              <w:left w:val="nil"/>
              <w:bottom w:val="single" w:sz="8" w:space="0" w:color="036479"/>
              <w:right w:val="nil"/>
            </w:tcBorders>
            <w:shd w:val="clear" w:color="auto" w:fill="auto"/>
            <w:noWrap/>
            <w:vAlign w:val="center"/>
            <w:hideMark/>
          </w:tcPr>
          <w:p w14:paraId="625002B8" w14:textId="1AEFC0A1" w:rsidR="00E121BB" w:rsidRPr="00E65743" w:rsidRDefault="00E121BB" w:rsidP="00B77A62">
            <w:pPr>
              <w:suppressAutoHyphens w:val="0"/>
              <w:autoSpaceDN/>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82,211</w:t>
            </w:r>
          </w:p>
        </w:tc>
        <w:tc>
          <w:tcPr>
            <w:tcW w:w="596" w:type="pct"/>
            <w:tcBorders>
              <w:top w:val="nil"/>
              <w:left w:val="nil"/>
              <w:bottom w:val="single" w:sz="8" w:space="0" w:color="036479"/>
              <w:right w:val="nil"/>
            </w:tcBorders>
            <w:shd w:val="clear" w:color="auto" w:fill="auto"/>
            <w:vAlign w:val="center"/>
            <w:hideMark/>
          </w:tcPr>
          <w:p w14:paraId="328534B2" w14:textId="5A82871E" w:rsidR="00E121BB" w:rsidRPr="00E65743" w:rsidRDefault="00E121BB" w:rsidP="00B77A62">
            <w:pPr>
              <w:suppressAutoHyphens w:val="0"/>
              <w:autoSpaceDN/>
              <w:spacing w:before="0" w:after="0"/>
              <w:jc w:val="right"/>
              <w:rPr>
                <w:rFonts w:ascii="Arial Narrow" w:hAnsi="Arial Narrow" w:cs="Calibri"/>
                <w:b/>
                <w:bCs/>
                <w:color w:val="000000"/>
                <w:sz w:val="20"/>
                <w:szCs w:val="20"/>
              </w:rPr>
            </w:pPr>
            <w:r w:rsidRPr="00E65743">
              <w:rPr>
                <w:rFonts w:ascii="Arial Narrow" w:hAnsi="Arial Narrow" w:cs="Calibri"/>
                <w:b/>
                <w:bCs/>
                <w:color w:val="000000"/>
                <w:sz w:val="20"/>
                <w:szCs w:val="20"/>
              </w:rPr>
              <w:t>82,211</w:t>
            </w:r>
          </w:p>
        </w:tc>
      </w:tr>
    </w:tbl>
    <w:p w14:paraId="16687EEB" w14:textId="02C5EEB1" w:rsidR="00575F90" w:rsidRPr="00575F90" w:rsidRDefault="00E93A62" w:rsidP="00507A4B">
      <w:pPr>
        <w:pStyle w:val="Source"/>
        <w:sectPr w:rsidR="00575F90" w:rsidRPr="00575F90" w:rsidSect="00CC1DE5">
          <w:headerReference w:type="default" r:id="rId31"/>
          <w:footerReference w:type="default" r:id="rId32"/>
          <w:pgSz w:w="15840" w:h="12240" w:orient="landscape" w:code="1"/>
          <w:pgMar w:top="1440" w:right="1440" w:bottom="1440" w:left="1440" w:header="720" w:footer="720" w:gutter="0"/>
          <w:pgNumType w:chapStyle="5"/>
          <w:cols w:space="720"/>
          <w:docGrid w:linePitch="360"/>
        </w:sectPr>
      </w:pPr>
      <w:r w:rsidRPr="00F65903">
        <w:t xml:space="preserve">Source: </w:t>
      </w:r>
      <w:r w:rsidR="00CA196F">
        <w:t>E</w:t>
      </w:r>
      <w:r w:rsidRPr="00F65903">
        <w:t>valuation team analysis.</w:t>
      </w:r>
    </w:p>
    <w:p w14:paraId="310F44B5" w14:textId="3480460C" w:rsidR="004E499F" w:rsidRPr="004E499F" w:rsidRDefault="004E499F" w:rsidP="00560ED1">
      <w:pPr>
        <w:pStyle w:val="Heading7"/>
      </w:pPr>
      <w:r>
        <w:lastRenderedPageBreak/>
        <w:t>Public Housing Energy Savings Program</w:t>
      </w:r>
    </w:p>
    <w:p w14:paraId="1528A8E9" w14:textId="0573D68C" w:rsidR="00A415E3" w:rsidRPr="00D12853" w:rsidRDefault="00B77A62" w:rsidP="00A415E3">
      <w:r>
        <w:fldChar w:fldCharType="begin"/>
      </w:r>
      <w:r>
        <w:instrText xml:space="preserve"> REF Tableb3 \h </w:instrText>
      </w:r>
      <w:r>
        <w:fldChar w:fldCharType="separate"/>
      </w:r>
      <w:r>
        <w:t>Table B-</w:t>
      </w:r>
      <w:r>
        <w:rPr>
          <w:noProof/>
        </w:rPr>
        <w:t>3</w:t>
      </w:r>
      <w:r>
        <w:t xml:space="preserve"> </w:t>
      </w:r>
      <w:r>
        <w:fldChar w:fldCharType="end"/>
      </w:r>
      <w:r>
        <w:t xml:space="preserve">and </w:t>
      </w:r>
      <w:r>
        <w:fldChar w:fldCharType="begin"/>
      </w:r>
      <w:r>
        <w:instrText xml:space="preserve"> REF Tableb4 \h </w:instrText>
      </w:r>
      <w:r>
        <w:fldChar w:fldCharType="separate"/>
      </w:r>
      <w:r>
        <w:t>Table B</w:t>
      </w:r>
      <w:r>
        <w:noBreakHyphen/>
      </w:r>
      <w:r>
        <w:rPr>
          <w:noProof/>
        </w:rPr>
        <w:t>4</w:t>
      </w:r>
      <w:r>
        <w:fldChar w:fldCharType="end"/>
      </w:r>
      <w:r>
        <w:t xml:space="preserve"> </w:t>
      </w:r>
      <w:r w:rsidR="00A415E3" w:rsidRPr="00D12853">
        <w:t xml:space="preserve">show the Total Resource Cost (TRC) cost-effectiveness analysis inputs available at the time of </w:t>
      </w:r>
      <w:r w:rsidR="00A415E3">
        <w:t xml:space="preserve">producing </w:t>
      </w:r>
      <w:r w:rsidR="00A415E3" w:rsidRPr="00D12853">
        <w:t xml:space="preserve">this impact evaluation report. </w:t>
      </w:r>
      <w:r w:rsidR="00A415E3">
        <w:t>Currently, a</w:t>
      </w:r>
      <w:r w:rsidR="00A415E3" w:rsidRPr="00D12853">
        <w:t>dditional required cost data (e.g., measure costs, program level incentive and non-incentive costs) are not included in this table and will be provided to the evaluation team later.</w:t>
      </w:r>
      <w:r w:rsidR="00A415E3" w:rsidRPr="002C41A7">
        <w:t xml:space="preserve"> </w:t>
      </w:r>
      <w:r w:rsidR="00A415E3">
        <w:t>Guidehouse will include annual and lifetime water savings and greenhouse gas reductions in the end of year summary report.</w:t>
      </w:r>
    </w:p>
    <w:p w14:paraId="53E4BA80" w14:textId="3F18F5FA" w:rsidR="00A415E3" w:rsidRDefault="00A415E3" w:rsidP="004B73FE">
      <w:pPr>
        <w:pStyle w:val="Caption"/>
      </w:pPr>
      <w:bookmarkStart w:id="142" w:name="TableMG1"/>
      <w:bookmarkStart w:id="143" w:name="Tableb3"/>
      <w:bookmarkStart w:id="144" w:name="_Toc193349145"/>
      <w:bookmarkStart w:id="145" w:name="_Toc193349945"/>
      <w:bookmarkStart w:id="146" w:name="_Toc193349959"/>
      <w:bookmarkStart w:id="147" w:name="_Toc193350153"/>
      <w:r>
        <w:t>Table B</w:t>
      </w:r>
      <w:bookmarkEnd w:id="142"/>
      <w:r w:rsidR="00E766AA">
        <w:t>-</w:t>
      </w:r>
      <w:r w:rsidR="002A3507">
        <w:fldChar w:fldCharType="begin"/>
      </w:r>
      <w:r w:rsidR="002A3507">
        <w:instrText xml:space="preserve"> SEQ Table_Apx \* ARABIC \s 5  \* MERGEFORMAT </w:instrText>
      </w:r>
      <w:r w:rsidR="002A3507">
        <w:fldChar w:fldCharType="separate"/>
      </w:r>
      <w:r w:rsidR="00434B54">
        <w:rPr>
          <w:noProof/>
        </w:rPr>
        <w:t>3</w:t>
      </w:r>
      <w:r w:rsidR="002A3507">
        <w:rPr>
          <w:noProof/>
        </w:rPr>
        <w:fldChar w:fldCharType="end"/>
      </w:r>
      <w:r w:rsidR="00E766AA">
        <w:t xml:space="preserve"> </w:t>
      </w:r>
      <w:bookmarkEnd w:id="143"/>
      <w:r w:rsidR="00814FAC">
        <w:t xml:space="preserve">2024 PHES Program </w:t>
      </w:r>
      <w:r w:rsidRPr="00956B89">
        <w:t>Verified</w:t>
      </w:r>
      <w:r>
        <w:t xml:space="preserve"> Cost Effectiveness Inputs – PGL</w:t>
      </w:r>
      <w:bookmarkEnd w:id="144"/>
      <w:bookmarkEnd w:id="145"/>
      <w:bookmarkEnd w:id="146"/>
      <w:bookmarkEnd w:id="147"/>
    </w:p>
    <w:tbl>
      <w:tblPr>
        <w:tblW w:w="5048" w:type="pct"/>
        <w:tblLayout w:type="fixed"/>
        <w:tblLook w:val="04A0" w:firstRow="1" w:lastRow="0" w:firstColumn="1" w:lastColumn="0" w:noHBand="0" w:noVBand="1"/>
      </w:tblPr>
      <w:tblGrid>
        <w:gridCol w:w="971"/>
        <w:gridCol w:w="975"/>
        <w:gridCol w:w="809"/>
        <w:gridCol w:w="936"/>
        <w:gridCol w:w="1081"/>
        <w:gridCol w:w="900"/>
        <w:gridCol w:w="988"/>
        <w:gridCol w:w="990"/>
        <w:gridCol w:w="902"/>
        <w:gridCol w:w="898"/>
      </w:tblGrid>
      <w:tr w:rsidR="00D15466" w:rsidRPr="002E2476" w14:paraId="5AA55935" w14:textId="77777777" w:rsidTr="00D15466">
        <w:trPr>
          <w:trHeight w:val="1192"/>
        </w:trPr>
        <w:tc>
          <w:tcPr>
            <w:tcW w:w="514" w:type="pct"/>
            <w:tcBorders>
              <w:top w:val="nil"/>
              <w:left w:val="nil"/>
              <w:bottom w:val="single" w:sz="12" w:space="0" w:color="95D600"/>
              <w:right w:val="nil"/>
            </w:tcBorders>
            <w:shd w:val="clear" w:color="000000" w:fill="036479"/>
            <w:vAlign w:val="center"/>
            <w:hideMark/>
          </w:tcPr>
          <w:p w14:paraId="54964B85" w14:textId="77777777" w:rsidR="002E2476" w:rsidRPr="002E2476" w:rsidRDefault="002E2476" w:rsidP="002E2476">
            <w:pPr>
              <w:suppressAutoHyphens w:val="0"/>
              <w:autoSpaceDN/>
              <w:spacing w:before="0" w:after="0"/>
              <w:rPr>
                <w:rFonts w:ascii="Arial Narrow" w:hAnsi="Arial Narrow" w:cs="Calibri"/>
                <w:color w:val="FFFFFF"/>
                <w:sz w:val="20"/>
                <w:szCs w:val="20"/>
              </w:rPr>
            </w:pPr>
            <w:r w:rsidRPr="002E2476">
              <w:rPr>
                <w:rFonts w:ascii="Arial Narrow" w:hAnsi="Arial Narrow" w:cs="Calibri"/>
                <w:color w:val="FFFFFF"/>
                <w:sz w:val="20"/>
                <w:szCs w:val="20"/>
              </w:rPr>
              <w:t>Program Category</w:t>
            </w:r>
          </w:p>
        </w:tc>
        <w:tc>
          <w:tcPr>
            <w:tcW w:w="516" w:type="pct"/>
            <w:tcBorders>
              <w:top w:val="nil"/>
              <w:left w:val="nil"/>
              <w:bottom w:val="single" w:sz="12" w:space="0" w:color="95D600"/>
              <w:right w:val="nil"/>
            </w:tcBorders>
            <w:shd w:val="clear" w:color="000000" w:fill="036479"/>
            <w:vAlign w:val="center"/>
            <w:hideMark/>
          </w:tcPr>
          <w:p w14:paraId="24DC062F" w14:textId="77777777" w:rsidR="002E2476" w:rsidRPr="002E2476" w:rsidRDefault="002E2476" w:rsidP="002E2476">
            <w:pPr>
              <w:suppressAutoHyphens w:val="0"/>
              <w:autoSpaceDN/>
              <w:spacing w:before="0" w:after="0"/>
              <w:rPr>
                <w:rFonts w:ascii="Arial Narrow" w:hAnsi="Arial Narrow" w:cs="Calibri"/>
                <w:color w:val="FFFFFF"/>
                <w:sz w:val="20"/>
                <w:szCs w:val="20"/>
              </w:rPr>
            </w:pPr>
            <w:r w:rsidRPr="002E2476">
              <w:rPr>
                <w:rFonts w:ascii="Arial Narrow" w:hAnsi="Arial Narrow" w:cs="Calibri"/>
                <w:color w:val="FFFFFF"/>
                <w:sz w:val="20"/>
                <w:szCs w:val="20"/>
              </w:rPr>
              <w:t>Program Path</w:t>
            </w:r>
          </w:p>
        </w:tc>
        <w:tc>
          <w:tcPr>
            <w:tcW w:w="923" w:type="pct"/>
            <w:gridSpan w:val="2"/>
            <w:tcBorders>
              <w:top w:val="nil"/>
              <w:left w:val="nil"/>
              <w:bottom w:val="single" w:sz="12" w:space="0" w:color="95D600"/>
              <w:right w:val="nil"/>
            </w:tcBorders>
            <w:shd w:val="clear" w:color="000000" w:fill="036479"/>
            <w:vAlign w:val="center"/>
            <w:hideMark/>
          </w:tcPr>
          <w:p w14:paraId="27E5FCE3" w14:textId="77777777" w:rsidR="002E2476" w:rsidRPr="002E2476" w:rsidRDefault="002E2476" w:rsidP="002E2476">
            <w:pPr>
              <w:suppressAutoHyphens w:val="0"/>
              <w:autoSpaceDN/>
              <w:spacing w:before="0" w:after="0"/>
              <w:rPr>
                <w:rFonts w:ascii="Arial Narrow" w:hAnsi="Arial Narrow" w:cs="Calibri"/>
                <w:color w:val="FFFFFF"/>
                <w:sz w:val="20"/>
                <w:szCs w:val="20"/>
              </w:rPr>
            </w:pPr>
            <w:r w:rsidRPr="002E2476">
              <w:rPr>
                <w:rFonts w:ascii="Arial Narrow" w:hAnsi="Arial Narrow" w:cs="Calibri"/>
                <w:color w:val="FFFFFF"/>
                <w:sz w:val="20"/>
                <w:szCs w:val="20"/>
              </w:rPr>
              <w:t>Savings Category</w:t>
            </w:r>
          </w:p>
        </w:tc>
        <w:tc>
          <w:tcPr>
            <w:tcW w:w="571" w:type="pct"/>
            <w:tcBorders>
              <w:top w:val="nil"/>
              <w:left w:val="nil"/>
              <w:bottom w:val="single" w:sz="12" w:space="0" w:color="95D600"/>
              <w:right w:val="nil"/>
            </w:tcBorders>
            <w:shd w:val="clear" w:color="000000" w:fill="036479"/>
            <w:vAlign w:val="center"/>
            <w:hideMark/>
          </w:tcPr>
          <w:p w14:paraId="3D2352B4" w14:textId="77777777" w:rsidR="002E2476" w:rsidRPr="002E2476" w:rsidRDefault="002E2476" w:rsidP="002E2476">
            <w:pPr>
              <w:suppressAutoHyphens w:val="0"/>
              <w:autoSpaceDN/>
              <w:spacing w:before="0" w:after="0"/>
              <w:rPr>
                <w:rFonts w:ascii="Arial Narrow" w:hAnsi="Arial Narrow" w:cs="Calibri"/>
                <w:color w:val="FFFFFF"/>
                <w:sz w:val="20"/>
                <w:szCs w:val="20"/>
              </w:rPr>
            </w:pPr>
            <w:r w:rsidRPr="002E2476">
              <w:rPr>
                <w:rFonts w:ascii="Arial Narrow" w:hAnsi="Arial Narrow" w:cs="Calibri"/>
                <w:color w:val="FFFFFF"/>
                <w:sz w:val="20"/>
                <w:szCs w:val="20"/>
              </w:rPr>
              <w:t>Units</w:t>
            </w:r>
          </w:p>
        </w:tc>
        <w:tc>
          <w:tcPr>
            <w:tcW w:w="476" w:type="pct"/>
            <w:tcBorders>
              <w:top w:val="nil"/>
              <w:left w:val="nil"/>
              <w:bottom w:val="single" w:sz="12" w:space="0" w:color="95D600"/>
              <w:right w:val="nil"/>
            </w:tcBorders>
            <w:shd w:val="clear" w:color="000000" w:fill="036479"/>
            <w:vAlign w:val="center"/>
            <w:hideMark/>
          </w:tcPr>
          <w:p w14:paraId="0F288CC0" w14:textId="77777777" w:rsidR="002E2476" w:rsidRPr="002E2476" w:rsidRDefault="002E2476" w:rsidP="00651C00">
            <w:pPr>
              <w:suppressAutoHyphens w:val="0"/>
              <w:autoSpaceDN/>
              <w:spacing w:before="0" w:after="0"/>
              <w:jc w:val="right"/>
              <w:rPr>
                <w:rFonts w:ascii="Arial Narrow" w:hAnsi="Arial Narrow" w:cs="Calibri"/>
                <w:color w:val="FFFFFF"/>
                <w:sz w:val="20"/>
                <w:szCs w:val="20"/>
              </w:rPr>
            </w:pPr>
            <w:r w:rsidRPr="002E2476">
              <w:rPr>
                <w:rFonts w:ascii="Arial Narrow" w:hAnsi="Arial Narrow" w:cs="Calibri"/>
                <w:color w:val="FFFFFF"/>
                <w:sz w:val="20"/>
                <w:szCs w:val="20"/>
              </w:rPr>
              <w:t xml:space="preserve"> Quantity </w:t>
            </w:r>
          </w:p>
        </w:tc>
        <w:tc>
          <w:tcPr>
            <w:tcW w:w="523" w:type="pct"/>
            <w:tcBorders>
              <w:top w:val="nil"/>
              <w:left w:val="nil"/>
              <w:bottom w:val="single" w:sz="12" w:space="0" w:color="95D600"/>
              <w:right w:val="nil"/>
            </w:tcBorders>
            <w:shd w:val="clear" w:color="000000" w:fill="036479"/>
            <w:vAlign w:val="center"/>
            <w:hideMark/>
          </w:tcPr>
          <w:p w14:paraId="21AC4E8F" w14:textId="77777777" w:rsidR="002E2476" w:rsidRPr="002E2476" w:rsidRDefault="002E2476" w:rsidP="00651C00">
            <w:pPr>
              <w:suppressAutoHyphens w:val="0"/>
              <w:autoSpaceDN/>
              <w:spacing w:before="0" w:after="0"/>
              <w:jc w:val="right"/>
              <w:rPr>
                <w:rFonts w:ascii="Arial Narrow" w:hAnsi="Arial Narrow" w:cs="Calibri"/>
                <w:color w:val="FFFFFF"/>
                <w:sz w:val="20"/>
                <w:szCs w:val="20"/>
              </w:rPr>
            </w:pPr>
            <w:r w:rsidRPr="002E2476">
              <w:rPr>
                <w:rFonts w:ascii="Arial Narrow" w:hAnsi="Arial Narrow" w:cs="Calibri"/>
                <w:color w:val="FFFFFF"/>
                <w:sz w:val="20"/>
                <w:szCs w:val="20"/>
              </w:rPr>
              <w:t xml:space="preserve"> Effective Useful Life </w:t>
            </w:r>
          </w:p>
        </w:tc>
        <w:tc>
          <w:tcPr>
            <w:tcW w:w="524" w:type="pct"/>
            <w:tcBorders>
              <w:top w:val="nil"/>
              <w:left w:val="nil"/>
              <w:bottom w:val="single" w:sz="12" w:space="0" w:color="95D600"/>
              <w:right w:val="nil"/>
            </w:tcBorders>
            <w:shd w:val="clear" w:color="000000" w:fill="036479"/>
            <w:vAlign w:val="center"/>
            <w:hideMark/>
          </w:tcPr>
          <w:p w14:paraId="6A4E8F40" w14:textId="77777777" w:rsidR="002E2476" w:rsidRPr="002E2476" w:rsidRDefault="002E2476" w:rsidP="00651C00">
            <w:pPr>
              <w:suppressAutoHyphens w:val="0"/>
              <w:autoSpaceDN/>
              <w:spacing w:before="0" w:after="0"/>
              <w:jc w:val="right"/>
              <w:rPr>
                <w:rFonts w:ascii="Arial Narrow" w:hAnsi="Arial Narrow" w:cs="Calibri"/>
                <w:color w:val="FFFFFF"/>
                <w:sz w:val="20"/>
                <w:szCs w:val="20"/>
              </w:rPr>
            </w:pPr>
            <w:r w:rsidRPr="002E2476">
              <w:rPr>
                <w:rFonts w:ascii="Arial Narrow" w:hAnsi="Arial Narrow" w:cs="Calibri"/>
                <w:color w:val="FFFFFF"/>
                <w:sz w:val="20"/>
                <w:szCs w:val="20"/>
              </w:rPr>
              <w:t xml:space="preserve"> Ex Ante Gross Savings (Therms) </w:t>
            </w:r>
          </w:p>
        </w:tc>
        <w:tc>
          <w:tcPr>
            <w:tcW w:w="477" w:type="pct"/>
            <w:tcBorders>
              <w:top w:val="nil"/>
              <w:left w:val="nil"/>
              <w:bottom w:val="single" w:sz="12" w:space="0" w:color="95D600"/>
              <w:right w:val="nil"/>
            </w:tcBorders>
            <w:shd w:val="clear" w:color="000000" w:fill="036479"/>
            <w:vAlign w:val="center"/>
            <w:hideMark/>
          </w:tcPr>
          <w:p w14:paraId="62DA7924" w14:textId="77777777" w:rsidR="002E2476" w:rsidRPr="002E2476" w:rsidRDefault="002E2476" w:rsidP="00651C00">
            <w:pPr>
              <w:suppressAutoHyphens w:val="0"/>
              <w:autoSpaceDN/>
              <w:spacing w:before="0" w:after="0"/>
              <w:jc w:val="right"/>
              <w:rPr>
                <w:rFonts w:ascii="Arial Narrow" w:hAnsi="Arial Narrow" w:cs="Calibri"/>
                <w:color w:val="FFFFFF"/>
                <w:sz w:val="20"/>
                <w:szCs w:val="20"/>
              </w:rPr>
            </w:pPr>
            <w:r w:rsidRPr="002E2476">
              <w:rPr>
                <w:rFonts w:ascii="Arial Narrow" w:hAnsi="Arial Narrow" w:cs="Calibri"/>
                <w:color w:val="FFFFFF"/>
                <w:sz w:val="20"/>
                <w:szCs w:val="20"/>
              </w:rPr>
              <w:t xml:space="preserve"> Verified Gross Savings (Therms) </w:t>
            </w:r>
          </w:p>
        </w:tc>
        <w:tc>
          <w:tcPr>
            <w:tcW w:w="475" w:type="pct"/>
            <w:tcBorders>
              <w:top w:val="nil"/>
              <w:left w:val="nil"/>
              <w:bottom w:val="single" w:sz="12" w:space="0" w:color="95D600"/>
              <w:right w:val="nil"/>
            </w:tcBorders>
            <w:shd w:val="clear" w:color="000000" w:fill="036479"/>
            <w:vAlign w:val="center"/>
            <w:hideMark/>
          </w:tcPr>
          <w:p w14:paraId="726653AF" w14:textId="77777777" w:rsidR="002E2476" w:rsidRPr="002E2476" w:rsidRDefault="002E2476" w:rsidP="00651C00">
            <w:pPr>
              <w:suppressAutoHyphens w:val="0"/>
              <w:autoSpaceDN/>
              <w:spacing w:before="0" w:after="0"/>
              <w:jc w:val="right"/>
              <w:rPr>
                <w:rFonts w:ascii="Arial Narrow" w:hAnsi="Arial Narrow" w:cs="Calibri"/>
                <w:color w:val="FFFFFF"/>
                <w:sz w:val="20"/>
                <w:szCs w:val="20"/>
              </w:rPr>
            </w:pPr>
            <w:r w:rsidRPr="002E2476">
              <w:rPr>
                <w:rFonts w:ascii="Arial Narrow" w:hAnsi="Arial Narrow" w:cs="Calibri"/>
                <w:color w:val="FFFFFF"/>
                <w:sz w:val="20"/>
                <w:szCs w:val="20"/>
              </w:rPr>
              <w:t xml:space="preserve"> Verified Net Savings (Therms) </w:t>
            </w:r>
          </w:p>
        </w:tc>
      </w:tr>
      <w:tr w:rsidR="00D15466" w:rsidRPr="002E2476" w14:paraId="0CF25CCB" w14:textId="77777777" w:rsidTr="00D15466">
        <w:trPr>
          <w:trHeight w:val="615"/>
        </w:trPr>
        <w:tc>
          <w:tcPr>
            <w:tcW w:w="514" w:type="pct"/>
            <w:tcBorders>
              <w:top w:val="nil"/>
              <w:left w:val="nil"/>
              <w:bottom w:val="single" w:sz="8" w:space="0" w:color="B3EFFD"/>
              <w:right w:val="nil"/>
            </w:tcBorders>
            <w:shd w:val="clear" w:color="000000" w:fill="FFFFFF"/>
            <w:vAlign w:val="center"/>
            <w:hideMark/>
          </w:tcPr>
          <w:p w14:paraId="145C312E" w14:textId="51F62DC1" w:rsidR="002E2476" w:rsidRPr="002E2476" w:rsidRDefault="0000544B" w:rsidP="002E2476">
            <w:pPr>
              <w:suppressAutoHyphens w:val="0"/>
              <w:autoSpaceDN/>
              <w:spacing w:before="0" w:after="0"/>
              <w:rPr>
                <w:rFonts w:ascii="Arial Narrow" w:hAnsi="Arial Narrow" w:cs="Calibri"/>
                <w:b/>
                <w:bCs/>
                <w:color w:val="000000"/>
                <w:sz w:val="20"/>
                <w:szCs w:val="20"/>
              </w:rPr>
            </w:pPr>
            <w:r w:rsidRPr="00D91B6F">
              <w:rPr>
                <w:rFonts w:ascii="Arial Narrow" w:hAnsi="Arial Narrow" w:cs="Calibri"/>
                <w:b/>
                <w:bCs/>
                <w:color w:val="000000"/>
                <w:sz w:val="20"/>
                <w:szCs w:val="20"/>
              </w:rPr>
              <w:t>PHES</w:t>
            </w:r>
          </w:p>
        </w:tc>
        <w:tc>
          <w:tcPr>
            <w:tcW w:w="516" w:type="pct"/>
            <w:tcBorders>
              <w:top w:val="nil"/>
              <w:left w:val="nil"/>
              <w:bottom w:val="single" w:sz="8" w:space="0" w:color="B3EFFD"/>
              <w:right w:val="nil"/>
            </w:tcBorders>
            <w:shd w:val="clear" w:color="auto" w:fill="auto"/>
            <w:vAlign w:val="center"/>
            <w:hideMark/>
          </w:tcPr>
          <w:p w14:paraId="2FD76CE8"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Public Housing</w:t>
            </w:r>
          </w:p>
        </w:tc>
        <w:tc>
          <w:tcPr>
            <w:tcW w:w="923" w:type="pct"/>
            <w:gridSpan w:val="2"/>
            <w:tcBorders>
              <w:top w:val="nil"/>
              <w:left w:val="nil"/>
              <w:bottom w:val="single" w:sz="8" w:space="0" w:color="B3EFFD"/>
              <w:right w:val="nil"/>
            </w:tcBorders>
            <w:shd w:val="clear" w:color="000000" w:fill="FFFFFF"/>
            <w:noWrap/>
            <w:vAlign w:val="center"/>
            <w:hideMark/>
          </w:tcPr>
          <w:p w14:paraId="7679C6C9"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Furnace Tune Up</w:t>
            </w:r>
          </w:p>
        </w:tc>
        <w:tc>
          <w:tcPr>
            <w:tcW w:w="571" w:type="pct"/>
            <w:tcBorders>
              <w:top w:val="nil"/>
              <w:left w:val="nil"/>
              <w:bottom w:val="single" w:sz="8" w:space="0" w:color="B3EFFD"/>
              <w:right w:val="nil"/>
            </w:tcBorders>
            <w:shd w:val="clear" w:color="000000" w:fill="FFFFFF"/>
            <w:noWrap/>
            <w:vAlign w:val="center"/>
            <w:hideMark/>
          </w:tcPr>
          <w:p w14:paraId="38CC0A4D"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06B3FA6D" w14:textId="4E922F0B"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1,519</w:t>
            </w:r>
          </w:p>
        </w:tc>
        <w:tc>
          <w:tcPr>
            <w:tcW w:w="523" w:type="pct"/>
            <w:tcBorders>
              <w:top w:val="nil"/>
              <w:left w:val="nil"/>
              <w:bottom w:val="single" w:sz="8" w:space="0" w:color="B3EFFD"/>
              <w:right w:val="nil"/>
            </w:tcBorders>
            <w:shd w:val="clear" w:color="000000" w:fill="FFFFFF"/>
            <w:noWrap/>
            <w:vAlign w:val="center"/>
            <w:hideMark/>
          </w:tcPr>
          <w:p w14:paraId="419AE1E4" w14:textId="480967C8"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3.0</w:t>
            </w:r>
          </w:p>
        </w:tc>
        <w:tc>
          <w:tcPr>
            <w:tcW w:w="524" w:type="pct"/>
            <w:tcBorders>
              <w:top w:val="nil"/>
              <w:left w:val="nil"/>
              <w:bottom w:val="single" w:sz="8" w:space="0" w:color="B3EFFD"/>
              <w:right w:val="nil"/>
            </w:tcBorders>
            <w:shd w:val="clear" w:color="000000" w:fill="FFFFFF"/>
            <w:vAlign w:val="center"/>
            <w:hideMark/>
          </w:tcPr>
          <w:p w14:paraId="6DD8CDCE" w14:textId="2CB774C9"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19,412</w:t>
            </w:r>
          </w:p>
        </w:tc>
        <w:tc>
          <w:tcPr>
            <w:tcW w:w="477" w:type="pct"/>
            <w:tcBorders>
              <w:top w:val="nil"/>
              <w:left w:val="nil"/>
              <w:bottom w:val="single" w:sz="8" w:space="0" w:color="B3EFFD"/>
              <w:right w:val="nil"/>
            </w:tcBorders>
            <w:shd w:val="clear" w:color="auto" w:fill="auto"/>
            <w:vAlign w:val="center"/>
            <w:hideMark/>
          </w:tcPr>
          <w:p w14:paraId="315C39D8" w14:textId="72D21AE5"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19,412</w:t>
            </w:r>
          </w:p>
        </w:tc>
        <w:tc>
          <w:tcPr>
            <w:tcW w:w="475" w:type="pct"/>
            <w:tcBorders>
              <w:top w:val="nil"/>
              <w:left w:val="nil"/>
              <w:bottom w:val="single" w:sz="8" w:space="0" w:color="B3EFFD"/>
              <w:right w:val="nil"/>
            </w:tcBorders>
            <w:shd w:val="clear" w:color="000000" w:fill="FFFFFF"/>
            <w:noWrap/>
            <w:vAlign w:val="center"/>
            <w:hideMark/>
          </w:tcPr>
          <w:p w14:paraId="3A23DD6C" w14:textId="27FCD396"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19,412</w:t>
            </w:r>
          </w:p>
        </w:tc>
      </w:tr>
      <w:tr w:rsidR="00D15466" w:rsidRPr="002E2476" w14:paraId="6C868CE0"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48DE8215"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1B312B29"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48517AF7"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Boiler Tune Up</w:t>
            </w:r>
          </w:p>
        </w:tc>
        <w:tc>
          <w:tcPr>
            <w:tcW w:w="571" w:type="pct"/>
            <w:tcBorders>
              <w:top w:val="nil"/>
              <w:left w:val="nil"/>
              <w:bottom w:val="single" w:sz="8" w:space="0" w:color="B3EFFD"/>
              <w:right w:val="nil"/>
            </w:tcBorders>
            <w:shd w:val="clear" w:color="000000" w:fill="FFFFFF"/>
            <w:noWrap/>
            <w:vAlign w:val="center"/>
            <w:hideMark/>
          </w:tcPr>
          <w:p w14:paraId="78E742F9"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5B014437" w14:textId="2C37910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19</w:t>
            </w:r>
          </w:p>
        </w:tc>
        <w:tc>
          <w:tcPr>
            <w:tcW w:w="523" w:type="pct"/>
            <w:tcBorders>
              <w:top w:val="nil"/>
              <w:left w:val="nil"/>
              <w:bottom w:val="single" w:sz="8" w:space="0" w:color="B3EFFD"/>
              <w:right w:val="nil"/>
            </w:tcBorders>
            <w:shd w:val="clear" w:color="000000" w:fill="FFFFFF"/>
            <w:noWrap/>
            <w:vAlign w:val="center"/>
            <w:hideMark/>
          </w:tcPr>
          <w:p w14:paraId="5AA2D243" w14:textId="58383BD2"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3.0</w:t>
            </w:r>
          </w:p>
        </w:tc>
        <w:tc>
          <w:tcPr>
            <w:tcW w:w="524" w:type="pct"/>
            <w:tcBorders>
              <w:top w:val="nil"/>
              <w:left w:val="nil"/>
              <w:bottom w:val="single" w:sz="8" w:space="0" w:color="B3EFFD"/>
              <w:right w:val="nil"/>
            </w:tcBorders>
            <w:shd w:val="clear" w:color="000000" w:fill="FFFFFF"/>
            <w:vAlign w:val="center"/>
            <w:hideMark/>
          </w:tcPr>
          <w:p w14:paraId="33693DD7" w14:textId="5DE9DFAE"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18,570</w:t>
            </w:r>
          </w:p>
        </w:tc>
        <w:tc>
          <w:tcPr>
            <w:tcW w:w="477" w:type="pct"/>
            <w:tcBorders>
              <w:top w:val="nil"/>
              <w:left w:val="nil"/>
              <w:bottom w:val="single" w:sz="8" w:space="0" w:color="B3EFFD"/>
              <w:right w:val="nil"/>
            </w:tcBorders>
            <w:shd w:val="clear" w:color="auto" w:fill="auto"/>
            <w:vAlign w:val="center"/>
            <w:hideMark/>
          </w:tcPr>
          <w:p w14:paraId="6776315A" w14:textId="0A10BB57"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18,570</w:t>
            </w:r>
          </w:p>
        </w:tc>
        <w:tc>
          <w:tcPr>
            <w:tcW w:w="475" w:type="pct"/>
            <w:tcBorders>
              <w:top w:val="nil"/>
              <w:left w:val="nil"/>
              <w:bottom w:val="single" w:sz="8" w:space="0" w:color="B3EFFD"/>
              <w:right w:val="nil"/>
            </w:tcBorders>
            <w:shd w:val="clear" w:color="000000" w:fill="FFFFFF"/>
            <w:noWrap/>
            <w:vAlign w:val="center"/>
            <w:hideMark/>
          </w:tcPr>
          <w:p w14:paraId="3C503824" w14:textId="0C3EEC9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18,570</w:t>
            </w:r>
          </w:p>
        </w:tc>
      </w:tr>
      <w:tr w:rsidR="00D15466" w:rsidRPr="002E2476" w14:paraId="44268308"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00D75860"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60661D09"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4874CB05"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Steam Traps</w:t>
            </w:r>
          </w:p>
        </w:tc>
        <w:tc>
          <w:tcPr>
            <w:tcW w:w="571" w:type="pct"/>
            <w:tcBorders>
              <w:top w:val="nil"/>
              <w:left w:val="nil"/>
              <w:bottom w:val="single" w:sz="8" w:space="0" w:color="B3EFFD"/>
              <w:right w:val="nil"/>
            </w:tcBorders>
            <w:shd w:val="clear" w:color="000000" w:fill="FFFFFF"/>
            <w:noWrap/>
            <w:vAlign w:val="center"/>
            <w:hideMark/>
          </w:tcPr>
          <w:p w14:paraId="439D6192"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07B50751" w14:textId="4C1B4A8E"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84</w:t>
            </w:r>
          </w:p>
        </w:tc>
        <w:tc>
          <w:tcPr>
            <w:tcW w:w="523" w:type="pct"/>
            <w:tcBorders>
              <w:top w:val="nil"/>
              <w:left w:val="nil"/>
              <w:bottom w:val="single" w:sz="8" w:space="0" w:color="B3EFFD"/>
              <w:right w:val="nil"/>
            </w:tcBorders>
            <w:shd w:val="clear" w:color="000000" w:fill="FFFFFF"/>
            <w:noWrap/>
            <w:vAlign w:val="center"/>
            <w:hideMark/>
          </w:tcPr>
          <w:p w14:paraId="46E669C5" w14:textId="23A94795"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6.0</w:t>
            </w:r>
          </w:p>
        </w:tc>
        <w:tc>
          <w:tcPr>
            <w:tcW w:w="524" w:type="pct"/>
            <w:tcBorders>
              <w:top w:val="nil"/>
              <w:left w:val="nil"/>
              <w:bottom w:val="single" w:sz="8" w:space="0" w:color="B3EFFD"/>
              <w:right w:val="nil"/>
            </w:tcBorders>
            <w:shd w:val="clear" w:color="000000" w:fill="FFFFFF"/>
            <w:vAlign w:val="center"/>
            <w:hideMark/>
          </w:tcPr>
          <w:p w14:paraId="10747F04" w14:textId="2062E622"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17,586</w:t>
            </w:r>
          </w:p>
        </w:tc>
        <w:tc>
          <w:tcPr>
            <w:tcW w:w="477" w:type="pct"/>
            <w:tcBorders>
              <w:top w:val="nil"/>
              <w:left w:val="nil"/>
              <w:bottom w:val="single" w:sz="8" w:space="0" w:color="B3EFFD"/>
              <w:right w:val="nil"/>
            </w:tcBorders>
            <w:shd w:val="clear" w:color="auto" w:fill="auto"/>
            <w:vAlign w:val="center"/>
            <w:hideMark/>
          </w:tcPr>
          <w:p w14:paraId="603964C3" w14:textId="219E5BA7"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17,586</w:t>
            </w:r>
          </w:p>
        </w:tc>
        <w:tc>
          <w:tcPr>
            <w:tcW w:w="475" w:type="pct"/>
            <w:tcBorders>
              <w:top w:val="nil"/>
              <w:left w:val="nil"/>
              <w:bottom w:val="single" w:sz="8" w:space="0" w:color="B3EFFD"/>
              <w:right w:val="nil"/>
            </w:tcBorders>
            <w:shd w:val="clear" w:color="000000" w:fill="FFFFFF"/>
            <w:noWrap/>
            <w:vAlign w:val="center"/>
            <w:hideMark/>
          </w:tcPr>
          <w:p w14:paraId="14DB8268" w14:textId="48BE75E2"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17,586</w:t>
            </w:r>
          </w:p>
        </w:tc>
      </w:tr>
      <w:tr w:rsidR="00D15466" w:rsidRPr="002E2476" w14:paraId="74E325C7"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147DAD0A"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34641806"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7EFA6B47"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xml:space="preserve">Covers and Gap Sealers for Room AC </w:t>
            </w:r>
          </w:p>
        </w:tc>
        <w:tc>
          <w:tcPr>
            <w:tcW w:w="571" w:type="pct"/>
            <w:tcBorders>
              <w:top w:val="nil"/>
              <w:left w:val="nil"/>
              <w:bottom w:val="single" w:sz="8" w:space="0" w:color="B3EFFD"/>
              <w:right w:val="nil"/>
            </w:tcBorders>
            <w:shd w:val="clear" w:color="000000" w:fill="FFFFFF"/>
            <w:noWrap/>
            <w:vAlign w:val="center"/>
            <w:hideMark/>
          </w:tcPr>
          <w:p w14:paraId="67F27F79"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5D112863" w14:textId="70AE36AB"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113</w:t>
            </w:r>
          </w:p>
        </w:tc>
        <w:tc>
          <w:tcPr>
            <w:tcW w:w="523" w:type="pct"/>
            <w:tcBorders>
              <w:top w:val="nil"/>
              <w:left w:val="nil"/>
              <w:bottom w:val="single" w:sz="8" w:space="0" w:color="B3EFFD"/>
              <w:right w:val="nil"/>
            </w:tcBorders>
            <w:shd w:val="clear" w:color="000000" w:fill="FFFFFF"/>
            <w:noWrap/>
            <w:vAlign w:val="center"/>
            <w:hideMark/>
          </w:tcPr>
          <w:p w14:paraId="76473939" w14:textId="1026BA57"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5.0</w:t>
            </w:r>
          </w:p>
        </w:tc>
        <w:tc>
          <w:tcPr>
            <w:tcW w:w="524" w:type="pct"/>
            <w:tcBorders>
              <w:top w:val="nil"/>
              <w:left w:val="nil"/>
              <w:bottom w:val="single" w:sz="8" w:space="0" w:color="B3EFFD"/>
              <w:right w:val="nil"/>
            </w:tcBorders>
            <w:shd w:val="clear" w:color="000000" w:fill="FFFFFF"/>
            <w:vAlign w:val="center"/>
            <w:hideMark/>
          </w:tcPr>
          <w:p w14:paraId="256B490D" w14:textId="51908608"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1,148</w:t>
            </w:r>
          </w:p>
        </w:tc>
        <w:tc>
          <w:tcPr>
            <w:tcW w:w="477" w:type="pct"/>
            <w:tcBorders>
              <w:top w:val="nil"/>
              <w:left w:val="nil"/>
              <w:bottom w:val="single" w:sz="8" w:space="0" w:color="B3EFFD"/>
              <w:right w:val="nil"/>
            </w:tcBorders>
            <w:shd w:val="clear" w:color="auto" w:fill="auto"/>
            <w:vAlign w:val="center"/>
            <w:hideMark/>
          </w:tcPr>
          <w:p w14:paraId="1FDE4F9E" w14:textId="3EFF85B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1,148</w:t>
            </w:r>
          </w:p>
        </w:tc>
        <w:tc>
          <w:tcPr>
            <w:tcW w:w="475" w:type="pct"/>
            <w:tcBorders>
              <w:top w:val="nil"/>
              <w:left w:val="nil"/>
              <w:bottom w:val="single" w:sz="8" w:space="0" w:color="B3EFFD"/>
              <w:right w:val="nil"/>
            </w:tcBorders>
            <w:shd w:val="clear" w:color="000000" w:fill="FFFFFF"/>
            <w:noWrap/>
            <w:vAlign w:val="center"/>
            <w:hideMark/>
          </w:tcPr>
          <w:p w14:paraId="2EA11659" w14:textId="3668375C"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1,148</w:t>
            </w:r>
          </w:p>
        </w:tc>
      </w:tr>
      <w:tr w:rsidR="00D15466" w:rsidRPr="002E2476" w14:paraId="3794AD93"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492D2E24"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654FF5D0"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47962B7E"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Showerhead (IU)</w:t>
            </w:r>
          </w:p>
        </w:tc>
        <w:tc>
          <w:tcPr>
            <w:tcW w:w="571" w:type="pct"/>
            <w:tcBorders>
              <w:top w:val="nil"/>
              <w:left w:val="nil"/>
              <w:bottom w:val="single" w:sz="8" w:space="0" w:color="B3EFFD"/>
              <w:right w:val="nil"/>
            </w:tcBorders>
            <w:shd w:val="clear" w:color="000000" w:fill="FFFFFF"/>
            <w:noWrap/>
            <w:vAlign w:val="center"/>
            <w:hideMark/>
          </w:tcPr>
          <w:p w14:paraId="670F4F12"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51595E9F" w14:textId="18394F77"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65</w:t>
            </w:r>
          </w:p>
        </w:tc>
        <w:tc>
          <w:tcPr>
            <w:tcW w:w="523" w:type="pct"/>
            <w:tcBorders>
              <w:top w:val="nil"/>
              <w:left w:val="nil"/>
              <w:bottom w:val="single" w:sz="8" w:space="0" w:color="B3EFFD"/>
              <w:right w:val="nil"/>
            </w:tcBorders>
            <w:shd w:val="clear" w:color="000000" w:fill="FFFFFF"/>
            <w:noWrap/>
            <w:vAlign w:val="center"/>
            <w:hideMark/>
          </w:tcPr>
          <w:p w14:paraId="6C8FE7FB" w14:textId="43AD15D2"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10.0</w:t>
            </w:r>
          </w:p>
        </w:tc>
        <w:tc>
          <w:tcPr>
            <w:tcW w:w="524" w:type="pct"/>
            <w:tcBorders>
              <w:top w:val="nil"/>
              <w:left w:val="nil"/>
              <w:bottom w:val="single" w:sz="8" w:space="0" w:color="B3EFFD"/>
              <w:right w:val="nil"/>
            </w:tcBorders>
            <w:shd w:val="clear" w:color="000000" w:fill="FFFFFF"/>
            <w:vAlign w:val="center"/>
            <w:hideMark/>
          </w:tcPr>
          <w:p w14:paraId="67C36970" w14:textId="25C67EC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803</w:t>
            </w:r>
          </w:p>
        </w:tc>
        <w:tc>
          <w:tcPr>
            <w:tcW w:w="477" w:type="pct"/>
            <w:tcBorders>
              <w:top w:val="nil"/>
              <w:left w:val="nil"/>
              <w:bottom w:val="single" w:sz="8" w:space="0" w:color="B3EFFD"/>
              <w:right w:val="nil"/>
            </w:tcBorders>
            <w:shd w:val="clear" w:color="auto" w:fill="auto"/>
            <w:vAlign w:val="center"/>
            <w:hideMark/>
          </w:tcPr>
          <w:p w14:paraId="4EB0E533" w14:textId="6E9595E6"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803</w:t>
            </w:r>
          </w:p>
        </w:tc>
        <w:tc>
          <w:tcPr>
            <w:tcW w:w="475" w:type="pct"/>
            <w:tcBorders>
              <w:top w:val="nil"/>
              <w:left w:val="nil"/>
              <w:bottom w:val="single" w:sz="8" w:space="0" w:color="B3EFFD"/>
              <w:right w:val="nil"/>
            </w:tcBorders>
            <w:shd w:val="clear" w:color="000000" w:fill="FFFFFF"/>
            <w:noWrap/>
            <w:vAlign w:val="center"/>
            <w:hideMark/>
          </w:tcPr>
          <w:p w14:paraId="7355A480" w14:textId="6FD95205"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803</w:t>
            </w:r>
          </w:p>
        </w:tc>
      </w:tr>
      <w:tr w:rsidR="00D15466" w:rsidRPr="002E2476" w14:paraId="19A3C369"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5DD3A99B"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1C1E8AE8"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5AC3B9D3"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Pipe Insulation</w:t>
            </w:r>
          </w:p>
        </w:tc>
        <w:tc>
          <w:tcPr>
            <w:tcW w:w="571" w:type="pct"/>
            <w:tcBorders>
              <w:top w:val="nil"/>
              <w:left w:val="nil"/>
              <w:bottom w:val="single" w:sz="8" w:space="0" w:color="B3EFFD"/>
              <w:right w:val="nil"/>
            </w:tcBorders>
            <w:shd w:val="clear" w:color="000000" w:fill="FFFFFF"/>
            <w:noWrap/>
            <w:vAlign w:val="center"/>
            <w:hideMark/>
          </w:tcPr>
          <w:p w14:paraId="21BCC1CD"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Ln Ft</w:t>
            </w:r>
          </w:p>
        </w:tc>
        <w:tc>
          <w:tcPr>
            <w:tcW w:w="476" w:type="pct"/>
            <w:tcBorders>
              <w:top w:val="nil"/>
              <w:left w:val="nil"/>
              <w:bottom w:val="single" w:sz="8" w:space="0" w:color="B3EFFD"/>
              <w:right w:val="nil"/>
            </w:tcBorders>
            <w:shd w:val="clear" w:color="000000" w:fill="FFFFFF"/>
            <w:noWrap/>
            <w:vAlign w:val="center"/>
            <w:hideMark/>
          </w:tcPr>
          <w:p w14:paraId="61638965" w14:textId="69E8BCDF"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200</w:t>
            </w:r>
          </w:p>
        </w:tc>
        <w:tc>
          <w:tcPr>
            <w:tcW w:w="523" w:type="pct"/>
            <w:tcBorders>
              <w:top w:val="nil"/>
              <w:left w:val="nil"/>
              <w:bottom w:val="single" w:sz="8" w:space="0" w:color="B3EFFD"/>
              <w:right w:val="nil"/>
            </w:tcBorders>
            <w:shd w:val="clear" w:color="000000" w:fill="FFFFFF"/>
            <w:noWrap/>
            <w:vAlign w:val="center"/>
            <w:hideMark/>
          </w:tcPr>
          <w:p w14:paraId="429AE32C" w14:textId="1CD190DD"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15.0</w:t>
            </w:r>
          </w:p>
        </w:tc>
        <w:tc>
          <w:tcPr>
            <w:tcW w:w="524" w:type="pct"/>
            <w:tcBorders>
              <w:top w:val="nil"/>
              <w:left w:val="nil"/>
              <w:bottom w:val="single" w:sz="8" w:space="0" w:color="B3EFFD"/>
              <w:right w:val="nil"/>
            </w:tcBorders>
            <w:shd w:val="clear" w:color="000000" w:fill="FFFFFF"/>
            <w:vAlign w:val="center"/>
            <w:hideMark/>
          </w:tcPr>
          <w:p w14:paraId="4B09F603" w14:textId="1083BDF2"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487</w:t>
            </w:r>
          </w:p>
        </w:tc>
        <w:tc>
          <w:tcPr>
            <w:tcW w:w="477" w:type="pct"/>
            <w:tcBorders>
              <w:top w:val="nil"/>
              <w:left w:val="nil"/>
              <w:bottom w:val="single" w:sz="8" w:space="0" w:color="B3EFFD"/>
              <w:right w:val="nil"/>
            </w:tcBorders>
            <w:shd w:val="clear" w:color="auto" w:fill="auto"/>
            <w:vAlign w:val="center"/>
            <w:hideMark/>
          </w:tcPr>
          <w:p w14:paraId="582FA190" w14:textId="7DC16B69"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487</w:t>
            </w:r>
          </w:p>
        </w:tc>
        <w:tc>
          <w:tcPr>
            <w:tcW w:w="475" w:type="pct"/>
            <w:tcBorders>
              <w:top w:val="nil"/>
              <w:left w:val="nil"/>
              <w:bottom w:val="single" w:sz="8" w:space="0" w:color="B3EFFD"/>
              <w:right w:val="nil"/>
            </w:tcBorders>
            <w:shd w:val="clear" w:color="000000" w:fill="FFFFFF"/>
            <w:noWrap/>
            <w:vAlign w:val="center"/>
            <w:hideMark/>
          </w:tcPr>
          <w:p w14:paraId="3655EE4D" w14:textId="1562C1B0"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487</w:t>
            </w:r>
          </w:p>
        </w:tc>
      </w:tr>
      <w:tr w:rsidR="00D15466" w:rsidRPr="002E2476" w14:paraId="11658635"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3A8C58E7"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353B73E1"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44D95009"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Shower Timer (IU)</w:t>
            </w:r>
          </w:p>
        </w:tc>
        <w:tc>
          <w:tcPr>
            <w:tcW w:w="571" w:type="pct"/>
            <w:tcBorders>
              <w:top w:val="nil"/>
              <w:left w:val="nil"/>
              <w:bottom w:val="single" w:sz="8" w:space="0" w:color="B3EFFD"/>
              <w:right w:val="nil"/>
            </w:tcBorders>
            <w:shd w:val="clear" w:color="000000" w:fill="FFFFFF"/>
            <w:noWrap/>
            <w:vAlign w:val="center"/>
            <w:hideMark/>
          </w:tcPr>
          <w:p w14:paraId="5FE0462E"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39F1358B" w14:textId="770793F7"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114</w:t>
            </w:r>
          </w:p>
        </w:tc>
        <w:tc>
          <w:tcPr>
            <w:tcW w:w="523" w:type="pct"/>
            <w:tcBorders>
              <w:top w:val="nil"/>
              <w:left w:val="nil"/>
              <w:bottom w:val="single" w:sz="8" w:space="0" w:color="B3EFFD"/>
              <w:right w:val="nil"/>
            </w:tcBorders>
            <w:shd w:val="clear" w:color="000000" w:fill="FFFFFF"/>
            <w:noWrap/>
            <w:vAlign w:val="center"/>
            <w:hideMark/>
          </w:tcPr>
          <w:p w14:paraId="759FDF5F" w14:textId="23B65BFF"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2.0</w:t>
            </w:r>
          </w:p>
        </w:tc>
        <w:tc>
          <w:tcPr>
            <w:tcW w:w="524" w:type="pct"/>
            <w:tcBorders>
              <w:top w:val="nil"/>
              <w:left w:val="nil"/>
              <w:bottom w:val="single" w:sz="8" w:space="0" w:color="B3EFFD"/>
              <w:right w:val="nil"/>
            </w:tcBorders>
            <w:shd w:val="clear" w:color="000000" w:fill="FFFFFF"/>
            <w:vAlign w:val="center"/>
            <w:hideMark/>
          </w:tcPr>
          <w:p w14:paraId="11494377" w14:textId="1D748A8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433</w:t>
            </w:r>
          </w:p>
        </w:tc>
        <w:tc>
          <w:tcPr>
            <w:tcW w:w="477" w:type="pct"/>
            <w:tcBorders>
              <w:top w:val="nil"/>
              <w:left w:val="nil"/>
              <w:bottom w:val="single" w:sz="8" w:space="0" w:color="B3EFFD"/>
              <w:right w:val="nil"/>
            </w:tcBorders>
            <w:shd w:val="clear" w:color="auto" w:fill="auto"/>
            <w:vAlign w:val="center"/>
            <w:hideMark/>
          </w:tcPr>
          <w:p w14:paraId="42ADDAC3" w14:textId="6D28E19B"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432</w:t>
            </w:r>
          </w:p>
        </w:tc>
        <w:tc>
          <w:tcPr>
            <w:tcW w:w="475" w:type="pct"/>
            <w:tcBorders>
              <w:top w:val="nil"/>
              <w:left w:val="nil"/>
              <w:bottom w:val="single" w:sz="8" w:space="0" w:color="B3EFFD"/>
              <w:right w:val="nil"/>
            </w:tcBorders>
            <w:shd w:val="clear" w:color="000000" w:fill="FFFFFF"/>
            <w:noWrap/>
            <w:vAlign w:val="center"/>
            <w:hideMark/>
          </w:tcPr>
          <w:p w14:paraId="22AE3CF7" w14:textId="19CAB1F6"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432</w:t>
            </w:r>
          </w:p>
        </w:tc>
      </w:tr>
      <w:tr w:rsidR="00D15466" w:rsidRPr="002E2476" w14:paraId="7EA84980"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7EDA54C0"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18F23E1E"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2045BBD3"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Faucet Aerator - Kitchen (IU)</w:t>
            </w:r>
          </w:p>
        </w:tc>
        <w:tc>
          <w:tcPr>
            <w:tcW w:w="571" w:type="pct"/>
            <w:tcBorders>
              <w:top w:val="nil"/>
              <w:left w:val="nil"/>
              <w:bottom w:val="single" w:sz="8" w:space="0" w:color="B3EFFD"/>
              <w:right w:val="nil"/>
            </w:tcBorders>
            <w:shd w:val="clear" w:color="000000" w:fill="FFFFFF"/>
            <w:noWrap/>
            <w:vAlign w:val="center"/>
            <w:hideMark/>
          </w:tcPr>
          <w:p w14:paraId="2E434699"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65F83738" w14:textId="4C660D5F"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83</w:t>
            </w:r>
          </w:p>
        </w:tc>
        <w:tc>
          <w:tcPr>
            <w:tcW w:w="523" w:type="pct"/>
            <w:tcBorders>
              <w:top w:val="nil"/>
              <w:left w:val="nil"/>
              <w:bottom w:val="single" w:sz="8" w:space="0" w:color="B3EFFD"/>
              <w:right w:val="nil"/>
            </w:tcBorders>
            <w:shd w:val="clear" w:color="000000" w:fill="FFFFFF"/>
            <w:noWrap/>
            <w:vAlign w:val="center"/>
            <w:hideMark/>
          </w:tcPr>
          <w:p w14:paraId="7E6B3ECD" w14:textId="0127D346"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10.0</w:t>
            </w:r>
          </w:p>
        </w:tc>
        <w:tc>
          <w:tcPr>
            <w:tcW w:w="524" w:type="pct"/>
            <w:tcBorders>
              <w:top w:val="nil"/>
              <w:left w:val="nil"/>
              <w:bottom w:val="single" w:sz="8" w:space="0" w:color="B3EFFD"/>
              <w:right w:val="nil"/>
            </w:tcBorders>
            <w:shd w:val="clear" w:color="000000" w:fill="FFFFFF"/>
            <w:vAlign w:val="center"/>
            <w:hideMark/>
          </w:tcPr>
          <w:p w14:paraId="7355280B" w14:textId="2162D575"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234</w:t>
            </w:r>
          </w:p>
        </w:tc>
        <w:tc>
          <w:tcPr>
            <w:tcW w:w="477" w:type="pct"/>
            <w:tcBorders>
              <w:top w:val="nil"/>
              <w:left w:val="nil"/>
              <w:bottom w:val="single" w:sz="8" w:space="0" w:color="B3EFFD"/>
              <w:right w:val="nil"/>
            </w:tcBorders>
            <w:shd w:val="clear" w:color="auto" w:fill="auto"/>
            <w:vAlign w:val="center"/>
            <w:hideMark/>
          </w:tcPr>
          <w:p w14:paraId="24EE2BA7" w14:textId="0FEE9FA1"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234</w:t>
            </w:r>
          </w:p>
        </w:tc>
        <w:tc>
          <w:tcPr>
            <w:tcW w:w="475" w:type="pct"/>
            <w:tcBorders>
              <w:top w:val="nil"/>
              <w:left w:val="nil"/>
              <w:bottom w:val="single" w:sz="8" w:space="0" w:color="B3EFFD"/>
              <w:right w:val="nil"/>
            </w:tcBorders>
            <w:shd w:val="clear" w:color="000000" w:fill="FFFFFF"/>
            <w:noWrap/>
            <w:vAlign w:val="center"/>
            <w:hideMark/>
          </w:tcPr>
          <w:p w14:paraId="600D70AB" w14:textId="3C6BE15F"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234</w:t>
            </w:r>
          </w:p>
        </w:tc>
      </w:tr>
      <w:tr w:rsidR="00D15466" w:rsidRPr="002E2476" w14:paraId="1FDC1BE7"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1918BD98"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652E4110"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3A8302A4"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Faucet Aerator - Bathroom (IU)</w:t>
            </w:r>
          </w:p>
        </w:tc>
        <w:tc>
          <w:tcPr>
            <w:tcW w:w="571" w:type="pct"/>
            <w:tcBorders>
              <w:top w:val="nil"/>
              <w:left w:val="nil"/>
              <w:bottom w:val="single" w:sz="8" w:space="0" w:color="B3EFFD"/>
              <w:right w:val="nil"/>
            </w:tcBorders>
            <w:shd w:val="clear" w:color="000000" w:fill="FFFFFF"/>
            <w:noWrap/>
            <w:vAlign w:val="center"/>
            <w:hideMark/>
          </w:tcPr>
          <w:p w14:paraId="4F0922C5"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2C87CD90" w14:textId="6BAA5086"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90</w:t>
            </w:r>
          </w:p>
        </w:tc>
        <w:tc>
          <w:tcPr>
            <w:tcW w:w="523" w:type="pct"/>
            <w:tcBorders>
              <w:top w:val="nil"/>
              <w:left w:val="nil"/>
              <w:bottom w:val="single" w:sz="8" w:space="0" w:color="B3EFFD"/>
              <w:right w:val="nil"/>
            </w:tcBorders>
            <w:shd w:val="clear" w:color="000000" w:fill="FFFFFF"/>
            <w:noWrap/>
            <w:vAlign w:val="center"/>
            <w:hideMark/>
          </w:tcPr>
          <w:p w14:paraId="70E5D9A9" w14:textId="5258E1DA"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10.0</w:t>
            </w:r>
          </w:p>
        </w:tc>
        <w:tc>
          <w:tcPr>
            <w:tcW w:w="524" w:type="pct"/>
            <w:tcBorders>
              <w:top w:val="nil"/>
              <w:left w:val="nil"/>
              <w:bottom w:val="single" w:sz="8" w:space="0" w:color="B3EFFD"/>
              <w:right w:val="nil"/>
            </w:tcBorders>
            <w:shd w:val="clear" w:color="000000" w:fill="FFFFFF"/>
            <w:vAlign w:val="center"/>
            <w:hideMark/>
          </w:tcPr>
          <w:p w14:paraId="3CDC2C1E" w14:textId="61C51EBB"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152</w:t>
            </w:r>
          </w:p>
        </w:tc>
        <w:tc>
          <w:tcPr>
            <w:tcW w:w="477" w:type="pct"/>
            <w:tcBorders>
              <w:top w:val="nil"/>
              <w:left w:val="nil"/>
              <w:bottom w:val="single" w:sz="8" w:space="0" w:color="B3EFFD"/>
              <w:right w:val="nil"/>
            </w:tcBorders>
            <w:shd w:val="clear" w:color="auto" w:fill="auto"/>
            <w:vAlign w:val="center"/>
            <w:hideMark/>
          </w:tcPr>
          <w:p w14:paraId="65956153" w14:textId="3BD09782"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152</w:t>
            </w:r>
          </w:p>
        </w:tc>
        <w:tc>
          <w:tcPr>
            <w:tcW w:w="475" w:type="pct"/>
            <w:tcBorders>
              <w:top w:val="nil"/>
              <w:left w:val="nil"/>
              <w:bottom w:val="single" w:sz="8" w:space="0" w:color="B3EFFD"/>
              <w:right w:val="nil"/>
            </w:tcBorders>
            <w:shd w:val="clear" w:color="000000" w:fill="FFFFFF"/>
            <w:noWrap/>
            <w:vAlign w:val="center"/>
            <w:hideMark/>
          </w:tcPr>
          <w:p w14:paraId="2EC3929B" w14:textId="62FB3ED8"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152</w:t>
            </w:r>
          </w:p>
        </w:tc>
      </w:tr>
      <w:tr w:rsidR="00D15466" w:rsidRPr="002E2476" w14:paraId="57154C3D" w14:textId="77777777" w:rsidTr="00D15466">
        <w:trPr>
          <w:trHeight w:val="319"/>
        </w:trPr>
        <w:tc>
          <w:tcPr>
            <w:tcW w:w="514" w:type="pct"/>
            <w:tcBorders>
              <w:top w:val="nil"/>
              <w:left w:val="nil"/>
              <w:bottom w:val="single" w:sz="8" w:space="0" w:color="B3EFFD"/>
              <w:right w:val="nil"/>
            </w:tcBorders>
            <w:shd w:val="clear" w:color="000000" w:fill="FFFFFF"/>
            <w:vAlign w:val="center"/>
            <w:hideMark/>
          </w:tcPr>
          <w:p w14:paraId="5A272D5B"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516" w:type="pct"/>
            <w:tcBorders>
              <w:top w:val="nil"/>
              <w:left w:val="nil"/>
              <w:bottom w:val="single" w:sz="8" w:space="0" w:color="B3EFFD"/>
              <w:right w:val="nil"/>
            </w:tcBorders>
            <w:shd w:val="clear" w:color="auto" w:fill="auto"/>
            <w:vAlign w:val="center"/>
            <w:hideMark/>
          </w:tcPr>
          <w:p w14:paraId="2C03DDFE"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 </w:t>
            </w:r>
          </w:p>
        </w:tc>
        <w:tc>
          <w:tcPr>
            <w:tcW w:w="923" w:type="pct"/>
            <w:gridSpan w:val="2"/>
            <w:tcBorders>
              <w:top w:val="nil"/>
              <w:left w:val="nil"/>
              <w:bottom w:val="single" w:sz="8" w:space="0" w:color="B3EFFD"/>
              <w:right w:val="nil"/>
            </w:tcBorders>
            <w:shd w:val="clear" w:color="000000" w:fill="FFFFFF"/>
            <w:noWrap/>
            <w:vAlign w:val="center"/>
            <w:hideMark/>
          </w:tcPr>
          <w:p w14:paraId="2B681C43"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Water Heater</w:t>
            </w:r>
          </w:p>
        </w:tc>
        <w:tc>
          <w:tcPr>
            <w:tcW w:w="571" w:type="pct"/>
            <w:tcBorders>
              <w:top w:val="nil"/>
              <w:left w:val="nil"/>
              <w:bottom w:val="single" w:sz="8" w:space="0" w:color="B3EFFD"/>
              <w:right w:val="nil"/>
            </w:tcBorders>
            <w:shd w:val="clear" w:color="000000" w:fill="FFFFFF"/>
            <w:noWrap/>
            <w:vAlign w:val="center"/>
            <w:hideMark/>
          </w:tcPr>
          <w:p w14:paraId="5410F8A7" w14:textId="77777777" w:rsidR="002E2476" w:rsidRPr="002E2476" w:rsidRDefault="002E2476" w:rsidP="002E2476">
            <w:pPr>
              <w:suppressAutoHyphens w:val="0"/>
              <w:autoSpaceDN/>
              <w:spacing w:before="0" w:after="0"/>
              <w:rPr>
                <w:rFonts w:ascii="Arial Narrow" w:hAnsi="Arial Narrow" w:cs="Calibri"/>
                <w:color w:val="000000"/>
                <w:sz w:val="20"/>
                <w:szCs w:val="20"/>
              </w:rPr>
            </w:pPr>
            <w:r w:rsidRPr="002E2476">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2A1FEEFE" w14:textId="29E7CB7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w:t>
            </w:r>
          </w:p>
        </w:tc>
        <w:tc>
          <w:tcPr>
            <w:tcW w:w="523" w:type="pct"/>
            <w:tcBorders>
              <w:top w:val="nil"/>
              <w:left w:val="nil"/>
              <w:bottom w:val="single" w:sz="8" w:space="0" w:color="B3EFFD"/>
              <w:right w:val="nil"/>
            </w:tcBorders>
            <w:shd w:val="clear" w:color="000000" w:fill="FFFFFF"/>
            <w:noWrap/>
            <w:vAlign w:val="center"/>
            <w:hideMark/>
          </w:tcPr>
          <w:p w14:paraId="26205553" w14:textId="6EB641E3"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20.0</w:t>
            </w:r>
          </w:p>
        </w:tc>
        <w:tc>
          <w:tcPr>
            <w:tcW w:w="524" w:type="pct"/>
            <w:tcBorders>
              <w:top w:val="nil"/>
              <w:left w:val="nil"/>
              <w:bottom w:val="single" w:sz="8" w:space="0" w:color="B3EFFD"/>
              <w:right w:val="nil"/>
            </w:tcBorders>
            <w:shd w:val="clear" w:color="000000" w:fill="FFFFFF"/>
            <w:vAlign w:val="center"/>
            <w:hideMark/>
          </w:tcPr>
          <w:p w14:paraId="41761CD5" w14:textId="6F08B8F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20</w:t>
            </w:r>
          </w:p>
        </w:tc>
        <w:tc>
          <w:tcPr>
            <w:tcW w:w="477" w:type="pct"/>
            <w:tcBorders>
              <w:top w:val="nil"/>
              <w:left w:val="nil"/>
              <w:bottom w:val="single" w:sz="8" w:space="0" w:color="B3EFFD"/>
              <w:right w:val="nil"/>
            </w:tcBorders>
            <w:shd w:val="clear" w:color="auto" w:fill="auto"/>
            <w:vAlign w:val="center"/>
            <w:hideMark/>
          </w:tcPr>
          <w:p w14:paraId="6B3CDC63" w14:textId="3AA6F604"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20</w:t>
            </w:r>
          </w:p>
        </w:tc>
        <w:tc>
          <w:tcPr>
            <w:tcW w:w="475" w:type="pct"/>
            <w:tcBorders>
              <w:top w:val="nil"/>
              <w:left w:val="nil"/>
              <w:bottom w:val="single" w:sz="8" w:space="0" w:color="B3EFFD"/>
              <w:right w:val="nil"/>
            </w:tcBorders>
            <w:shd w:val="clear" w:color="000000" w:fill="FFFFFF"/>
            <w:noWrap/>
            <w:vAlign w:val="center"/>
            <w:hideMark/>
          </w:tcPr>
          <w:p w14:paraId="18DFA6F9" w14:textId="479FA8FB" w:rsidR="002E2476" w:rsidRPr="002E2476" w:rsidRDefault="002E2476" w:rsidP="00651C00">
            <w:pPr>
              <w:suppressAutoHyphens w:val="0"/>
              <w:autoSpaceDN/>
              <w:spacing w:before="0" w:after="0"/>
              <w:jc w:val="right"/>
              <w:rPr>
                <w:rFonts w:ascii="Arial Narrow" w:hAnsi="Arial Narrow" w:cs="Calibri"/>
                <w:color w:val="000000"/>
                <w:sz w:val="20"/>
                <w:szCs w:val="20"/>
              </w:rPr>
            </w:pPr>
            <w:r w:rsidRPr="002E2476">
              <w:rPr>
                <w:rFonts w:ascii="Arial Narrow" w:hAnsi="Arial Narrow" w:cs="Calibri"/>
                <w:color w:val="000000"/>
                <w:sz w:val="20"/>
                <w:szCs w:val="20"/>
              </w:rPr>
              <w:t>20</w:t>
            </w:r>
          </w:p>
        </w:tc>
      </w:tr>
      <w:tr w:rsidR="00D15466" w:rsidRPr="002E2476" w14:paraId="1B02A67D" w14:textId="77777777" w:rsidTr="00D15466">
        <w:trPr>
          <w:trHeight w:val="319"/>
        </w:trPr>
        <w:tc>
          <w:tcPr>
            <w:tcW w:w="1458" w:type="pct"/>
            <w:gridSpan w:val="3"/>
            <w:tcBorders>
              <w:top w:val="nil"/>
              <w:left w:val="nil"/>
              <w:bottom w:val="single" w:sz="8" w:space="0" w:color="036479"/>
              <w:right w:val="nil"/>
            </w:tcBorders>
            <w:shd w:val="clear" w:color="auto" w:fill="auto"/>
            <w:noWrap/>
            <w:vAlign w:val="center"/>
            <w:hideMark/>
          </w:tcPr>
          <w:p w14:paraId="16A7C256" w14:textId="77777777" w:rsidR="00D15466" w:rsidRPr="002E2476" w:rsidRDefault="00D15466" w:rsidP="00C50D82">
            <w:pPr>
              <w:suppressAutoHyphens w:val="0"/>
              <w:autoSpaceDN/>
              <w:spacing w:before="0" w:after="0"/>
              <w:rPr>
                <w:rFonts w:ascii="Arial Narrow" w:hAnsi="Arial Narrow" w:cs="Calibri"/>
                <w:b/>
                <w:bCs/>
                <w:color w:val="000000"/>
                <w:sz w:val="20"/>
                <w:szCs w:val="20"/>
              </w:rPr>
            </w:pPr>
            <w:r w:rsidRPr="002E2476">
              <w:rPr>
                <w:rFonts w:ascii="Arial Narrow" w:hAnsi="Arial Narrow" w:cs="Calibri"/>
                <w:b/>
                <w:bCs/>
                <w:color w:val="000000"/>
                <w:sz w:val="20"/>
                <w:szCs w:val="20"/>
              </w:rPr>
              <w:t>Total or Weighted Average</w:t>
            </w:r>
          </w:p>
        </w:tc>
        <w:tc>
          <w:tcPr>
            <w:tcW w:w="1067" w:type="pct"/>
            <w:gridSpan w:val="2"/>
            <w:tcBorders>
              <w:top w:val="nil"/>
              <w:left w:val="nil"/>
              <w:bottom w:val="single" w:sz="8" w:space="0" w:color="036479"/>
              <w:right w:val="nil"/>
            </w:tcBorders>
            <w:shd w:val="clear" w:color="auto" w:fill="auto"/>
            <w:vAlign w:val="center"/>
          </w:tcPr>
          <w:p w14:paraId="45DF81A7" w14:textId="7881625F" w:rsidR="00D15466" w:rsidRPr="002E2476" w:rsidRDefault="00D15466" w:rsidP="00651C00">
            <w:pPr>
              <w:suppressAutoHyphens w:val="0"/>
              <w:autoSpaceDN/>
              <w:spacing w:before="0" w:after="0"/>
              <w:jc w:val="right"/>
              <w:rPr>
                <w:rFonts w:ascii="Arial Narrow" w:hAnsi="Arial Narrow" w:cs="Calibri"/>
                <w:b/>
                <w:bCs/>
                <w:color w:val="000000"/>
                <w:sz w:val="20"/>
                <w:szCs w:val="20"/>
              </w:rPr>
            </w:pPr>
          </w:p>
        </w:tc>
        <w:tc>
          <w:tcPr>
            <w:tcW w:w="476" w:type="pct"/>
            <w:tcBorders>
              <w:top w:val="nil"/>
              <w:left w:val="nil"/>
              <w:bottom w:val="single" w:sz="8" w:space="0" w:color="036479"/>
              <w:right w:val="nil"/>
            </w:tcBorders>
            <w:shd w:val="clear" w:color="auto" w:fill="auto"/>
            <w:vAlign w:val="center"/>
          </w:tcPr>
          <w:p w14:paraId="121987F4" w14:textId="77777777" w:rsidR="00D15466" w:rsidRPr="002E2476" w:rsidRDefault="00D15466" w:rsidP="00651C00">
            <w:pPr>
              <w:suppressAutoHyphens w:val="0"/>
              <w:autoSpaceDN/>
              <w:spacing w:before="0" w:after="0"/>
              <w:jc w:val="right"/>
              <w:rPr>
                <w:rFonts w:ascii="Arial Narrow" w:hAnsi="Arial Narrow" w:cs="Calibri"/>
                <w:b/>
                <w:bCs/>
                <w:color w:val="000000"/>
                <w:sz w:val="20"/>
                <w:szCs w:val="20"/>
              </w:rPr>
            </w:pPr>
          </w:p>
        </w:tc>
        <w:tc>
          <w:tcPr>
            <w:tcW w:w="523" w:type="pct"/>
            <w:tcBorders>
              <w:top w:val="nil"/>
              <w:left w:val="nil"/>
              <w:bottom w:val="single" w:sz="8" w:space="0" w:color="036479"/>
              <w:right w:val="nil"/>
            </w:tcBorders>
            <w:shd w:val="clear" w:color="auto" w:fill="auto"/>
            <w:vAlign w:val="center"/>
          </w:tcPr>
          <w:p w14:paraId="043B44F7" w14:textId="0A60BC8B" w:rsidR="00D15466" w:rsidRPr="002E2476" w:rsidRDefault="00D15466" w:rsidP="00651C00">
            <w:pPr>
              <w:suppressAutoHyphens w:val="0"/>
              <w:autoSpaceDN/>
              <w:spacing w:before="0" w:after="0"/>
              <w:jc w:val="right"/>
              <w:rPr>
                <w:rFonts w:ascii="Arial Narrow" w:hAnsi="Arial Narrow" w:cs="Calibri"/>
                <w:b/>
                <w:bCs/>
                <w:color w:val="000000"/>
                <w:sz w:val="20"/>
                <w:szCs w:val="20"/>
              </w:rPr>
            </w:pPr>
            <w:r w:rsidRPr="002E2476">
              <w:rPr>
                <w:rFonts w:ascii="Arial Narrow" w:hAnsi="Arial Narrow" w:cs="Calibri"/>
                <w:b/>
                <w:bCs/>
                <w:color w:val="000000"/>
                <w:sz w:val="20"/>
                <w:szCs w:val="20"/>
              </w:rPr>
              <w:t>4.2</w:t>
            </w:r>
          </w:p>
        </w:tc>
        <w:tc>
          <w:tcPr>
            <w:tcW w:w="524" w:type="pct"/>
            <w:tcBorders>
              <w:top w:val="nil"/>
              <w:left w:val="nil"/>
              <w:bottom w:val="single" w:sz="8" w:space="0" w:color="036479"/>
              <w:right w:val="nil"/>
            </w:tcBorders>
            <w:shd w:val="clear" w:color="auto" w:fill="auto"/>
            <w:vAlign w:val="center"/>
          </w:tcPr>
          <w:p w14:paraId="70D161C3" w14:textId="46465C53" w:rsidR="00D15466" w:rsidRPr="002E2476" w:rsidRDefault="00D15466" w:rsidP="00651C00">
            <w:pPr>
              <w:suppressAutoHyphens w:val="0"/>
              <w:autoSpaceDN/>
              <w:spacing w:before="0" w:after="0"/>
              <w:jc w:val="right"/>
              <w:rPr>
                <w:rFonts w:ascii="Arial Narrow" w:hAnsi="Arial Narrow" w:cs="Calibri"/>
                <w:b/>
                <w:bCs/>
                <w:color w:val="000000"/>
                <w:sz w:val="20"/>
                <w:szCs w:val="20"/>
              </w:rPr>
            </w:pPr>
            <w:r w:rsidRPr="002E2476">
              <w:rPr>
                <w:rFonts w:ascii="Arial Narrow" w:hAnsi="Arial Narrow" w:cs="Calibri"/>
                <w:b/>
                <w:bCs/>
                <w:color w:val="000000"/>
                <w:sz w:val="20"/>
                <w:szCs w:val="20"/>
              </w:rPr>
              <w:t>58,846</w:t>
            </w:r>
          </w:p>
        </w:tc>
        <w:tc>
          <w:tcPr>
            <w:tcW w:w="477" w:type="pct"/>
            <w:tcBorders>
              <w:top w:val="nil"/>
              <w:left w:val="nil"/>
              <w:bottom w:val="single" w:sz="8" w:space="0" w:color="036479"/>
              <w:right w:val="nil"/>
            </w:tcBorders>
            <w:shd w:val="clear" w:color="auto" w:fill="auto"/>
            <w:vAlign w:val="center"/>
          </w:tcPr>
          <w:p w14:paraId="2BA07239" w14:textId="796AEB89" w:rsidR="00D15466" w:rsidRPr="002E2476" w:rsidRDefault="00D15466" w:rsidP="00651C00">
            <w:pPr>
              <w:suppressAutoHyphens w:val="0"/>
              <w:autoSpaceDN/>
              <w:spacing w:before="0" w:after="0"/>
              <w:jc w:val="right"/>
              <w:rPr>
                <w:rFonts w:ascii="Arial Narrow" w:hAnsi="Arial Narrow" w:cs="Calibri"/>
                <w:b/>
                <w:bCs/>
                <w:color w:val="000000"/>
                <w:sz w:val="20"/>
                <w:szCs w:val="20"/>
              </w:rPr>
            </w:pPr>
            <w:r w:rsidRPr="002E2476">
              <w:rPr>
                <w:rFonts w:ascii="Arial Narrow" w:hAnsi="Arial Narrow" w:cs="Calibri"/>
                <w:b/>
                <w:bCs/>
                <w:color w:val="000000"/>
                <w:sz w:val="20"/>
                <w:szCs w:val="20"/>
              </w:rPr>
              <w:t>58,846</w:t>
            </w:r>
          </w:p>
        </w:tc>
        <w:tc>
          <w:tcPr>
            <w:tcW w:w="475" w:type="pct"/>
            <w:tcBorders>
              <w:top w:val="nil"/>
              <w:left w:val="nil"/>
              <w:bottom w:val="single" w:sz="8" w:space="0" w:color="036479"/>
              <w:right w:val="nil"/>
            </w:tcBorders>
            <w:shd w:val="clear" w:color="auto" w:fill="auto"/>
            <w:vAlign w:val="center"/>
          </w:tcPr>
          <w:p w14:paraId="5957DE94" w14:textId="15DAD584" w:rsidR="00D15466" w:rsidRPr="002E2476" w:rsidRDefault="00D15466" w:rsidP="00651C00">
            <w:pPr>
              <w:suppressAutoHyphens w:val="0"/>
              <w:autoSpaceDN/>
              <w:spacing w:before="0" w:after="0"/>
              <w:jc w:val="right"/>
              <w:rPr>
                <w:rFonts w:ascii="Arial Narrow" w:hAnsi="Arial Narrow" w:cs="Calibri"/>
                <w:b/>
                <w:bCs/>
                <w:color w:val="000000"/>
                <w:sz w:val="20"/>
                <w:szCs w:val="20"/>
              </w:rPr>
            </w:pPr>
            <w:r w:rsidRPr="002E2476">
              <w:rPr>
                <w:rFonts w:ascii="Arial Narrow" w:hAnsi="Arial Narrow" w:cs="Calibri"/>
                <w:b/>
                <w:bCs/>
                <w:color w:val="000000"/>
                <w:sz w:val="20"/>
                <w:szCs w:val="20"/>
              </w:rPr>
              <w:t>58,846</w:t>
            </w:r>
          </w:p>
        </w:tc>
      </w:tr>
    </w:tbl>
    <w:p w14:paraId="7C0EE95B" w14:textId="0B01800B" w:rsidR="00434B54" w:rsidRDefault="00A415E3" w:rsidP="00507A4B">
      <w:pPr>
        <w:pStyle w:val="Source"/>
      </w:pPr>
      <w:r w:rsidRPr="00F65903">
        <w:t xml:space="preserve">Source: </w:t>
      </w:r>
      <w:r>
        <w:t>E</w:t>
      </w:r>
      <w:r w:rsidRPr="00F65903">
        <w:t>valuation team analysis.</w:t>
      </w:r>
    </w:p>
    <w:p w14:paraId="5C1E21BF" w14:textId="435074A3" w:rsidR="00A415E3" w:rsidRPr="00E121BB" w:rsidRDefault="00A415E3" w:rsidP="00434B54">
      <w:pPr>
        <w:suppressAutoHyphens w:val="0"/>
        <w:autoSpaceDN/>
        <w:spacing w:before="0" w:after="0"/>
        <w:rPr>
          <w:rFonts w:cs="Arial"/>
          <w:i/>
          <w:color w:val="000000" w:themeColor="text1"/>
          <w:sz w:val="18"/>
          <w:szCs w:val="18"/>
        </w:rPr>
      </w:pPr>
    </w:p>
    <w:p w14:paraId="631B3B5F" w14:textId="585BF2B3" w:rsidR="00A415E3" w:rsidRPr="004B73FE" w:rsidRDefault="00A415E3" w:rsidP="004B73FE">
      <w:pPr>
        <w:pStyle w:val="Caption"/>
      </w:pPr>
      <w:bookmarkStart w:id="148" w:name="TableMG2"/>
      <w:bookmarkStart w:id="149" w:name="Tableb4"/>
      <w:bookmarkStart w:id="150" w:name="_Toc193349146"/>
      <w:bookmarkStart w:id="151" w:name="_Toc193349946"/>
      <w:bookmarkStart w:id="152" w:name="_Toc193349960"/>
      <w:bookmarkStart w:id="153" w:name="_Toc193350154"/>
      <w:r>
        <w:t>Table B</w:t>
      </w:r>
      <w:r>
        <w:noBreakHyphen/>
      </w:r>
      <w:bookmarkEnd w:id="148"/>
      <w:r w:rsidR="008F4F45">
        <w:fldChar w:fldCharType="begin"/>
      </w:r>
      <w:r w:rsidR="008F4F45">
        <w:instrText xml:space="preserve"> SEQ Table_Apx \* ARABIC \s 5  \* MERGEFORMAT </w:instrText>
      </w:r>
      <w:r w:rsidR="008F4F45">
        <w:fldChar w:fldCharType="separate"/>
      </w:r>
      <w:r w:rsidR="00434B54">
        <w:rPr>
          <w:noProof/>
        </w:rPr>
        <w:t>4</w:t>
      </w:r>
      <w:r w:rsidR="008F4F45">
        <w:fldChar w:fldCharType="end"/>
      </w:r>
      <w:bookmarkEnd w:id="149"/>
      <w:r>
        <w:t xml:space="preserve">. </w:t>
      </w:r>
      <w:r w:rsidR="00814FAC">
        <w:t xml:space="preserve">2024 PHES Program </w:t>
      </w:r>
      <w:r>
        <w:t>Verified Cost Effectiveness Inputs – NSG</w:t>
      </w:r>
      <w:bookmarkEnd w:id="150"/>
      <w:bookmarkEnd w:id="151"/>
      <w:bookmarkEnd w:id="152"/>
      <w:bookmarkEnd w:id="153"/>
    </w:p>
    <w:tbl>
      <w:tblPr>
        <w:tblW w:w="5048" w:type="pct"/>
        <w:tblLayout w:type="fixed"/>
        <w:tblLook w:val="04A0" w:firstRow="1" w:lastRow="0" w:firstColumn="1" w:lastColumn="0" w:noHBand="0" w:noVBand="1"/>
      </w:tblPr>
      <w:tblGrid>
        <w:gridCol w:w="972"/>
        <w:gridCol w:w="955"/>
        <w:gridCol w:w="1764"/>
        <w:gridCol w:w="1079"/>
        <w:gridCol w:w="900"/>
        <w:gridCol w:w="990"/>
        <w:gridCol w:w="990"/>
        <w:gridCol w:w="900"/>
        <w:gridCol w:w="900"/>
      </w:tblGrid>
      <w:tr w:rsidR="00D15466" w:rsidRPr="008775A4" w14:paraId="58322929" w14:textId="77777777" w:rsidTr="00D15466">
        <w:trPr>
          <w:trHeight w:val="1263"/>
          <w:tblHeader/>
        </w:trPr>
        <w:tc>
          <w:tcPr>
            <w:tcW w:w="514" w:type="pct"/>
            <w:tcBorders>
              <w:top w:val="nil"/>
              <w:left w:val="nil"/>
              <w:bottom w:val="single" w:sz="12" w:space="0" w:color="95D600"/>
              <w:right w:val="nil"/>
            </w:tcBorders>
            <w:shd w:val="clear" w:color="000000" w:fill="036479"/>
            <w:vAlign w:val="center"/>
            <w:hideMark/>
          </w:tcPr>
          <w:p w14:paraId="3F2C6158" w14:textId="77777777" w:rsidR="00F5264B" w:rsidRPr="00F5264B" w:rsidRDefault="00F5264B" w:rsidP="00F5264B">
            <w:pPr>
              <w:suppressAutoHyphens w:val="0"/>
              <w:autoSpaceDN/>
              <w:spacing w:before="0" w:after="0"/>
              <w:jc w:val="center"/>
              <w:rPr>
                <w:rFonts w:ascii="Arial Narrow" w:hAnsi="Arial Narrow" w:cs="Calibri"/>
                <w:color w:val="FFFFFF"/>
                <w:sz w:val="20"/>
                <w:szCs w:val="20"/>
              </w:rPr>
            </w:pPr>
            <w:r w:rsidRPr="00F5264B">
              <w:rPr>
                <w:rFonts w:ascii="Arial Narrow" w:hAnsi="Arial Narrow" w:cs="Calibri"/>
                <w:color w:val="FFFFFF"/>
                <w:sz w:val="20"/>
                <w:szCs w:val="20"/>
              </w:rPr>
              <w:t>Program Category</w:t>
            </w:r>
          </w:p>
        </w:tc>
        <w:tc>
          <w:tcPr>
            <w:tcW w:w="505" w:type="pct"/>
            <w:tcBorders>
              <w:top w:val="nil"/>
              <w:left w:val="nil"/>
              <w:bottom w:val="single" w:sz="12" w:space="0" w:color="95D600"/>
              <w:right w:val="nil"/>
            </w:tcBorders>
            <w:shd w:val="clear" w:color="000000" w:fill="036479"/>
            <w:vAlign w:val="center"/>
            <w:hideMark/>
          </w:tcPr>
          <w:p w14:paraId="249F46A9" w14:textId="77777777" w:rsidR="00F5264B" w:rsidRPr="00F5264B" w:rsidRDefault="00F5264B" w:rsidP="00F5264B">
            <w:pPr>
              <w:suppressAutoHyphens w:val="0"/>
              <w:autoSpaceDN/>
              <w:spacing w:before="0" w:after="0"/>
              <w:jc w:val="center"/>
              <w:rPr>
                <w:rFonts w:ascii="Arial Narrow" w:hAnsi="Arial Narrow" w:cs="Calibri"/>
                <w:color w:val="FFFFFF"/>
                <w:sz w:val="20"/>
                <w:szCs w:val="20"/>
              </w:rPr>
            </w:pPr>
            <w:r w:rsidRPr="00F5264B">
              <w:rPr>
                <w:rFonts w:ascii="Arial Narrow" w:hAnsi="Arial Narrow" w:cs="Calibri"/>
                <w:color w:val="FFFFFF"/>
                <w:sz w:val="20"/>
                <w:szCs w:val="20"/>
              </w:rPr>
              <w:t>Program Path</w:t>
            </w:r>
          </w:p>
        </w:tc>
        <w:tc>
          <w:tcPr>
            <w:tcW w:w="933" w:type="pct"/>
            <w:tcBorders>
              <w:top w:val="nil"/>
              <w:left w:val="nil"/>
              <w:bottom w:val="single" w:sz="12" w:space="0" w:color="95D600"/>
              <w:right w:val="nil"/>
            </w:tcBorders>
            <w:shd w:val="clear" w:color="000000" w:fill="036479"/>
            <w:vAlign w:val="center"/>
            <w:hideMark/>
          </w:tcPr>
          <w:p w14:paraId="0D668522" w14:textId="77777777" w:rsidR="00F5264B" w:rsidRPr="00F5264B" w:rsidRDefault="00F5264B" w:rsidP="00F5264B">
            <w:pPr>
              <w:suppressAutoHyphens w:val="0"/>
              <w:autoSpaceDN/>
              <w:spacing w:before="0" w:after="0"/>
              <w:rPr>
                <w:rFonts w:ascii="Arial Narrow" w:hAnsi="Arial Narrow" w:cs="Calibri"/>
                <w:color w:val="FFFFFF"/>
                <w:sz w:val="20"/>
                <w:szCs w:val="20"/>
              </w:rPr>
            </w:pPr>
            <w:r w:rsidRPr="00F5264B">
              <w:rPr>
                <w:rFonts w:ascii="Arial Narrow" w:hAnsi="Arial Narrow" w:cs="Calibri"/>
                <w:color w:val="FFFFFF"/>
                <w:sz w:val="20"/>
                <w:szCs w:val="20"/>
              </w:rPr>
              <w:t>Savings Category</w:t>
            </w:r>
          </w:p>
        </w:tc>
        <w:tc>
          <w:tcPr>
            <w:tcW w:w="571" w:type="pct"/>
            <w:tcBorders>
              <w:top w:val="nil"/>
              <w:left w:val="nil"/>
              <w:bottom w:val="single" w:sz="12" w:space="0" w:color="95D600"/>
              <w:right w:val="nil"/>
            </w:tcBorders>
            <w:shd w:val="clear" w:color="000000" w:fill="036479"/>
            <w:vAlign w:val="center"/>
            <w:hideMark/>
          </w:tcPr>
          <w:p w14:paraId="310E249F" w14:textId="77777777" w:rsidR="00F5264B" w:rsidRPr="00F5264B" w:rsidRDefault="00F5264B" w:rsidP="00F5264B">
            <w:pPr>
              <w:suppressAutoHyphens w:val="0"/>
              <w:autoSpaceDN/>
              <w:spacing w:before="0" w:after="0"/>
              <w:jc w:val="center"/>
              <w:rPr>
                <w:rFonts w:ascii="Arial Narrow" w:hAnsi="Arial Narrow" w:cs="Calibri"/>
                <w:color w:val="FFFFFF"/>
                <w:sz w:val="20"/>
                <w:szCs w:val="20"/>
              </w:rPr>
            </w:pPr>
            <w:r w:rsidRPr="00F5264B">
              <w:rPr>
                <w:rFonts w:ascii="Arial Narrow" w:hAnsi="Arial Narrow" w:cs="Calibri"/>
                <w:color w:val="FFFFFF"/>
                <w:sz w:val="20"/>
                <w:szCs w:val="20"/>
              </w:rPr>
              <w:t>Units</w:t>
            </w:r>
          </w:p>
        </w:tc>
        <w:tc>
          <w:tcPr>
            <w:tcW w:w="476" w:type="pct"/>
            <w:tcBorders>
              <w:top w:val="nil"/>
              <w:left w:val="nil"/>
              <w:bottom w:val="single" w:sz="12" w:space="0" w:color="95D600"/>
              <w:right w:val="nil"/>
            </w:tcBorders>
            <w:shd w:val="clear" w:color="000000" w:fill="036479"/>
            <w:vAlign w:val="center"/>
            <w:hideMark/>
          </w:tcPr>
          <w:p w14:paraId="069FB53E" w14:textId="0A478FB7" w:rsidR="00F5264B" w:rsidRPr="00F5264B" w:rsidRDefault="00F5264B" w:rsidP="00651C00">
            <w:pPr>
              <w:suppressAutoHyphens w:val="0"/>
              <w:autoSpaceDN/>
              <w:spacing w:before="0" w:after="0"/>
              <w:jc w:val="right"/>
              <w:rPr>
                <w:rFonts w:ascii="Arial Narrow" w:hAnsi="Arial Narrow" w:cs="Calibri"/>
                <w:color w:val="FFFFFF"/>
                <w:sz w:val="20"/>
                <w:szCs w:val="20"/>
              </w:rPr>
            </w:pPr>
            <w:r w:rsidRPr="00F5264B">
              <w:rPr>
                <w:rFonts w:ascii="Arial Narrow" w:hAnsi="Arial Narrow" w:cs="Calibri"/>
                <w:color w:val="FFFFFF"/>
                <w:sz w:val="20"/>
                <w:szCs w:val="20"/>
              </w:rPr>
              <w:t>Quantity</w:t>
            </w:r>
          </w:p>
        </w:tc>
        <w:tc>
          <w:tcPr>
            <w:tcW w:w="524" w:type="pct"/>
            <w:tcBorders>
              <w:top w:val="nil"/>
              <w:left w:val="nil"/>
              <w:bottom w:val="single" w:sz="12" w:space="0" w:color="95D600"/>
              <w:right w:val="nil"/>
            </w:tcBorders>
            <w:shd w:val="clear" w:color="000000" w:fill="036479"/>
            <w:vAlign w:val="center"/>
            <w:hideMark/>
          </w:tcPr>
          <w:p w14:paraId="37F8B7F5" w14:textId="06070855" w:rsidR="00F5264B" w:rsidRPr="00F5264B" w:rsidRDefault="00F5264B" w:rsidP="00651C00">
            <w:pPr>
              <w:suppressAutoHyphens w:val="0"/>
              <w:autoSpaceDN/>
              <w:spacing w:before="0" w:after="0"/>
              <w:jc w:val="right"/>
              <w:rPr>
                <w:rFonts w:ascii="Arial Narrow" w:hAnsi="Arial Narrow" w:cs="Calibri"/>
                <w:color w:val="FFFFFF"/>
                <w:sz w:val="20"/>
                <w:szCs w:val="20"/>
              </w:rPr>
            </w:pPr>
            <w:r w:rsidRPr="00F5264B">
              <w:rPr>
                <w:rFonts w:ascii="Arial Narrow" w:hAnsi="Arial Narrow" w:cs="Calibri"/>
                <w:color w:val="FFFFFF"/>
                <w:sz w:val="20"/>
                <w:szCs w:val="20"/>
              </w:rPr>
              <w:t>Effective Useful Life</w:t>
            </w:r>
          </w:p>
        </w:tc>
        <w:tc>
          <w:tcPr>
            <w:tcW w:w="524" w:type="pct"/>
            <w:tcBorders>
              <w:top w:val="nil"/>
              <w:left w:val="nil"/>
              <w:bottom w:val="single" w:sz="12" w:space="0" w:color="95D600"/>
              <w:right w:val="nil"/>
            </w:tcBorders>
            <w:shd w:val="clear" w:color="000000" w:fill="036479"/>
            <w:vAlign w:val="center"/>
            <w:hideMark/>
          </w:tcPr>
          <w:p w14:paraId="5BB600D4" w14:textId="20AFD25A" w:rsidR="00F5264B" w:rsidRPr="00F5264B" w:rsidRDefault="00F5264B" w:rsidP="00651C00">
            <w:pPr>
              <w:suppressAutoHyphens w:val="0"/>
              <w:autoSpaceDN/>
              <w:spacing w:before="0" w:after="0"/>
              <w:jc w:val="right"/>
              <w:rPr>
                <w:rFonts w:ascii="Arial Narrow" w:hAnsi="Arial Narrow" w:cs="Calibri"/>
                <w:color w:val="FFFFFF"/>
                <w:sz w:val="20"/>
                <w:szCs w:val="20"/>
              </w:rPr>
            </w:pPr>
            <w:r w:rsidRPr="00F5264B">
              <w:rPr>
                <w:rFonts w:ascii="Arial Narrow" w:hAnsi="Arial Narrow" w:cs="Calibri"/>
                <w:color w:val="FFFFFF"/>
                <w:sz w:val="20"/>
                <w:szCs w:val="20"/>
              </w:rPr>
              <w:t>Ex Ante Gross Savings (Therms)</w:t>
            </w:r>
          </w:p>
        </w:tc>
        <w:tc>
          <w:tcPr>
            <w:tcW w:w="476" w:type="pct"/>
            <w:tcBorders>
              <w:top w:val="nil"/>
              <w:left w:val="nil"/>
              <w:bottom w:val="single" w:sz="12" w:space="0" w:color="95D600"/>
              <w:right w:val="nil"/>
            </w:tcBorders>
            <w:shd w:val="clear" w:color="000000" w:fill="036479"/>
            <w:vAlign w:val="center"/>
            <w:hideMark/>
          </w:tcPr>
          <w:p w14:paraId="704AA226" w14:textId="7D39F6BD" w:rsidR="00F5264B" w:rsidRPr="00F5264B" w:rsidRDefault="00F5264B" w:rsidP="00651C00">
            <w:pPr>
              <w:suppressAutoHyphens w:val="0"/>
              <w:autoSpaceDN/>
              <w:spacing w:before="0" w:after="0"/>
              <w:jc w:val="right"/>
              <w:rPr>
                <w:rFonts w:ascii="Arial Narrow" w:hAnsi="Arial Narrow" w:cs="Calibri"/>
                <w:color w:val="FFFFFF"/>
                <w:sz w:val="20"/>
                <w:szCs w:val="20"/>
              </w:rPr>
            </w:pPr>
            <w:r w:rsidRPr="00F5264B">
              <w:rPr>
                <w:rFonts w:ascii="Arial Narrow" w:hAnsi="Arial Narrow" w:cs="Calibri"/>
                <w:color w:val="FFFFFF"/>
                <w:sz w:val="20"/>
                <w:szCs w:val="20"/>
              </w:rPr>
              <w:t>Verified Gross Savings (Therms)</w:t>
            </w:r>
          </w:p>
        </w:tc>
        <w:tc>
          <w:tcPr>
            <w:tcW w:w="476" w:type="pct"/>
            <w:tcBorders>
              <w:top w:val="nil"/>
              <w:left w:val="nil"/>
              <w:bottom w:val="single" w:sz="12" w:space="0" w:color="95D600"/>
              <w:right w:val="nil"/>
            </w:tcBorders>
            <w:shd w:val="clear" w:color="000000" w:fill="036479"/>
            <w:vAlign w:val="center"/>
            <w:hideMark/>
          </w:tcPr>
          <w:p w14:paraId="7A3B8389" w14:textId="41F2E63D" w:rsidR="00F5264B" w:rsidRPr="00F5264B" w:rsidRDefault="00F5264B" w:rsidP="00651C00">
            <w:pPr>
              <w:suppressAutoHyphens w:val="0"/>
              <w:autoSpaceDN/>
              <w:spacing w:before="0" w:after="0"/>
              <w:jc w:val="right"/>
              <w:rPr>
                <w:rFonts w:ascii="Arial Narrow" w:hAnsi="Arial Narrow" w:cs="Calibri"/>
                <w:color w:val="FFFFFF"/>
                <w:sz w:val="20"/>
                <w:szCs w:val="20"/>
              </w:rPr>
            </w:pPr>
            <w:r w:rsidRPr="00F5264B">
              <w:rPr>
                <w:rFonts w:ascii="Arial Narrow" w:hAnsi="Arial Narrow" w:cs="Calibri"/>
                <w:color w:val="FFFFFF"/>
                <w:sz w:val="20"/>
                <w:szCs w:val="20"/>
              </w:rPr>
              <w:t>Verified Net Savings (Therms)</w:t>
            </w:r>
          </w:p>
        </w:tc>
      </w:tr>
      <w:tr w:rsidR="00D15466" w:rsidRPr="00F5264B" w14:paraId="76936F46" w14:textId="77777777" w:rsidTr="00D15466">
        <w:trPr>
          <w:trHeight w:val="267"/>
        </w:trPr>
        <w:tc>
          <w:tcPr>
            <w:tcW w:w="514" w:type="pct"/>
            <w:tcBorders>
              <w:top w:val="nil"/>
              <w:left w:val="nil"/>
              <w:bottom w:val="single" w:sz="8" w:space="0" w:color="B3EFFD"/>
              <w:right w:val="nil"/>
            </w:tcBorders>
            <w:shd w:val="clear" w:color="000000" w:fill="FFFFFF"/>
            <w:vAlign w:val="center"/>
            <w:hideMark/>
          </w:tcPr>
          <w:p w14:paraId="1761F69E" w14:textId="3DEA0272" w:rsidR="00F5264B" w:rsidRPr="00F5264B" w:rsidRDefault="0000544B" w:rsidP="00F5264B">
            <w:pPr>
              <w:suppressAutoHyphens w:val="0"/>
              <w:autoSpaceDN/>
              <w:spacing w:before="0" w:after="0"/>
              <w:rPr>
                <w:rFonts w:ascii="Arial Narrow" w:hAnsi="Arial Narrow" w:cs="Calibri"/>
                <w:b/>
                <w:bCs/>
                <w:color w:val="000000"/>
                <w:sz w:val="20"/>
                <w:szCs w:val="20"/>
              </w:rPr>
            </w:pPr>
            <w:r w:rsidRPr="00D91B6F">
              <w:rPr>
                <w:rFonts w:ascii="Arial Narrow" w:hAnsi="Arial Narrow" w:cs="Calibri"/>
                <w:b/>
                <w:bCs/>
                <w:color w:val="000000"/>
                <w:sz w:val="20"/>
                <w:szCs w:val="20"/>
              </w:rPr>
              <w:t>PHES</w:t>
            </w:r>
          </w:p>
        </w:tc>
        <w:tc>
          <w:tcPr>
            <w:tcW w:w="505" w:type="pct"/>
            <w:tcBorders>
              <w:top w:val="nil"/>
              <w:left w:val="nil"/>
              <w:bottom w:val="single" w:sz="8" w:space="0" w:color="B3EFFD"/>
              <w:right w:val="nil"/>
            </w:tcBorders>
            <w:shd w:val="clear" w:color="auto" w:fill="auto"/>
            <w:vAlign w:val="center"/>
            <w:hideMark/>
          </w:tcPr>
          <w:p w14:paraId="243ED461" w14:textId="77777777" w:rsidR="00F5264B" w:rsidRPr="00F5264B" w:rsidRDefault="00F5264B" w:rsidP="00F5264B">
            <w:pPr>
              <w:suppressAutoHyphens w:val="0"/>
              <w:autoSpaceDN/>
              <w:spacing w:before="0" w:after="0"/>
              <w:rPr>
                <w:rFonts w:ascii="Arial Narrow" w:hAnsi="Arial Narrow" w:cs="Calibri"/>
                <w:color w:val="000000"/>
                <w:sz w:val="20"/>
                <w:szCs w:val="20"/>
              </w:rPr>
            </w:pPr>
            <w:r w:rsidRPr="00F5264B">
              <w:rPr>
                <w:rFonts w:ascii="Arial Narrow" w:hAnsi="Arial Narrow" w:cs="Calibri"/>
                <w:color w:val="000000"/>
                <w:sz w:val="20"/>
                <w:szCs w:val="20"/>
              </w:rPr>
              <w:t>Public Housing</w:t>
            </w:r>
          </w:p>
        </w:tc>
        <w:tc>
          <w:tcPr>
            <w:tcW w:w="933" w:type="pct"/>
            <w:tcBorders>
              <w:top w:val="nil"/>
              <w:left w:val="nil"/>
              <w:bottom w:val="single" w:sz="8" w:space="0" w:color="B3EFFD"/>
              <w:right w:val="nil"/>
            </w:tcBorders>
            <w:shd w:val="clear" w:color="000000" w:fill="FFFFFF"/>
            <w:noWrap/>
            <w:vAlign w:val="center"/>
            <w:hideMark/>
          </w:tcPr>
          <w:p w14:paraId="196663EF" w14:textId="77777777" w:rsidR="00F5264B" w:rsidRPr="00F5264B" w:rsidRDefault="00F5264B" w:rsidP="00E121BB">
            <w:pPr>
              <w:suppressAutoHyphens w:val="0"/>
              <w:autoSpaceDN/>
              <w:spacing w:before="0" w:after="0"/>
              <w:rPr>
                <w:rFonts w:ascii="Arial Narrow" w:hAnsi="Arial Narrow" w:cs="Calibri"/>
                <w:color w:val="000000"/>
                <w:sz w:val="20"/>
                <w:szCs w:val="20"/>
              </w:rPr>
            </w:pPr>
            <w:r w:rsidRPr="00F5264B">
              <w:rPr>
                <w:rFonts w:ascii="Arial Narrow" w:hAnsi="Arial Narrow" w:cs="Calibri"/>
                <w:color w:val="000000"/>
                <w:sz w:val="20"/>
                <w:szCs w:val="20"/>
              </w:rPr>
              <w:t>Furnace Tune Up</w:t>
            </w:r>
          </w:p>
        </w:tc>
        <w:tc>
          <w:tcPr>
            <w:tcW w:w="571" w:type="pct"/>
            <w:tcBorders>
              <w:top w:val="nil"/>
              <w:left w:val="nil"/>
              <w:bottom w:val="single" w:sz="8" w:space="0" w:color="B3EFFD"/>
              <w:right w:val="nil"/>
            </w:tcBorders>
            <w:shd w:val="clear" w:color="000000" w:fill="FFFFFF"/>
            <w:noWrap/>
            <w:vAlign w:val="center"/>
            <w:hideMark/>
          </w:tcPr>
          <w:p w14:paraId="0814815F" w14:textId="77777777" w:rsidR="00F5264B" w:rsidRPr="00F5264B" w:rsidRDefault="00F5264B" w:rsidP="00F5264B">
            <w:pPr>
              <w:suppressAutoHyphens w:val="0"/>
              <w:autoSpaceDN/>
              <w:spacing w:before="0" w:after="0"/>
              <w:rPr>
                <w:rFonts w:ascii="Arial Narrow" w:hAnsi="Arial Narrow" w:cs="Calibri"/>
                <w:color w:val="000000"/>
                <w:sz w:val="20"/>
                <w:szCs w:val="20"/>
              </w:rPr>
            </w:pPr>
            <w:r w:rsidRPr="00F5264B">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15B3E02C" w14:textId="3A1C4C2F"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51</w:t>
            </w:r>
          </w:p>
        </w:tc>
        <w:tc>
          <w:tcPr>
            <w:tcW w:w="524" w:type="pct"/>
            <w:tcBorders>
              <w:top w:val="nil"/>
              <w:left w:val="nil"/>
              <w:bottom w:val="single" w:sz="8" w:space="0" w:color="B3EFFD"/>
              <w:right w:val="nil"/>
            </w:tcBorders>
            <w:shd w:val="clear" w:color="000000" w:fill="FFFFFF"/>
            <w:noWrap/>
            <w:vAlign w:val="center"/>
            <w:hideMark/>
          </w:tcPr>
          <w:p w14:paraId="30ABB67A" w14:textId="1B259EBF"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3</w:t>
            </w:r>
          </w:p>
        </w:tc>
        <w:tc>
          <w:tcPr>
            <w:tcW w:w="524" w:type="pct"/>
            <w:tcBorders>
              <w:top w:val="nil"/>
              <w:left w:val="nil"/>
              <w:bottom w:val="single" w:sz="8" w:space="0" w:color="B3EFFD"/>
              <w:right w:val="nil"/>
            </w:tcBorders>
            <w:shd w:val="clear" w:color="000000" w:fill="FFFFFF"/>
            <w:vAlign w:val="center"/>
            <w:hideMark/>
          </w:tcPr>
          <w:p w14:paraId="46842C87" w14:textId="1543942C"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1,028</w:t>
            </w:r>
          </w:p>
        </w:tc>
        <w:tc>
          <w:tcPr>
            <w:tcW w:w="476" w:type="pct"/>
            <w:tcBorders>
              <w:top w:val="nil"/>
              <w:left w:val="nil"/>
              <w:bottom w:val="single" w:sz="8" w:space="0" w:color="B3EFFD"/>
              <w:right w:val="nil"/>
            </w:tcBorders>
            <w:shd w:val="clear" w:color="auto" w:fill="auto"/>
            <w:vAlign w:val="center"/>
            <w:hideMark/>
          </w:tcPr>
          <w:p w14:paraId="57AD1873" w14:textId="53C36EF0"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1,028</w:t>
            </w:r>
          </w:p>
        </w:tc>
        <w:tc>
          <w:tcPr>
            <w:tcW w:w="476" w:type="pct"/>
            <w:tcBorders>
              <w:top w:val="nil"/>
              <w:left w:val="nil"/>
              <w:bottom w:val="single" w:sz="8" w:space="0" w:color="B3EFFD"/>
              <w:right w:val="nil"/>
            </w:tcBorders>
            <w:shd w:val="clear" w:color="000000" w:fill="FFFFFF"/>
            <w:noWrap/>
            <w:vAlign w:val="center"/>
            <w:hideMark/>
          </w:tcPr>
          <w:p w14:paraId="268FD2B7" w14:textId="77777777"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1,028</w:t>
            </w:r>
          </w:p>
        </w:tc>
      </w:tr>
      <w:tr w:rsidR="00D15466" w:rsidRPr="00F5264B" w14:paraId="70BFE48E" w14:textId="77777777" w:rsidTr="00D15466">
        <w:trPr>
          <w:trHeight w:val="331"/>
        </w:trPr>
        <w:tc>
          <w:tcPr>
            <w:tcW w:w="514" w:type="pct"/>
            <w:tcBorders>
              <w:top w:val="nil"/>
              <w:left w:val="nil"/>
              <w:bottom w:val="single" w:sz="8" w:space="0" w:color="B3EFFD"/>
              <w:right w:val="nil"/>
            </w:tcBorders>
            <w:shd w:val="clear" w:color="000000" w:fill="FFFFFF"/>
            <w:vAlign w:val="center"/>
            <w:hideMark/>
          </w:tcPr>
          <w:p w14:paraId="1120C47F" w14:textId="77777777" w:rsidR="00F5264B" w:rsidRPr="00F5264B" w:rsidRDefault="00F5264B" w:rsidP="00F5264B">
            <w:pPr>
              <w:suppressAutoHyphens w:val="0"/>
              <w:autoSpaceDN/>
              <w:spacing w:before="0" w:after="0"/>
              <w:rPr>
                <w:rFonts w:ascii="Arial Narrow" w:hAnsi="Arial Narrow" w:cs="Calibri"/>
                <w:color w:val="000000"/>
                <w:sz w:val="20"/>
                <w:szCs w:val="20"/>
              </w:rPr>
            </w:pPr>
            <w:r w:rsidRPr="00F5264B">
              <w:rPr>
                <w:rFonts w:ascii="Arial Narrow" w:hAnsi="Arial Narrow" w:cs="Calibri"/>
                <w:color w:val="000000"/>
                <w:sz w:val="20"/>
                <w:szCs w:val="20"/>
              </w:rPr>
              <w:t> </w:t>
            </w:r>
          </w:p>
        </w:tc>
        <w:tc>
          <w:tcPr>
            <w:tcW w:w="505" w:type="pct"/>
            <w:tcBorders>
              <w:top w:val="nil"/>
              <w:left w:val="nil"/>
              <w:bottom w:val="single" w:sz="8" w:space="0" w:color="B3EFFD"/>
              <w:right w:val="nil"/>
            </w:tcBorders>
            <w:shd w:val="clear" w:color="auto" w:fill="auto"/>
            <w:vAlign w:val="center"/>
            <w:hideMark/>
          </w:tcPr>
          <w:p w14:paraId="311EFD8D" w14:textId="77777777" w:rsidR="00F5264B" w:rsidRPr="00F5264B" w:rsidRDefault="00F5264B" w:rsidP="00F5264B">
            <w:pPr>
              <w:suppressAutoHyphens w:val="0"/>
              <w:autoSpaceDN/>
              <w:spacing w:before="0" w:after="0"/>
              <w:rPr>
                <w:rFonts w:ascii="Arial Narrow" w:hAnsi="Arial Narrow" w:cs="Calibri"/>
                <w:color w:val="000000"/>
                <w:sz w:val="20"/>
                <w:szCs w:val="20"/>
              </w:rPr>
            </w:pPr>
            <w:r w:rsidRPr="00F5264B">
              <w:rPr>
                <w:rFonts w:ascii="Arial Narrow" w:hAnsi="Arial Narrow" w:cs="Calibri"/>
                <w:color w:val="000000"/>
                <w:sz w:val="20"/>
                <w:szCs w:val="20"/>
              </w:rPr>
              <w:t> </w:t>
            </w:r>
          </w:p>
        </w:tc>
        <w:tc>
          <w:tcPr>
            <w:tcW w:w="933" w:type="pct"/>
            <w:tcBorders>
              <w:top w:val="nil"/>
              <w:left w:val="nil"/>
              <w:bottom w:val="single" w:sz="8" w:space="0" w:color="B3EFFD"/>
              <w:right w:val="nil"/>
            </w:tcBorders>
            <w:shd w:val="clear" w:color="000000" w:fill="FFFFFF"/>
            <w:noWrap/>
            <w:vAlign w:val="center"/>
            <w:hideMark/>
          </w:tcPr>
          <w:p w14:paraId="0CF1D3A8" w14:textId="77777777" w:rsidR="00F5264B" w:rsidRPr="00F5264B" w:rsidRDefault="00F5264B" w:rsidP="00E121BB">
            <w:pPr>
              <w:suppressAutoHyphens w:val="0"/>
              <w:autoSpaceDN/>
              <w:spacing w:before="0" w:after="0"/>
              <w:rPr>
                <w:rFonts w:ascii="Arial Narrow" w:hAnsi="Arial Narrow" w:cs="Calibri"/>
                <w:color w:val="000000"/>
                <w:sz w:val="20"/>
                <w:szCs w:val="20"/>
              </w:rPr>
            </w:pPr>
            <w:r w:rsidRPr="00F5264B">
              <w:rPr>
                <w:rFonts w:ascii="Arial Narrow" w:hAnsi="Arial Narrow" w:cs="Calibri"/>
                <w:color w:val="000000"/>
                <w:sz w:val="20"/>
                <w:szCs w:val="20"/>
              </w:rPr>
              <w:t xml:space="preserve">Covers and Gap Sealers for Room AC </w:t>
            </w:r>
          </w:p>
        </w:tc>
        <w:tc>
          <w:tcPr>
            <w:tcW w:w="571" w:type="pct"/>
            <w:tcBorders>
              <w:top w:val="nil"/>
              <w:left w:val="nil"/>
              <w:bottom w:val="single" w:sz="8" w:space="0" w:color="B3EFFD"/>
              <w:right w:val="nil"/>
            </w:tcBorders>
            <w:shd w:val="clear" w:color="000000" w:fill="FFFFFF"/>
            <w:noWrap/>
            <w:vAlign w:val="center"/>
            <w:hideMark/>
          </w:tcPr>
          <w:p w14:paraId="345187CF" w14:textId="77777777" w:rsidR="00F5264B" w:rsidRPr="00F5264B" w:rsidRDefault="00F5264B" w:rsidP="00F5264B">
            <w:pPr>
              <w:suppressAutoHyphens w:val="0"/>
              <w:autoSpaceDN/>
              <w:spacing w:before="0" w:after="0"/>
              <w:rPr>
                <w:rFonts w:ascii="Arial Narrow" w:hAnsi="Arial Narrow" w:cs="Calibri"/>
                <w:color w:val="000000"/>
                <w:sz w:val="20"/>
                <w:szCs w:val="20"/>
              </w:rPr>
            </w:pPr>
            <w:r w:rsidRPr="00F5264B">
              <w:rPr>
                <w:rFonts w:ascii="Arial Narrow" w:hAnsi="Arial Narrow" w:cs="Calibri"/>
                <w:color w:val="000000"/>
                <w:sz w:val="20"/>
                <w:szCs w:val="20"/>
              </w:rPr>
              <w:t>Unit</w:t>
            </w:r>
          </w:p>
        </w:tc>
        <w:tc>
          <w:tcPr>
            <w:tcW w:w="476" w:type="pct"/>
            <w:tcBorders>
              <w:top w:val="nil"/>
              <w:left w:val="nil"/>
              <w:bottom w:val="single" w:sz="8" w:space="0" w:color="B3EFFD"/>
              <w:right w:val="nil"/>
            </w:tcBorders>
            <w:shd w:val="clear" w:color="000000" w:fill="FFFFFF"/>
            <w:noWrap/>
            <w:vAlign w:val="center"/>
            <w:hideMark/>
          </w:tcPr>
          <w:p w14:paraId="36D3D762" w14:textId="5CD86249"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59</w:t>
            </w:r>
          </w:p>
        </w:tc>
        <w:tc>
          <w:tcPr>
            <w:tcW w:w="524" w:type="pct"/>
            <w:tcBorders>
              <w:top w:val="nil"/>
              <w:left w:val="nil"/>
              <w:bottom w:val="single" w:sz="8" w:space="0" w:color="B3EFFD"/>
              <w:right w:val="nil"/>
            </w:tcBorders>
            <w:shd w:val="clear" w:color="000000" w:fill="FFFFFF"/>
            <w:noWrap/>
            <w:vAlign w:val="center"/>
            <w:hideMark/>
          </w:tcPr>
          <w:p w14:paraId="77FA9381" w14:textId="42BCE3C5"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5</w:t>
            </w:r>
          </w:p>
        </w:tc>
        <w:tc>
          <w:tcPr>
            <w:tcW w:w="524" w:type="pct"/>
            <w:tcBorders>
              <w:top w:val="nil"/>
              <w:left w:val="nil"/>
              <w:bottom w:val="single" w:sz="8" w:space="0" w:color="B3EFFD"/>
              <w:right w:val="nil"/>
            </w:tcBorders>
            <w:shd w:val="clear" w:color="000000" w:fill="FFFFFF"/>
            <w:vAlign w:val="center"/>
            <w:hideMark/>
          </w:tcPr>
          <w:p w14:paraId="62F9B1F3" w14:textId="7A85E531"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521</w:t>
            </w:r>
          </w:p>
        </w:tc>
        <w:tc>
          <w:tcPr>
            <w:tcW w:w="476" w:type="pct"/>
            <w:tcBorders>
              <w:top w:val="nil"/>
              <w:left w:val="nil"/>
              <w:bottom w:val="single" w:sz="8" w:space="0" w:color="B3EFFD"/>
              <w:right w:val="nil"/>
            </w:tcBorders>
            <w:shd w:val="clear" w:color="auto" w:fill="auto"/>
            <w:vAlign w:val="center"/>
            <w:hideMark/>
          </w:tcPr>
          <w:p w14:paraId="202C9B4F" w14:textId="5D654C1C"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521</w:t>
            </w:r>
          </w:p>
        </w:tc>
        <w:tc>
          <w:tcPr>
            <w:tcW w:w="476" w:type="pct"/>
            <w:tcBorders>
              <w:top w:val="nil"/>
              <w:left w:val="nil"/>
              <w:bottom w:val="single" w:sz="8" w:space="0" w:color="B3EFFD"/>
              <w:right w:val="nil"/>
            </w:tcBorders>
            <w:shd w:val="clear" w:color="000000" w:fill="FFFFFF"/>
            <w:noWrap/>
            <w:vAlign w:val="center"/>
            <w:hideMark/>
          </w:tcPr>
          <w:p w14:paraId="6A4EEBFB" w14:textId="77777777" w:rsidR="00F5264B" w:rsidRPr="00F5264B" w:rsidRDefault="00F5264B" w:rsidP="00651C00">
            <w:pPr>
              <w:suppressAutoHyphens w:val="0"/>
              <w:autoSpaceDN/>
              <w:spacing w:before="0" w:after="0"/>
              <w:jc w:val="right"/>
              <w:rPr>
                <w:rFonts w:ascii="Arial Narrow" w:hAnsi="Arial Narrow" w:cs="Calibri"/>
                <w:color w:val="000000"/>
                <w:sz w:val="20"/>
                <w:szCs w:val="20"/>
              </w:rPr>
            </w:pPr>
            <w:r w:rsidRPr="00F5264B">
              <w:rPr>
                <w:rFonts w:ascii="Arial Narrow" w:hAnsi="Arial Narrow" w:cs="Calibri"/>
                <w:color w:val="000000"/>
                <w:sz w:val="20"/>
                <w:szCs w:val="20"/>
              </w:rPr>
              <w:t>521</w:t>
            </w:r>
          </w:p>
        </w:tc>
      </w:tr>
      <w:tr w:rsidR="00D15466" w:rsidRPr="00F5264B" w14:paraId="4A76C3BA" w14:textId="77777777" w:rsidTr="00D15466">
        <w:trPr>
          <w:trHeight w:val="335"/>
        </w:trPr>
        <w:tc>
          <w:tcPr>
            <w:tcW w:w="1952" w:type="pct"/>
            <w:gridSpan w:val="3"/>
            <w:tcBorders>
              <w:top w:val="nil"/>
              <w:left w:val="nil"/>
              <w:bottom w:val="single" w:sz="8" w:space="0" w:color="036479"/>
              <w:right w:val="nil"/>
            </w:tcBorders>
            <w:shd w:val="clear" w:color="auto" w:fill="auto"/>
            <w:noWrap/>
            <w:vAlign w:val="center"/>
            <w:hideMark/>
          </w:tcPr>
          <w:p w14:paraId="35B1A92F" w14:textId="33233447" w:rsidR="00F5264B" w:rsidRPr="00F5264B" w:rsidRDefault="00F5264B" w:rsidP="00D15466">
            <w:pPr>
              <w:suppressAutoHyphens w:val="0"/>
              <w:autoSpaceDN/>
              <w:spacing w:before="0" w:after="0"/>
              <w:rPr>
                <w:rFonts w:ascii="Arial Narrow" w:hAnsi="Arial Narrow" w:cs="Calibri"/>
                <w:b/>
                <w:bCs/>
                <w:color w:val="000000"/>
                <w:sz w:val="20"/>
                <w:szCs w:val="20"/>
              </w:rPr>
            </w:pPr>
            <w:r w:rsidRPr="00F5264B">
              <w:rPr>
                <w:rFonts w:ascii="Arial Narrow" w:hAnsi="Arial Narrow" w:cs="Calibri"/>
                <w:b/>
                <w:bCs/>
                <w:color w:val="000000"/>
                <w:sz w:val="20"/>
                <w:szCs w:val="20"/>
              </w:rPr>
              <w:t>Total or Weighted Average  </w:t>
            </w:r>
          </w:p>
        </w:tc>
        <w:tc>
          <w:tcPr>
            <w:tcW w:w="1571" w:type="pct"/>
            <w:gridSpan w:val="3"/>
            <w:tcBorders>
              <w:top w:val="nil"/>
              <w:left w:val="nil"/>
              <w:bottom w:val="single" w:sz="8" w:space="0" w:color="036479"/>
              <w:right w:val="nil"/>
            </w:tcBorders>
            <w:shd w:val="clear" w:color="auto" w:fill="auto"/>
            <w:vAlign w:val="center"/>
            <w:hideMark/>
          </w:tcPr>
          <w:p w14:paraId="7BB43468" w14:textId="09361536" w:rsidR="00F5264B" w:rsidRPr="00F5264B" w:rsidRDefault="00F5264B" w:rsidP="00651C00">
            <w:pPr>
              <w:suppressAutoHyphens w:val="0"/>
              <w:autoSpaceDN/>
              <w:spacing w:before="0" w:after="0"/>
              <w:jc w:val="right"/>
              <w:rPr>
                <w:rFonts w:ascii="Arial Narrow" w:hAnsi="Arial Narrow" w:cs="Calibri"/>
                <w:b/>
                <w:bCs/>
                <w:color w:val="000000"/>
                <w:sz w:val="20"/>
                <w:szCs w:val="20"/>
              </w:rPr>
            </w:pPr>
            <w:r w:rsidRPr="00F5264B">
              <w:rPr>
                <w:rFonts w:ascii="Arial Narrow" w:hAnsi="Arial Narrow" w:cs="Calibri"/>
                <w:b/>
                <w:bCs/>
                <w:color w:val="000000"/>
                <w:sz w:val="20"/>
                <w:szCs w:val="20"/>
              </w:rPr>
              <w:t>3.7</w:t>
            </w:r>
          </w:p>
        </w:tc>
        <w:tc>
          <w:tcPr>
            <w:tcW w:w="524" w:type="pct"/>
            <w:tcBorders>
              <w:top w:val="nil"/>
              <w:left w:val="nil"/>
              <w:bottom w:val="single" w:sz="8" w:space="0" w:color="036479"/>
              <w:right w:val="nil"/>
            </w:tcBorders>
            <w:shd w:val="clear" w:color="auto" w:fill="auto"/>
            <w:noWrap/>
            <w:vAlign w:val="center"/>
            <w:hideMark/>
          </w:tcPr>
          <w:p w14:paraId="4B4B6CCC" w14:textId="5AD1B0BC" w:rsidR="00F5264B" w:rsidRPr="00F5264B" w:rsidRDefault="00F5264B" w:rsidP="00651C00">
            <w:pPr>
              <w:suppressAutoHyphens w:val="0"/>
              <w:autoSpaceDN/>
              <w:spacing w:before="0" w:after="0"/>
              <w:jc w:val="right"/>
              <w:rPr>
                <w:rFonts w:ascii="Arial Narrow" w:hAnsi="Arial Narrow" w:cs="Calibri"/>
                <w:b/>
                <w:bCs/>
                <w:color w:val="000000"/>
                <w:sz w:val="20"/>
                <w:szCs w:val="20"/>
              </w:rPr>
            </w:pPr>
            <w:r w:rsidRPr="00F5264B">
              <w:rPr>
                <w:rFonts w:ascii="Arial Narrow" w:hAnsi="Arial Narrow" w:cs="Calibri"/>
                <w:b/>
                <w:bCs/>
                <w:color w:val="000000"/>
                <w:sz w:val="20"/>
                <w:szCs w:val="20"/>
              </w:rPr>
              <w:t>1,549</w:t>
            </w:r>
          </w:p>
        </w:tc>
        <w:tc>
          <w:tcPr>
            <w:tcW w:w="476" w:type="pct"/>
            <w:tcBorders>
              <w:top w:val="nil"/>
              <w:left w:val="nil"/>
              <w:bottom w:val="single" w:sz="8" w:space="0" w:color="036479"/>
              <w:right w:val="nil"/>
            </w:tcBorders>
            <w:shd w:val="clear" w:color="auto" w:fill="auto"/>
            <w:noWrap/>
            <w:vAlign w:val="center"/>
            <w:hideMark/>
          </w:tcPr>
          <w:p w14:paraId="2799A10F" w14:textId="00CEC798" w:rsidR="00F5264B" w:rsidRPr="00F5264B" w:rsidRDefault="00F5264B" w:rsidP="00651C00">
            <w:pPr>
              <w:suppressAutoHyphens w:val="0"/>
              <w:autoSpaceDN/>
              <w:spacing w:before="0" w:after="0"/>
              <w:jc w:val="right"/>
              <w:rPr>
                <w:rFonts w:ascii="Arial Narrow" w:hAnsi="Arial Narrow" w:cs="Calibri"/>
                <w:b/>
                <w:bCs/>
                <w:color w:val="000000"/>
                <w:sz w:val="20"/>
                <w:szCs w:val="20"/>
              </w:rPr>
            </w:pPr>
            <w:r w:rsidRPr="00F5264B">
              <w:rPr>
                <w:rFonts w:ascii="Arial Narrow" w:hAnsi="Arial Narrow" w:cs="Calibri"/>
                <w:b/>
                <w:bCs/>
                <w:color w:val="000000"/>
                <w:sz w:val="20"/>
                <w:szCs w:val="20"/>
              </w:rPr>
              <w:t>1,549</w:t>
            </w:r>
          </w:p>
        </w:tc>
        <w:tc>
          <w:tcPr>
            <w:tcW w:w="476" w:type="pct"/>
            <w:tcBorders>
              <w:top w:val="nil"/>
              <w:left w:val="nil"/>
              <w:bottom w:val="single" w:sz="8" w:space="0" w:color="036479"/>
              <w:right w:val="nil"/>
            </w:tcBorders>
            <w:shd w:val="clear" w:color="auto" w:fill="auto"/>
            <w:noWrap/>
            <w:vAlign w:val="center"/>
            <w:hideMark/>
          </w:tcPr>
          <w:p w14:paraId="4BC472D9" w14:textId="7E0D5F1D" w:rsidR="00F5264B" w:rsidRPr="00F5264B" w:rsidRDefault="00F5264B" w:rsidP="00651C00">
            <w:pPr>
              <w:suppressAutoHyphens w:val="0"/>
              <w:autoSpaceDN/>
              <w:spacing w:before="0" w:after="0"/>
              <w:jc w:val="right"/>
              <w:rPr>
                <w:rFonts w:ascii="Arial Narrow" w:hAnsi="Arial Narrow" w:cs="Calibri"/>
                <w:b/>
                <w:bCs/>
                <w:color w:val="000000"/>
                <w:sz w:val="20"/>
                <w:szCs w:val="20"/>
              </w:rPr>
            </w:pPr>
            <w:r w:rsidRPr="00F5264B">
              <w:rPr>
                <w:rFonts w:ascii="Arial Narrow" w:hAnsi="Arial Narrow" w:cs="Calibri"/>
                <w:b/>
                <w:bCs/>
                <w:color w:val="000000"/>
                <w:sz w:val="20"/>
                <w:szCs w:val="20"/>
              </w:rPr>
              <w:t>1,549</w:t>
            </w:r>
          </w:p>
        </w:tc>
      </w:tr>
    </w:tbl>
    <w:p w14:paraId="6C4A7B27" w14:textId="77777777" w:rsidR="00A415E3" w:rsidRPr="00F65903" w:rsidRDefault="00A415E3" w:rsidP="00507A4B">
      <w:pPr>
        <w:pStyle w:val="Source"/>
      </w:pPr>
      <w:r w:rsidRPr="00F65903">
        <w:t xml:space="preserve">Source: </w:t>
      </w:r>
      <w:r>
        <w:t>E</w:t>
      </w:r>
      <w:r w:rsidRPr="00F65903">
        <w:t>valuation team analysis.</w:t>
      </w:r>
    </w:p>
    <w:p w14:paraId="5794940F" w14:textId="77777777" w:rsidR="00A415E3" w:rsidRPr="00507A4B" w:rsidRDefault="00A415E3" w:rsidP="00E93A62"/>
    <w:sectPr w:rsidR="00A415E3" w:rsidRPr="00507A4B" w:rsidSect="00575F90">
      <w:headerReference w:type="default" r:id="rId33"/>
      <w:footerReference w:type="default" r:id="rId34"/>
      <w:pgSz w:w="12240" w:h="15840"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E150" w14:textId="77777777" w:rsidR="00155050" w:rsidRDefault="00155050" w:rsidP="00183005">
      <w:r>
        <w:separator/>
      </w:r>
    </w:p>
  </w:endnote>
  <w:endnote w:type="continuationSeparator" w:id="0">
    <w:p w14:paraId="18632361" w14:textId="77777777" w:rsidR="00155050" w:rsidRDefault="00155050" w:rsidP="00183005">
      <w:r>
        <w:continuationSeparator/>
      </w:r>
    </w:p>
  </w:endnote>
  <w:endnote w:type="continuationNotice" w:id="1">
    <w:p w14:paraId="7537A768" w14:textId="77777777" w:rsidR="00155050" w:rsidRDefault="00155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7469"/>
      <w:gridCol w:w="1891"/>
    </w:tblGrid>
    <w:tr w:rsidR="004F0F97" w:rsidRPr="00582062" w14:paraId="044F9AC4" w14:textId="77777777" w:rsidTr="003C0537">
      <w:trPr>
        <w:trHeight w:val="144"/>
        <w:jc w:val="center"/>
      </w:trPr>
      <w:tc>
        <w:tcPr>
          <w:tcW w:w="3990" w:type="pct"/>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010" w:type="pct"/>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3C0537">
      <w:trPr>
        <w:trHeight w:val="195"/>
        <w:jc w:val="center"/>
      </w:trPr>
      <w:tc>
        <w:tcPr>
          <w:tcW w:w="3990" w:type="pct"/>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010" w:type="pct"/>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3C0537" w:rsidRPr="00582062" w14:paraId="105DE37A" w14:textId="77777777" w:rsidTr="003C0537">
      <w:trPr>
        <w:trHeight w:val="144"/>
        <w:jc w:val="center"/>
      </w:trPr>
      <w:tc>
        <w:tcPr>
          <w:tcW w:w="3990" w:type="pct"/>
          <w:tcBorders>
            <w:top w:val="single" w:sz="8" w:space="0" w:color="8C8C8C"/>
            <w:left w:val="nil"/>
            <w:bottom w:val="nil"/>
          </w:tcBorders>
        </w:tcPr>
        <w:p w14:paraId="72C8CFF0" w14:textId="77777777" w:rsidR="003C0537" w:rsidRPr="00582062" w:rsidRDefault="003C0537" w:rsidP="006B38AE">
          <w:pPr>
            <w:pStyle w:val="Footer"/>
            <w:spacing w:before="120"/>
            <w:rPr>
              <w:sz w:val="2"/>
              <w:szCs w:val="2"/>
            </w:rPr>
          </w:pPr>
        </w:p>
      </w:tc>
      <w:tc>
        <w:tcPr>
          <w:tcW w:w="1010" w:type="pct"/>
          <w:tcBorders>
            <w:top w:val="single" w:sz="8" w:space="0" w:color="8C8C8C"/>
          </w:tcBorders>
        </w:tcPr>
        <w:p w14:paraId="1CDE1F27" w14:textId="77777777" w:rsidR="003C0537" w:rsidRPr="00582062" w:rsidRDefault="003C0537" w:rsidP="006B38AE">
          <w:pPr>
            <w:pStyle w:val="Footer"/>
            <w:spacing w:before="120"/>
            <w:jc w:val="right"/>
            <w:rPr>
              <w:sz w:val="2"/>
              <w:szCs w:val="2"/>
            </w:rPr>
          </w:pPr>
        </w:p>
      </w:tc>
    </w:tr>
    <w:tr w:rsidR="003C0537" w:rsidRPr="00EA2FA5" w14:paraId="14514545" w14:textId="77777777" w:rsidTr="003C0537">
      <w:trPr>
        <w:trHeight w:val="195"/>
        <w:jc w:val="center"/>
      </w:trPr>
      <w:tc>
        <w:tcPr>
          <w:tcW w:w="3990" w:type="pct"/>
          <w:tcBorders>
            <w:top w:val="nil"/>
            <w:left w:val="nil"/>
          </w:tcBorders>
          <w:vAlign w:val="center"/>
        </w:tcPr>
        <w:p w14:paraId="7CEC7DA8" w14:textId="77777777" w:rsidR="003C0537" w:rsidRPr="0075421C" w:rsidRDefault="003C0537" w:rsidP="006B38AE">
          <w:pPr>
            <w:pStyle w:val="Footer"/>
            <w:rPr>
              <w:i/>
              <w:iCs/>
              <w:sz w:val="18"/>
            </w:rPr>
          </w:pPr>
          <w:r w:rsidRPr="007B1C67">
            <w:rPr>
              <w:rFonts w:cs="Arial"/>
              <w:sz w:val="18"/>
              <w:szCs w:val="18"/>
            </w:rPr>
            <w:t>Guidehouse Inc.</w:t>
          </w:r>
        </w:p>
      </w:tc>
      <w:tc>
        <w:tcPr>
          <w:tcW w:w="1010" w:type="pct"/>
          <w:vAlign w:val="center"/>
        </w:tcPr>
        <w:p w14:paraId="179D9B08" w14:textId="77777777" w:rsidR="003C0537" w:rsidRPr="0075421C" w:rsidRDefault="003C053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0CDB26DC" w14:textId="77777777" w:rsidR="003C0537" w:rsidRPr="000C64C5" w:rsidRDefault="003C0537" w:rsidP="006B38AE">
    <w:pPr>
      <w:pStyle w:val="Footer"/>
      <w:ind w:right="360"/>
      <w:rPr>
        <w:sz w:val="2"/>
        <w:szCs w:val="2"/>
      </w:rPr>
    </w:pPr>
  </w:p>
  <w:p w14:paraId="4E6E81A4" w14:textId="77777777" w:rsidR="003C0537" w:rsidRPr="008B6585" w:rsidRDefault="003C0537" w:rsidP="006B38A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7469"/>
      <w:gridCol w:w="1891"/>
    </w:tblGrid>
    <w:tr w:rsidR="001D6785" w:rsidRPr="00582062" w14:paraId="3214E1A3" w14:textId="77777777" w:rsidTr="003C0537">
      <w:trPr>
        <w:trHeight w:val="144"/>
        <w:jc w:val="center"/>
      </w:trPr>
      <w:tc>
        <w:tcPr>
          <w:tcW w:w="3990" w:type="pct"/>
          <w:tcBorders>
            <w:top w:val="single" w:sz="8" w:space="0" w:color="8C8C8C"/>
            <w:left w:val="nil"/>
            <w:bottom w:val="nil"/>
          </w:tcBorders>
        </w:tcPr>
        <w:p w14:paraId="7122870D" w14:textId="77777777" w:rsidR="001D6785" w:rsidRPr="00582062" w:rsidRDefault="001D6785" w:rsidP="006B38AE">
          <w:pPr>
            <w:pStyle w:val="Footer"/>
            <w:spacing w:before="120"/>
            <w:rPr>
              <w:sz w:val="2"/>
              <w:szCs w:val="2"/>
            </w:rPr>
          </w:pPr>
        </w:p>
      </w:tc>
      <w:tc>
        <w:tcPr>
          <w:tcW w:w="1010" w:type="pct"/>
          <w:tcBorders>
            <w:top w:val="single" w:sz="8" w:space="0" w:color="8C8C8C"/>
          </w:tcBorders>
        </w:tcPr>
        <w:p w14:paraId="54A3FC5A" w14:textId="77777777" w:rsidR="001D6785" w:rsidRPr="00582062" w:rsidRDefault="001D6785" w:rsidP="006B38AE">
          <w:pPr>
            <w:pStyle w:val="Footer"/>
            <w:spacing w:before="120"/>
            <w:jc w:val="right"/>
            <w:rPr>
              <w:sz w:val="2"/>
              <w:szCs w:val="2"/>
            </w:rPr>
          </w:pPr>
        </w:p>
      </w:tc>
    </w:tr>
    <w:tr w:rsidR="001D6785" w:rsidRPr="00EA2FA5" w14:paraId="1CE7EDD8" w14:textId="77777777" w:rsidTr="003C0537">
      <w:trPr>
        <w:trHeight w:val="195"/>
        <w:jc w:val="center"/>
      </w:trPr>
      <w:tc>
        <w:tcPr>
          <w:tcW w:w="3990" w:type="pct"/>
          <w:tcBorders>
            <w:top w:val="nil"/>
            <w:left w:val="nil"/>
          </w:tcBorders>
          <w:vAlign w:val="center"/>
        </w:tcPr>
        <w:p w14:paraId="6620F4FE" w14:textId="77777777" w:rsidR="001D6785" w:rsidRPr="0075421C" w:rsidRDefault="001D6785" w:rsidP="006B38AE">
          <w:pPr>
            <w:pStyle w:val="Footer"/>
            <w:rPr>
              <w:i/>
              <w:iCs/>
              <w:sz w:val="18"/>
            </w:rPr>
          </w:pPr>
          <w:r w:rsidRPr="007B1C67">
            <w:rPr>
              <w:rFonts w:cs="Arial"/>
              <w:sz w:val="18"/>
              <w:szCs w:val="18"/>
            </w:rPr>
            <w:t>Guidehouse Inc.</w:t>
          </w:r>
        </w:p>
      </w:tc>
      <w:tc>
        <w:tcPr>
          <w:tcW w:w="1010" w:type="pct"/>
          <w:vAlign w:val="center"/>
        </w:tcPr>
        <w:p w14:paraId="196398C1" w14:textId="77777777" w:rsidR="001D6785" w:rsidRPr="0075421C" w:rsidRDefault="001D6785"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089C471F" w14:textId="77777777" w:rsidR="001D6785" w:rsidRPr="000C64C5" w:rsidRDefault="001D6785" w:rsidP="006B38AE">
    <w:pPr>
      <w:pStyle w:val="Footer"/>
      <w:ind w:right="360"/>
      <w:rPr>
        <w:sz w:val="2"/>
        <w:szCs w:val="2"/>
      </w:rPr>
    </w:pPr>
  </w:p>
  <w:p w14:paraId="6E6126F5" w14:textId="77777777" w:rsidR="001D6785" w:rsidRPr="008B6585" w:rsidRDefault="001D6785"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4590" w14:textId="77777777" w:rsidR="00155050" w:rsidRDefault="00155050" w:rsidP="00183005">
      <w:r>
        <w:separator/>
      </w:r>
    </w:p>
  </w:footnote>
  <w:footnote w:type="continuationSeparator" w:id="0">
    <w:p w14:paraId="20A300AF" w14:textId="77777777" w:rsidR="00155050" w:rsidRDefault="00155050" w:rsidP="00183005">
      <w:r>
        <w:continuationSeparator/>
      </w:r>
    </w:p>
  </w:footnote>
  <w:footnote w:type="continuationNotice" w:id="1">
    <w:p w14:paraId="3B7AA26C" w14:textId="77777777" w:rsidR="00155050" w:rsidRDefault="00155050"/>
  </w:footnote>
  <w:footnote w:id="2">
    <w:p w14:paraId="5ED557B1" w14:textId="2709404F" w:rsidR="000113F9" w:rsidRDefault="000113F9">
      <w:pPr>
        <w:pStyle w:val="FootnoteText"/>
      </w:pPr>
      <w:r>
        <w:rPr>
          <w:rStyle w:val="FootnoteReference"/>
        </w:rPr>
        <w:footnoteRef/>
      </w:r>
      <w:r>
        <w:t xml:space="preserve"> </w:t>
      </w:r>
      <w:r w:rsidRPr="000113F9">
        <w:t>In this report, unless stated otherwise, IL-TRM refers to version 1</w:t>
      </w:r>
      <w:r>
        <w:t>2</w:t>
      </w:r>
      <w:r w:rsidRPr="000113F9">
        <w:t>.0 (v1</w:t>
      </w:r>
      <w:r>
        <w:t>2</w:t>
      </w:r>
      <w:r w:rsidRPr="000113F9">
        <w:t>.0)</w:t>
      </w:r>
      <w:r>
        <w:t>.</w:t>
      </w:r>
    </w:p>
  </w:footnote>
  <w:footnote w:id="3">
    <w:p w14:paraId="46F63829" w14:textId="3A070B68" w:rsidR="007E335B" w:rsidRDefault="007E335B">
      <w:pPr>
        <w:pStyle w:val="FootnoteText"/>
      </w:pPr>
      <w:r>
        <w:rPr>
          <w:rStyle w:val="FootnoteReference"/>
        </w:rPr>
        <w:footnoteRef/>
      </w:r>
      <w:r>
        <w:t xml:space="preserve"> </w:t>
      </w:r>
      <w:r w:rsidRPr="007E335B">
        <w:t>For steam traps that are part of steam systems where the boiler cycles on/off to maintain space setpoint</w:t>
      </w:r>
      <w:r>
        <w:t xml:space="preserve"> </w:t>
      </w:r>
      <w:r w:rsidRPr="007E335B">
        <w:t>temperature or for steam traps located downstream of a steam control valve that opens/closes to maintain setpoint</w:t>
      </w:r>
      <w:r w:rsidR="00AC49FD">
        <w:t xml:space="preserve"> </w:t>
      </w:r>
      <w:r w:rsidRPr="007E335B">
        <w:t>temperature</w:t>
      </w:r>
      <w:r w:rsidR="00AC49F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380D7AF3" w14:textId="77777777">
      <w:trPr>
        <w:jc w:val="center"/>
      </w:trPr>
      <w:tc>
        <w:tcPr>
          <w:tcW w:w="4770" w:type="dxa"/>
          <w:vAlign w:val="center"/>
        </w:tcPr>
        <w:p w14:paraId="0832C44E" w14:textId="669A2773" w:rsidR="009D4752" w:rsidRPr="006A71F6" w:rsidRDefault="008A3986" w:rsidP="009D4752">
          <w:pPr>
            <w:pStyle w:val="Header"/>
          </w:pPr>
          <w:r>
            <w:rPr>
              <w:noProof/>
            </w:rPr>
            <w:drawing>
              <wp:inline distT="0" distB="0" distL="0" distR="0" wp14:anchorId="42E859CB" wp14:editId="66C9939D">
                <wp:extent cx="1081454" cy="274320"/>
                <wp:effectExtent l="0" t="0" r="4445" b="0"/>
                <wp:docPr id="538924108"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EA1963E" w14:textId="442BACDF" w:rsidR="009D4752" w:rsidRPr="008C625B" w:rsidRDefault="009D4752" w:rsidP="009D4752">
          <w:pPr>
            <w:pStyle w:val="Header"/>
            <w:rPr>
              <w:bCs/>
            </w:rPr>
          </w:pPr>
          <w:r w:rsidRPr="008C625B">
            <w:rPr>
              <w:bCs/>
              <w:noProof/>
            </w:rPr>
            <w:fldChar w:fldCharType="begin"/>
          </w:r>
          <w:r w:rsidRPr="008C625B">
            <w:rPr>
              <w:bCs/>
              <w:noProof/>
            </w:rPr>
            <w:instrText xml:space="preserve"> STYLEREF  Title,Cover_Title  \* MERGEFORMAT </w:instrText>
          </w:r>
          <w:r w:rsidRPr="008C625B">
            <w:rPr>
              <w:bCs/>
              <w:noProof/>
            </w:rPr>
            <w:fldChar w:fldCharType="separate"/>
          </w:r>
          <w:r w:rsidR="002A3507">
            <w:rPr>
              <w:bCs/>
              <w:noProof/>
            </w:rPr>
            <w:t>Income Eligible Multi-Family and Public Housing Impact Evaluation Report</w:t>
          </w:r>
          <w:r w:rsidRPr="008C625B">
            <w:rPr>
              <w:bCs/>
              <w:noProof/>
            </w:rPr>
            <w:fldChar w:fldCharType="end"/>
          </w:r>
        </w:p>
      </w:tc>
    </w:tr>
  </w:tbl>
  <w:p w14:paraId="46E54D99"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F0A6" w14:textId="77777777" w:rsidR="00E1590E" w:rsidRDefault="00E1590E" w:rsidP="00E1590E">
    <w:pPr>
      <w:pStyle w:val="Header"/>
    </w:pPr>
    <w:r>
      <w:rPr>
        <w:noProof/>
      </w:rPr>
      <w:drawing>
        <wp:anchor distT="0" distB="0" distL="114300" distR="114300" simplePos="0" relativeHeight="251658240" behindDoc="0" locked="0" layoutInCell="1" allowOverlap="1" wp14:anchorId="7C35D651" wp14:editId="386BD57E">
          <wp:simplePos x="0" y="0"/>
          <wp:positionH relativeFrom="page">
            <wp:posOffset>-57150</wp:posOffset>
          </wp:positionH>
          <wp:positionV relativeFrom="paragraph">
            <wp:posOffset>-466724</wp:posOffset>
          </wp:positionV>
          <wp:extent cx="7848600" cy="10001250"/>
          <wp:effectExtent l="0" t="0" r="0" b="0"/>
          <wp:wrapNone/>
          <wp:docPr id="23364939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F9BEF3D" w14:textId="77777777" w:rsidR="00E1590E" w:rsidRPr="00F2773B" w:rsidRDefault="00E1590E" w:rsidP="00E1590E">
    <w:pPr>
      <w:pStyle w:val="Header"/>
    </w:pPr>
  </w:p>
  <w:p w14:paraId="4D28D61C" w14:textId="054D484D" w:rsidR="00D657F7" w:rsidRPr="00D657F7" w:rsidRDefault="00D657F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7A089240" w14:textId="77777777">
      <w:trPr>
        <w:jc w:val="center"/>
      </w:trPr>
      <w:tc>
        <w:tcPr>
          <w:tcW w:w="477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595631713" name="Graphic 159563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67A32D2A" w14:textId="7124431A" w:rsidR="009D4752" w:rsidRPr="001668B6" w:rsidRDefault="009D4752" w:rsidP="009D4752">
          <w:pPr>
            <w:pStyle w:val="Header"/>
            <w:rPr>
              <w:bCs/>
            </w:rPr>
          </w:pPr>
          <w:r w:rsidRPr="001668B6">
            <w:rPr>
              <w:bCs/>
              <w:noProof/>
            </w:rPr>
            <w:fldChar w:fldCharType="begin"/>
          </w:r>
          <w:r w:rsidRPr="001668B6">
            <w:rPr>
              <w:bCs/>
              <w:noProof/>
            </w:rPr>
            <w:instrText xml:space="preserve"> STYLEREF  Title,Cover_Title  \* MERGEFORMAT </w:instrText>
          </w:r>
          <w:r w:rsidRPr="001668B6">
            <w:rPr>
              <w:bCs/>
              <w:noProof/>
            </w:rPr>
            <w:fldChar w:fldCharType="separate"/>
          </w:r>
          <w:r w:rsidR="002A3507">
            <w:rPr>
              <w:bCs/>
              <w:noProof/>
            </w:rPr>
            <w:t>Income Eligible Multi-Family and Public Housing Impact Evaluation Report</w:t>
          </w:r>
          <w:r w:rsidRPr="001668B6">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48B6" w14:textId="7C791AB5" w:rsidR="00CF5A59" w:rsidRDefault="00CF5A59"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690"/>
      <w:gridCol w:w="5670"/>
    </w:tblGrid>
    <w:tr w:rsidR="0015442B" w14:paraId="36A59C45" w14:textId="77777777" w:rsidTr="00966108">
      <w:trPr>
        <w:jc w:val="center"/>
      </w:trPr>
      <w:tc>
        <w:tcPr>
          <w:tcW w:w="3690" w:type="dxa"/>
          <w:vAlign w:val="center"/>
        </w:tcPr>
        <w:p w14:paraId="7E987CC2" w14:textId="77777777" w:rsidR="0015442B" w:rsidRPr="006A71F6" w:rsidRDefault="0015442B" w:rsidP="0015442B">
          <w:pPr>
            <w:pStyle w:val="Header"/>
          </w:pPr>
          <w:r>
            <w:rPr>
              <w:noProof/>
            </w:rPr>
            <w:drawing>
              <wp:inline distT="0" distB="0" distL="0" distR="0" wp14:anchorId="1B2B6D74" wp14:editId="6C12AC84">
                <wp:extent cx="1081454" cy="274320"/>
                <wp:effectExtent l="0" t="0" r="4445" b="0"/>
                <wp:docPr id="2120885512" name="Graphic 212088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670" w:type="dxa"/>
          <w:vAlign w:val="bottom"/>
        </w:tcPr>
        <w:p w14:paraId="3AF72725" w14:textId="69EBB552" w:rsidR="0015442B" w:rsidRPr="00966108" w:rsidRDefault="0015442B" w:rsidP="0015442B">
          <w:pPr>
            <w:pStyle w:val="Header"/>
            <w:rPr>
              <w:bCs/>
            </w:rPr>
          </w:pPr>
          <w:r w:rsidRPr="00966108">
            <w:rPr>
              <w:bCs/>
              <w:noProof/>
            </w:rPr>
            <w:fldChar w:fldCharType="begin"/>
          </w:r>
          <w:r w:rsidRPr="00966108">
            <w:rPr>
              <w:bCs/>
              <w:noProof/>
            </w:rPr>
            <w:instrText xml:space="preserve"> STYLEREF  Title,Cover_Title  \* MERGEFORMAT </w:instrText>
          </w:r>
          <w:r w:rsidRPr="00966108">
            <w:rPr>
              <w:bCs/>
              <w:noProof/>
            </w:rPr>
            <w:fldChar w:fldCharType="separate"/>
          </w:r>
          <w:r w:rsidR="002A3507">
            <w:rPr>
              <w:bCs/>
              <w:noProof/>
            </w:rPr>
            <w:t>Income Eligible Multi-Family and Public Housing Impact Evaluation Report</w:t>
          </w:r>
          <w:r w:rsidRPr="00966108">
            <w:rPr>
              <w:bCs/>
              <w:noProof/>
            </w:rPr>
            <w:fldChar w:fldCharType="end"/>
          </w:r>
        </w:p>
      </w:tc>
    </w:tr>
  </w:tbl>
  <w:p w14:paraId="0A68D724" w14:textId="77777777" w:rsidR="0015442B" w:rsidRPr="00E656A1" w:rsidRDefault="0015442B" w:rsidP="0015442B">
    <w:pPr>
      <w:pStyle w:val="Header"/>
    </w:pPr>
  </w:p>
  <w:p w14:paraId="73122BE9" w14:textId="77777777" w:rsidR="0015442B" w:rsidRPr="009D4752" w:rsidRDefault="0015442B"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0F97" w14:paraId="3A671BCE" w14:textId="77777777" w:rsidTr="003C0537">
      <w:trPr>
        <w:jc w:val="center"/>
      </w:trPr>
      <w:tc>
        <w:tcPr>
          <w:tcW w:w="1058" w:type="pct"/>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233826709" name="Picture 23382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5CAED67B" w14:textId="661C265F" w:rsidR="004F0F97" w:rsidRPr="00966108" w:rsidRDefault="004F0F97" w:rsidP="00E656A1">
          <w:pPr>
            <w:pStyle w:val="Header"/>
            <w:jc w:val="right"/>
            <w:rPr>
              <w:bCs/>
            </w:rPr>
          </w:pPr>
          <w:r w:rsidRPr="00966108">
            <w:rPr>
              <w:bCs/>
              <w:noProof/>
            </w:rPr>
            <w:fldChar w:fldCharType="begin"/>
          </w:r>
          <w:r w:rsidRPr="00966108">
            <w:rPr>
              <w:bCs/>
              <w:noProof/>
            </w:rPr>
            <w:instrText xml:space="preserve"> STYLEREF  Title,Cover_Title  \* MERGEFORMAT </w:instrText>
          </w:r>
          <w:r w:rsidRPr="00966108">
            <w:rPr>
              <w:bCs/>
              <w:noProof/>
            </w:rPr>
            <w:fldChar w:fldCharType="separate"/>
          </w:r>
          <w:r w:rsidR="002A3507">
            <w:rPr>
              <w:bCs/>
              <w:noProof/>
            </w:rPr>
            <w:t>Income Eligible Multi-Family and Public Housing Impact Evaluation Report</w:t>
          </w:r>
          <w:r w:rsidRPr="00966108">
            <w:rPr>
              <w:bCs/>
              <w:noProof/>
            </w:rPr>
            <w:fldChar w:fldCharType="end"/>
          </w:r>
        </w:p>
      </w:tc>
    </w:tr>
  </w:tbl>
  <w:p w14:paraId="20A26FA0" w14:textId="77777777" w:rsidR="004F0F97" w:rsidRPr="00E656A1" w:rsidRDefault="004F0F97" w:rsidP="00E65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1D6785" w14:paraId="2DAAE7D4" w14:textId="77777777" w:rsidTr="003C0537">
      <w:trPr>
        <w:jc w:val="center"/>
      </w:trPr>
      <w:tc>
        <w:tcPr>
          <w:tcW w:w="1058" w:type="pct"/>
          <w:vAlign w:val="center"/>
        </w:tcPr>
        <w:p w14:paraId="3200C092" w14:textId="77777777" w:rsidR="001D6785" w:rsidRPr="006A71F6" w:rsidRDefault="001D6785" w:rsidP="00E656A1">
          <w:pPr>
            <w:pStyle w:val="Header"/>
          </w:pPr>
          <w:r>
            <w:rPr>
              <w:noProof/>
            </w:rPr>
            <w:drawing>
              <wp:inline distT="0" distB="0" distL="0" distR="0" wp14:anchorId="768C5687" wp14:editId="00E063F8">
                <wp:extent cx="1097282" cy="277522"/>
                <wp:effectExtent l="0" t="0" r="0" b="0"/>
                <wp:docPr id="1000721522" name="Picture 100072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61E873AF" w14:textId="423BA03B" w:rsidR="001D6785" w:rsidRPr="002A3507" w:rsidRDefault="001D6785" w:rsidP="00E656A1">
          <w:pPr>
            <w:pStyle w:val="Header"/>
            <w:jc w:val="right"/>
            <w:rPr>
              <w:bCs/>
            </w:rPr>
          </w:pPr>
          <w:r>
            <w:rPr>
              <w:bCs/>
              <w:noProof/>
            </w:rPr>
            <w:fldChar w:fldCharType="begin"/>
          </w:r>
          <w:r>
            <w:rPr>
              <w:bCs/>
              <w:noProof/>
            </w:rPr>
            <w:instrText xml:space="preserve"> STYLEREF  Title,Cover_Title  \* MERGEFORMAT </w:instrText>
          </w:r>
          <w:r>
            <w:rPr>
              <w:bCs/>
              <w:noProof/>
            </w:rPr>
            <w:fldChar w:fldCharType="separate"/>
          </w:r>
          <w:r w:rsidR="002A3507">
            <w:rPr>
              <w:bCs/>
              <w:noProof/>
            </w:rPr>
            <w:t>Income Eligible Multi-Family and Public Housing Impact Evaluation Report</w:t>
          </w:r>
          <w:r w:rsidRPr="002A3507">
            <w:rPr>
              <w:bCs/>
              <w:noProof/>
            </w:rPr>
            <w:fldChar w:fldCharType="end"/>
          </w:r>
        </w:p>
      </w:tc>
    </w:tr>
  </w:tbl>
  <w:p w14:paraId="108C6F09" w14:textId="77777777" w:rsidR="001D6785" w:rsidRPr="00E656A1" w:rsidRDefault="001D6785"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58083F"/>
    <w:multiLevelType w:val="hybridMultilevel"/>
    <w:tmpl w:val="F1E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91570"/>
    <w:multiLevelType w:val="hybridMultilevel"/>
    <w:tmpl w:val="62803D04"/>
    <w:lvl w:ilvl="0" w:tplc="D08C03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0"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B3D745D"/>
    <w:multiLevelType w:val="hybridMultilevel"/>
    <w:tmpl w:val="AC9A15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0"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2"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5"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6"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7"/>
  </w:num>
  <w:num w:numId="2" w16cid:durableId="572662720">
    <w:abstractNumId w:val="47"/>
  </w:num>
  <w:num w:numId="3" w16cid:durableId="652367676">
    <w:abstractNumId w:val="43"/>
  </w:num>
  <w:num w:numId="4" w16cid:durableId="2012020781">
    <w:abstractNumId w:val="12"/>
  </w:num>
  <w:num w:numId="5" w16cid:durableId="60494156">
    <w:abstractNumId w:val="38"/>
  </w:num>
  <w:num w:numId="6" w16cid:durableId="351999140">
    <w:abstractNumId w:val="29"/>
  </w:num>
  <w:num w:numId="7" w16cid:durableId="1543706362">
    <w:abstractNumId w:val="52"/>
  </w:num>
  <w:num w:numId="8" w16cid:durableId="44524327">
    <w:abstractNumId w:val="49"/>
  </w:num>
  <w:num w:numId="9" w16cid:durableId="227762789">
    <w:abstractNumId w:val="55"/>
  </w:num>
  <w:num w:numId="10" w16cid:durableId="780222722">
    <w:abstractNumId w:val="21"/>
  </w:num>
  <w:num w:numId="11" w16cid:durableId="546650308">
    <w:abstractNumId w:val="37"/>
  </w:num>
  <w:num w:numId="12" w16cid:durableId="1669626378">
    <w:abstractNumId w:val="24"/>
  </w:num>
  <w:num w:numId="13" w16cid:durableId="1529830481">
    <w:abstractNumId w:val="34"/>
  </w:num>
  <w:num w:numId="14" w16cid:durableId="1196966438">
    <w:abstractNumId w:val="33"/>
  </w:num>
  <w:num w:numId="15" w16cid:durableId="1632858962">
    <w:abstractNumId w:val="15"/>
  </w:num>
  <w:num w:numId="16" w16cid:durableId="214894526">
    <w:abstractNumId w:val="51"/>
  </w:num>
  <w:num w:numId="17" w16cid:durableId="1105422986">
    <w:abstractNumId w:val="16"/>
  </w:num>
  <w:num w:numId="18" w16cid:durableId="2081101303">
    <w:abstractNumId w:val="48"/>
  </w:num>
  <w:num w:numId="19" w16cid:durableId="1796022452">
    <w:abstractNumId w:val="41"/>
  </w:num>
  <w:num w:numId="20" w16cid:durableId="583494429">
    <w:abstractNumId w:val="11"/>
  </w:num>
  <w:num w:numId="21" w16cid:durableId="616718588">
    <w:abstractNumId w:val="54"/>
  </w:num>
  <w:num w:numId="22" w16cid:durableId="1859461857">
    <w:abstractNumId w:val="20"/>
  </w:num>
  <w:num w:numId="23" w16cid:durableId="1342078282">
    <w:abstractNumId w:val="26"/>
  </w:num>
  <w:num w:numId="24" w16cid:durableId="1610120830">
    <w:abstractNumId w:val="39"/>
  </w:num>
  <w:num w:numId="25" w16cid:durableId="37243931">
    <w:abstractNumId w:val="53"/>
  </w:num>
  <w:num w:numId="26" w16cid:durableId="1584140567">
    <w:abstractNumId w:val="50"/>
  </w:num>
  <w:num w:numId="27" w16cid:durableId="1127159647">
    <w:abstractNumId w:val="27"/>
  </w:num>
  <w:num w:numId="28" w16cid:durableId="1247610844">
    <w:abstractNumId w:val="32"/>
  </w:num>
  <w:num w:numId="29" w16cid:durableId="604268143">
    <w:abstractNumId w:val="19"/>
  </w:num>
  <w:num w:numId="30" w16cid:durableId="2005550187">
    <w:abstractNumId w:val="46"/>
  </w:num>
  <w:num w:numId="31" w16cid:durableId="209148408">
    <w:abstractNumId w:val="23"/>
  </w:num>
  <w:num w:numId="32" w16cid:durableId="1168400868">
    <w:abstractNumId w:val="30"/>
  </w:num>
  <w:num w:numId="33" w16cid:durableId="925698880">
    <w:abstractNumId w:val="42"/>
  </w:num>
  <w:num w:numId="34" w16cid:durableId="1161579759">
    <w:abstractNumId w:val="35"/>
  </w:num>
  <w:num w:numId="35" w16cid:durableId="795031207">
    <w:abstractNumId w:val="31"/>
  </w:num>
  <w:num w:numId="36" w16cid:durableId="1964801661">
    <w:abstractNumId w:val="56"/>
  </w:num>
  <w:num w:numId="37" w16cid:durableId="1627658257">
    <w:abstractNumId w:val="18"/>
  </w:num>
  <w:num w:numId="38" w16cid:durableId="2022579963">
    <w:abstractNumId w:val="44"/>
  </w:num>
  <w:num w:numId="39" w16cid:durableId="989287344">
    <w:abstractNumId w:val="25"/>
  </w:num>
  <w:num w:numId="40" w16cid:durableId="1276054925">
    <w:abstractNumId w:val="22"/>
  </w:num>
  <w:num w:numId="41" w16cid:durableId="2035840992">
    <w:abstractNumId w:val="36"/>
  </w:num>
  <w:num w:numId="42" w16cid:durableId="786394275">
    <w:abstractNumId w:val="10"/>
  </w:num>
  <w:num w:numId="43" w16cid:durableId="1771662880">
    <w:abstractNumId w:val="20"/>
  </w:num>
  <w:num w:numId="44" w16cid:durableId="372389766">
    <w:abstractNumId w:val="56"/>
  </w:num>
  <w:num w:numId="45" w16cid:durableId="1041125043">
    <w:abstractNumId w:val="18"/>
  </w:num>
  <w:num w:numId="46" w16cid:durableId="1987657647">
    <w:abstractNumId w:val="44"/>
  </w:num>
  <w:num w:numId="47" w16cid:durableId="1430153600">
    <w:abstractNumId w:val="25"/>
  </w:num>
  <w:num w:numId="48" w16cid:durableId="379748092">
    <w:abstractNumId w:val="22"/>
  </w:num>
  <w:num w:numId="49" w16cid:durableId="1274554731">
    <w:abstractNumId w:val="36"/>
  </w:num>
  <w:num w:numId="50" w16cid:durableId="554701846">
    <w:abstractNumId w:val="19"/>
  </w:num>
  <w:num w:numId="51" w16cid:durableId="1421634053">
    <w:abstractNumId w:val="46"/>
  </w:num>
  <w:num w:numId="52" w16cid:durableId="414397860">
    <w:abstractNumId w:val="26"/>
  </w:num>
  <w:num w:numId="53" w16cid:durableId="26176849">
    <w:abstractNumId w:val="23"/>
  </w:num>
  <w:num w:numId="54" w16cid:durableId="182524817">
    <w:abstractNumId w:val="30"/>
  </w:num>
  <w:num w:numId="55" w16cid:durableId="1044712347">
    <w:abstractNumId w:val="42"/>
  </w:num>
  <w:num w:numId="56" w16cid:durableId="2108769375">
    <w:abstractNumId w:val="35"/>
  </w:num>
  <w:num w:numId="57" w16cid:durableId="593633690">
    <w:abstractNumId w:val="39"/>
  </w:num>
  <w:num w:numId="58" w16cid:durableId="1417633976">
    <w:abstractNumId w:val="53"/>
  </w:num>
  <w:num w:numId="59" w16cid:durableId="1298141371">
    <w:abstractNumId w:val="31"/>
  </w:num>
  <w:num w:numId="60" w16cid:durableId="264191458">
    <w:abstractNumId w:val="50"/>
  </w:num>
  <w:num w:numId="61" w16cid:durableId="1158426902">
    <w:abstractNumId w:val="27"/>
  </w:num>
  <w:num w:numId="62" w16cid:durableId="1353653636">
    <w:abstractNumId w:val="32"/>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8"/>
  </w:num>
  <w:num w:numId="74" w16cid:durableId="1839425061">
    <w:abstractNumId w:val="40"/>
  </w:num>
  <w:num w:numId="75" w16cid:durableId="71466328">
    <w:abstractNumId w:val="45"/>
  </w:num>
  <w:num w:numId="76" w16cid:durableId="451753173">
    <w:abstractNumId w:val="13"/>
  </w:num>
  <w:num w:numId="77" w16cid:durableId="707800706">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1BC"/>
    <w:rsid w:val="0000068A"/>
    <w:rsid w:val="00000B20"/>
    <w:rsid w:val="00000D5D"/>
    <w:rsid w:val="00000E8E"/>
    <w:rsid w:val="00001472"/>
    <w:rsid w:val="00001545"/>
    <w:rsid w:val="000018DF"/>
    <w:rsid w:val="00001F32"/>
    <w:rsid w:val="000030C8"/>
    <w:rsid w:val="000030F8"/>
    <w:rsid w:val="0000320A"/>
    <w:rsid w:val="00003341"/>
    <w:rsid w:val="000036AE"/>
    <w:rsid w:val="00003A33"/>
    <w:rsid w:val="00004723"/>
    <w:rsid w:val="00004838"/>
    <w:rsid w:val="00004865"/>
    <w:rsid w:val="0000517D"/>
    <w:rsid w:val="00005206"/>
    <w:rsid w:val="0000532A"/>
    <w:rsid w:val="0000544B"/>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3F9"/>
    <w:rsid w:val="000116B2"/>
    <w:rsid w:val="00011A7A"/>
    <w:rsid w:val="00012020"/>
    <w:rsid w:val="00012344"/>
    <w:rsid w:val="000126F4"/>
    <w:rsid w:val="00012CA5"/>
    <w:rsid w:val="00012D2E"/>
    <w:rsid w:val="00012D8B"/>
    <w:rsid w:val="00012E47"/>
    <w:rsid w:val="00013033"/>
    <w:rsid w:val="00013376"/>
    <w:rsid w:val="00013A7D"/>
    <w:rsid w:val="00013ED7"/>
    <w:rsid w:val="000147F5"/>
    <w:rsid w:val="00014CD2"/>
    <w:rsid w:val="00016960"/>
    <w:rsid w:val="0001698A"/>
    <w:rsid w:val="00016ACD"/>
    <w:rsid w:val="00016D18"/>
    <w:rsid w:val="00016DB0"/>
    <w:rsid w:val="000174F3"/>
    <w:rsid w:val="00017A8A"/>
    <w:rsid w:val="0002009B"/>
    <w:rsid w:val="00020216"/>
    <w:rsid w:val="000211DC"/>
    <w:rsid w:val="0002146D"/>
    <w:rsid w:val="00021A3B"/>
    <w:rsid w:val="00021F40"/>
    <w:rsid w:val="00021F73"/>
    <w:rsid w:val="0002282C"/>
    <w:rsid w:val="00022DC9"/>
    <w:rsid w:val="00022EDC"/>
    <w:rsid w:val="00022F0D"/>
    <w:rsid w:val="00023607"/>
    <w:rsid w:val="00023A5E"/>
    <w:rsid w:val="00023CDE"/>
    <w:rsid w:val="00023D4D"/>
    <w:rsid w:val="00024C5A"/>
    <w:rsid w:val="000253FE"/>
    <w:rsid w:val="00025C8D"/>
    <w:rsid w:val="00025DE8"/>
    <w:rsid w:val="00025EE1"/>
    <w:rsid w:val="00026046"/>
    <w:rsid w:val="0002631A"/>
    <w:rsid w:val="0002649E"/>
    <w:rsid w:val="000264AD"/>
    <w:rsid w:val="00026E65"/>
    <w:rsid w:val="00026F29"/>
    <w:rsid w:val="0002735D"/>
    <w:rsid w:val="00027FDF"/>
    <w:rsid w:val="000323EF"/>
    <w:rsid w:val="000329AA"/>
    <w:rsid w:val="00032FA4"/>
    <w:rsid w:val="000335FE"/>
    <w:rsid w:val="000339E5"/>
    <w:rsid w:val="00033CC1"/>
    <w:rsid w:val="00033E0E"/>
    <w:rsid w:val="000343C2"/>
    <w:rsid w:val="00034F8B"/>
    <w:rsid w:val="00034F90"/>
    <w:rsid w:val="00035038"/>
    <w:rsid w:val="00035699"/>
    <w:rsid w:val="00035715"/>
    <w:rsid w:val="00035F61"/>
    <w:rsid w:val="000362B2"/>
    <w:rsid w:val="0003674A"/>
    <w:rsid w:val="00036D8C"/>
    <w:rsid w:val="000371E9"/>
    <w:rsid w:val="00037629"/>
    <w:rsid w:val="00037C03"/>
    <w:rsid w:val="000407AB"/>
    <w:rsid w:val="00040AE2"/>
    <w:rsid w:val="0004101C"/>
    <w:rsid w:val="00041347"/>
    <w:rsid w:val="000414B6"/>
    <w:rsid w:val="000414D4"/>
    <w:rsid w:val="00041E6D"/>
    <w:rsid w:val="000422A1"/>
    <w:rsid w:val="0004376E"/>
    <w:rsid w:val="000447CF"/>
    <w:rsid w:val="00045D1B"/>
    <w:rsid w:val="0004642C"/>
    <w:rsid w:val="000466A2"/>
    <w:rsid w:val="00046804"/>
    <w:rsid w:val="00047C36"/>
    <w:rsid w:val="00047C9E"/>
    <w:rsid w:val="00047F9F"/>
    <w:rsid w:val="00050B2E"/>
    <w:rsid w:val="00050EC6"/>
    <w:rsid w:val="000521F1"/>
    <w:rsid w:val="0005225A"/>
    <w:rsid w:val="0005287F"/>
    <w:rsid w:val="00052A0D"/>
    <w:rsid w:val="00052A82"/>
    <w:rsid w:val="000531E0"/>
    <w:rsid w:val="00054143"/>
    <w:rsid w:val="0005439A"/>
    <w:rsid w:val="0005540B"/>
    <w:rsid w:val="000554A9"/>
    <w:rsid w:val="00055CA1"/>
    <w:rsid w:val="00056651"/>
    <w:rsid w:val="00056713"/>
    <w:rsid w:val="00056C9E"/>
    <w:rsid w:val="000575F6"/>
    <w:rsid w:val="0005768F"/>
    <w:rsid w:val="00057904"/>
    <w:rsid w:val="0006003F"/>
    <w:rsid w:val="00060120"/>
    <w:rsid w:val="00060889"/>
    <w:rsid w:val="00060E3D"/>
    <w:rsid w:val="000612B3"/>
    <w:rsid w:val="00061729"/>
    <w:rsid w:val="00061C05"/>
    <w:rsid w:val="00062C63"/>
    <w:rsid w:val="0006306A"/>
    <w:rsid w:val="00063070"/>
    <w:rsid w:val="00063144"/>
    <w:rsid w:val="00063428"/>
    <w:rsid w:val="0006396D"/>
    <w:rsid w:val="00063AEB"/>
    <w:rsid w:val="00063B8D"/>
    <w:rsid w:val="00063C86"/>
    <w:rsid w:val="00063CA7"/>
    <w:rsid w:val="000648BF"/>
    <w:rsid w:val="00065187"/>
    <w:rsid w:val="000655D2"/>
    <w:rsid w:val="00065665"/>
    <w:rsid w:val="00065687"/>
    <w:rsid w:val="00065C48"/>
    <w:rsid w:val="00065D22"/>
    <w:rsid w:val="00066630"/>
    <w:rsid w:val="0007038A"/>
    <w:rsid w:val="000706A7"/>
    <w:rsid w:val="00070B0A"/>
    <w:rsid w:val="00070E7C"/>
    <w:rsid w:val="000719AE"/>
    <w:rsid w:val="000719C1"/>
    <w:rsid w:val="00071CB3"/>
    <w:rsid w:val="00072117"/>
    <w:rsid w:val="00072B81"/>
    <w:rsid w:val="00072BEC"/>
    <w:rsid w:val="0007382D"/>
    <w:rsid w:val="000739DE"/>
    <w:rsid w:val="00074737"/>
    <w:rsid w:val="00074A0A"/>
    <w:rsid w:val="00074A7E"/>
    <w:rsid w:val="00074BF0"/>
    <w:rsid w:val="000750C5"/>
    <w:rsid w:val="000752D9"/>
    <w:rsid w:val="000754B6"/>
    <w:rsid w:val="000758A8"/>
    <w:rsid w:val="00075BCE"/>
    <w:rsid w:val="00076355"/>
    <w:rsid w:val="00076A0C"/>
    <w:rsid w:val="00076AA5"/>
    <w:rsid w:val="0007702A"/>
    <w:rsid w:val="00077682"/>
    <w:rsid w:val="00077AB0"/>
    <w:rsid w:val="00077E07"/>
    <w:rsid w:val="000801E7"/>
    <w:rsid w:val="0008063D"/>
    <w:rsid w:val="000809D9"/>
    <w:rsid w:val="00080EAD"/>
    <w:rsid w:val="00081C3C"/>
    <w:rsid w:val="00082F19"/>
    <w:rsid w:val="00083216"/>
    <w:rsid w:val="00083478"/>
    <w:rsid w:val="000838AE"/>
    <w:rsid w:val="00083C45"/>
    <w:rsid w:val="000840AD"/>
    <w:rsid w:val="00085B5D"/>
    <w:rsid w:val="00086098"/>
    <w:rsid w:val="00086470"/>
    <w:rsid w:val="0008676B"/>
    <w:rsid w:val="000868CB"/>
    <w:rsid w:val="00087E45"/>
    <w:rsid w:val="00087FA6"/>
    <w:rsid w:val="0009061C"/>
    <w:rsid w:val="00091057"/>
    <w:rsid w:val="000917D7"/>
    <w:rsid w:val="000925BD"/>
    <w:rsid w:val="00092603"/>
    <w:rsid w:val="00092E51"/>
    <w:rsid w:val="00093033"/>
    <w:rsid w:val="0009382D"/>
    <w:rsid w:val="00093918"/>
    <w:rsid w:val="0009401B"/>
    <w:rsid w:val="000950A8"/>
    <w:rsid w:val="000964F3"/>
    <w:rsid w:val="00096C8D"/>
    <w:rsid w:val="000978C5"/>
    <w:rsid w:val="00097E45"/>
    <w:rsid w:val="00097E4B"/>
    <w:rsid w:val="000A04E5"/>
    <w:rsid w:val="000A0D19"/>
    <w:rsid w:val="000A1046"/>
    <w:rsid w:val="000A15EC"/>
    <w:rsid w:val="000A1D8B"/>
    <w:rsid w:val="000A2306"/>
    <w:rsid w:val="000A2693"/>
    <w:rsid w:val="000A3D16"/>
    <w:rsid w:val="000A3D2B"/>
    <w:rsid w:val="000A4B1E"/>
    <w:rsid w:val="000A526A"/>
    <w:rsid w:val="000A5A16"/>
    <w:rsid w:val="000A5E1B"/>
    <w:rsid w:val="000A6047"/>
    <w:rsid w:val="000A6547"/>
    <w:rsid w:val="000A6B52"/>
    <w:rsid w:val="000A743A"/>
    <w:rsid w:val="000A75C9"/>
    <w:rsid w:val="000A77B8"/>
    <w:rsid w:val="000A7948"/>
    <w:rsid w:val="000A7DD9"/>
    <w:rsid w:val="000B002D"/>
    <w:rsid w:val="000B00FA"/>
    <w:rsid w:val="000B06DF"/>
    <w:rsid w:val="000B0E08"/>
    <w:rsid w:val="000B1278"/>
    <w:rsid w:val="000B1EA3"/>
    <w:rsid w:val="000B1F3F"/>
    <w:rsid w:val="000B1FBA"/>
    <w:rsid w:val="000B21F5"/>
    <w:rsid w:val="000B353B"/>
    <w:rsid w:val="000B3E79"/>
    <w:rsid w:val="000B3E90"/>
    <w:rsid w:val="000B4636"/>
    <w:rsid w:val="000B46CB"/>
    <w:rsid w:val="000B4F83"/>
    <w:rsid w:val="000B50FE"/>
    <w:rsid w:val="000B54FE"/>
    <w:rsid w:val="000B5638"/>
    <w:rsid w:val="000B567F"/>
    <w:rsid w:val="000B5721"/>
    <w:rsid w:val="000B5A3A"/>
    <w:rsid w:val="000B5A47"/>
    <w:rsid w:val="000B6441"/>
    <w:rsid w:val="000B6F8F"/>
    <w:rsid w:val="000B7543"/>
    <w:rsid w:val="000B75A6"/>
    <w:rsid w:val="000B7BFE"/>
    <w:rsid w:val="000B7FE1"/>
    <w:rsid w:val="000C02AA"/>
    <w:rsid w:val="000C045F"/>
    <w:rsid w:val="000C05B4"/>
    <w:rsid w:val="000C0AD5"/>
    <w:rsid w:val="000C0C4E"/>
    <w:rsid w:val="000C0FC7"/>
    <w:rsid w:val="000C1D0F"/>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C77B3"/>
    <w:rsid w:val="000D0EB1"/>
    <w:rsid w:val="000D0F15"/>
    <w:rsid w:val="000D172F"/>
    <w:rsid w:val="000D1BBC"/>
    <w:rsid w:val="000D1F5C"/>
    <w:rsid w:val="000D234F"/>
    <w:rsid w:val="000D2378"/>
    <w:rsid w:val="000D25D9"/>
    <w:rsid w:val="000D26FA"/>
    <w:rsid w:val="000D29A5"/>
    <w:rsid w:val="000D398C"/>
    <w:rsid w:val="000D3F97"/>
    <w:rsid w:val="000D4F17"/>
    <w:rsid w:val="000D5028"/>
    <w:rsid w:val="000D521B"/>
    <w:rsid w:val="000D59AA"/>
    <w:rsid w:val="000D5A3D"/>
    <w:rsid w:val="000D6786"/>
    <w:rsid w:val="000D7C92"/>
    <w:rsid w:val="000E0AF4"/>
    <w:rsid w:val="000E0D25"/>
    <w:rsid w:val="000E142F"/>
    <w:rsid w:val="000E17D7"/>
    <w:rsid w:val="000E182F"/>
    <w:rsid w:val="000E1B85"/>
    <w:rsid w:val="000E2618"/>
    <w:rsid w:val="000E266A"/>
    <w:rsid w:val="000E2E27"/>
    <w:rsid w:val="000E398D"/>
    <w:rsid w:val="000E43F2"/>
    <w:rsid w:val="000E477F"/>
    <w:rsid w:val="000E5F14"/>
    <w:rsid w:val="000E6083"/>
    <w:rsid w:val="000E6933"/>
    <w:rsid w:val="000E6D16"/>
    <w:rsid w:val="000F03B5"/>
    <w:rsid w:val="000F0557"/>
    <w:rsid w:val="000F12D3"/>
    <w:rsid w:val="000F1CD7"/>
    <w:rsid w:val="000F2004"/>
    <w:rsid w:val="000F21C5"/>
    <w:rsid w:val="000F23B7"/>
    <w:rsid w:val="000F2FDF"/>
    <w:rsid w:val="000F321A"/>
    <w:rsid w:val="000F3AB5"/>
    <w:rsid w:val="000F3C24"/>
    <w:rsid w:val="000F3CE2"/>
    <w:rsid w:val="000F3DD8"/>
    <w:rsid w:val="000F490B"/>
    <w:rsid w:val="000F49A8"/>
    <w:rsid w:val="000F5556"/>
    <w:rsid w:val="000F64EF"/>
    <w:rsid w:val="000F6914"/>
    <w:rsid w:val="000F7449"/>
    <w:rsid w:val="000F7467"/>
    <w:rsid w:val="0010003A"/>
    <w:rsid w:val="001004E4"/>
    <w:rsid w:val="0010160F"/>
    <w:rsid w:val="001022BD"/>
    <w:rsid w:val="00102AA2"/>
    <w:rsid w:val="00102E47"/>
    <w:rsid w:val="00102F2F"/>
    <w:rsid w:val="001032EC"/>
    <w:rsid w:val="00104D80"/>
    <w:rsid w:val="001053B0"/>
    <w:rsid w:val="001059D6"/>
    <w:rsid w:val="00105A93"/>
    <w:rsid w:val="00105D7F"/>
    <w:rsid w:val="00106088"/>
    <w:rsid w:val="00106230"/>
    <w:rsid w:val="001069E6"/>
    <w:rsid w:val="001070AB"/>
    <w:rsid w:val="001073A5"/>
    <w:rsid w:val="001077FC"/>
    <w:rsid w:val="0010788C"/>
    <w:rsid w:val="00107F20"/>
    <w:rsid w:val="00110B25"/>
    <w:rsid w:val="00110DD0"/>
    <w:rsid w:val="00110F66"/>
    <w:rsid w:val="00111256"/>
    <w:rsid w:val="0011131D"/>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0F33"/>
    <w:rsid w:val="00121438"/>
    <w:rsid w:val="00121677"/>
    <w:rsid w:val="001217D7"/>
    <w:rsid w:val="00121810"/>
    <w:rsid w:val="001219E4"/>
    <w:rsid w:val="00121A74"/>
    <w:rsid w:val="00121CBB"/>
    <w:rsid w:val="00122022"/>
    <w:rsid w:val="00122450"/>
    <w:rsid w:val="0012255F"/>
    <w:rsid w:val="001227B4"/>
    <w:rsid w:val="00122B36"/>
    <w:rsid w:val="001234C6"/>
    <w:rsid w:val="00123D1A"/>
    <w:rsid w:val="00123F6F"/>
    <w:rsid w:val="001249C1"/>
    <w:rsid w:val="00124DC7"/>
    <w:rsid w:val="00124FEC"/>
    <w:rsid w:val="00125BFB"/>
    <w:rsid w:val="0012621D"/>
    <w:rsid w:val="00126821"/>
    <w:rsid w:val="00127794"/>
    <w:rsid w:val="00127A28"/>
    <w:rsid w:val="00127D26"/>
    <w:rsid w:val="00127EB8"/>
    <w:rsid w:val="00127F0A"/>
    <w:rsid w:val="00130045"/>
    <w:rsid w:val="00130169"/>
    <w:rsid w:val="001302BE"/>
    <w:rsid w:val="00130732"/>
    <w:rsid w:val="00131005"/>
    <w:rsid w:val="0013128F"/>
    <w:rsid w:val="00131D2F"/>
    <w:rsid w:val="00132F0E"/>
    <w:rsid w:val="0013380B"/>
    <w:rsid w:val="00134CE6"/>
    <w:rsid w:val="00134EE3"/>
    <w:rsid w:val="001353D9"/>
    <w:rsid w:val="001355C7"/>
    <w:rsid w:val="001356F5"/>
    <w:rsid w:val="00135863"/>
    <w:rsid w:val="001359C8"/>
    <w:rsid w:val="00136719"/>
    <w:rsid w:val="0013676A"/>
    <w:rsid w:val="00136E6D"/>
    <w:rsid w:val="00136FF2"/>
    <w:rsid w:val="00137601"/>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5F6E"/>
    <w:rsid w:val="00146EFA"/>
    <w:rsid w:val="0014704B"/>
    <w:rsid w:val="001475C5"/>
    <w:rsid w:val="00150A26"/>
    <w:rsid w:val="001514BE"/>
    <w:rsid w:val="0015182F"/>
    <w:rsid w:val="0015220A"/>
    <w:rsid w:val="001526D9"/>
    <w:rsid w:val="0015286C"/>
    <w:rsid w:val="00152B70"/>
    <w:rsid w:val="00152C1D"/>
    <w:rsid w:val="00152E05"/>
    <w:rsid w:val="00152F41"/>
    <w:rsid w:val="00153174"/>
    <w:rsid w:val="0015338F"/>
    <w:rsid w:val="00153909"/>
    <w:rsid w:val="001539F1"/>
    <w:rsid w:val="00153E03"/>
    <w:rsid w:val="0015442B"/>
    <w:rsid w:val="00154456"/>
    <w:rsid w:val="001547F9"/>
    <w:rsid w:val="00154CB0"/>
    <w:rsid w:val="00155050"/>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0E7"/>
    <w:rsid w:val="0016456A"/>
    <w:rsid w:val="00164A5F"/>
    <w:rsid w:val="00164CDE"/>
    <w:rsid w:val="0016509E"/>
    <w:rsid w:val="0016589D"/>
    <w:rsid w:val="001665EC"/>
    <w:rsid w:val="001668B6"/>
    <w:rsid w:val="00167008"/>
    <w:rsid w:val="001673A4"/>
    <w:rsid w:val="00167456"/>
    <w:rsid w:val="0016754C"/>
    <w:rsid w:val="001705D3"/>
    <w:rsid w:val="0017091A"/>
    <w:rsid w:val="00171187"/>
    <w:rsid w:val="001712C8"/>
    <w:rsid w:val="00171406"/>
    <w:rsid w:val="00171431"/>
    <w:rsid w:val="0017217B"/>
    <w:rsid w:val="001721C1"/>
    <w:rsid w:val="001722DE"/>
    <w:rsid w:val="0017240D"/>
    <w:rsid w:val="00172972"/>
    <w:rsid w:val="0017336F"/>
    <w:rsid w:val="0017426B"/>
    <w:rsid w:val="001743B6"/>
    <w:rsid w:val="00174BF5"/>
    <w:rsid w:val="00175006"/>
    <w:rsid w:val="00175264"/>
    <w:rsid w:val="00175CB5"/>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8CE"/>
    <w:rsid w:val="00185F95"/>
    <w:rsid w:val="001863EA"/>
    <w:rsid w:val="001873D0"/>
    <w:rsid w:val="00187797"/>
    <w:rsid w:val="0018785D"/>
    <w:rsid w:val="001900C1"/>
    <w:rsid w:val="0019032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21E3"/>
    <w:rsid w:val="001A266B"/>
    <w:rsid w:val="001A348C"/>
    <w:rsid w:val="001A36DB"/>
    <w:rsid w:val="001A373D"/>
    <w:rsid w:val="001A3741"/>
    <w:rsid w:val="001A383A"/>
    <w:rsid w:val="001A3BD2"/>
    <w:rsid w:val="001A3FC6"/>
    <w:rsid w:val="001A4138"/>
    <w:rsid w:val="001A4284"/>
    <w:rsid w:val="001A4F7D"/>
    <w:rsid w:val="001A50A2"/>
    <w:rsid w:val="001A51A2"/>
    <w:rsid w:val="001A58B4"/>
    <w:rsid w:val="001A58FC"/>
    <w:rsid w:val="001A5B65"/>
    <w:rsid w:val="001A5C39"/>
    <w:rsid w:val="001A5F7B"/>
    <w:rsid w:val="001A600E"/>
    <w:rsid w:val="001A6385"/>
    <w:rsid w:val="001A6567"/>
    <w:rsid w:val="001A72A1"/>
    <w:rsid w:val="001A730F"/>
    <w:rsid w:val="001A769F"/>
    <w:rsid w:val="001B0921"/>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883"/>
    <w:rsid w:val="001B6F99"/>
    <w:rsid w:val="001B7362"/>
    <w:rsid w:val="001B7466"/>
    <w:rsid w:val="001B74BE"/>
    <w:rsid w:val="001B76B1"/>
    <w:rsid w:val="001B788E"/>
    <w:rsid w:val="001B7964"/>
    <w:rsid w:val="001C0D8C"/>
    <w:rsid w:val="001C1482"/>
    <w:rsid w:val="001C1526"/>
    <w:rsid w:val="001C1E38"/>
    <w:rsid w:val="001C3A41"/>
    <w:rsid w:val="001C46B6"/>
    <w:rsid w:val="001C4C0D"/>
    <w:rsid w:val="001C4E92"/>
    <w:rsid w:val="001C5FAF"/>
    <w:rsid w:val="001C62AF"/>
    <w:rsid w:val="001C6949"/>
    <w:rsid w:val="001C6D1D"/>
    <w:rsid w:val="001C6DED"/>
    <w:rsid w:val="001C7705"/>
    <w:rsid w:val="001C79FB"/>
    <w:rsid w:val="001C79FE"/>
    <w:rsid w:val="001D004C"/>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43B3"/>
    <w:rsid w:val="001D4B5B"/>
    <w:rsid w:val="001D4F0E"/>
    <w:rsid w:val="001D5205"/>
    <w:rsid w:val="001D56E0"/>
    <w:rsid w:val="001D5870"/>
    <w:rsid w:val="001D5FC2"/>
    <w:rsid w:val="001D6702"/>
    <w:rsid w:val="001D6785"/>
    <w:rsid w:val="001D6D97"/>
    <w:rsid w:val="001D7346"/>
    <w:rsid w:val="001D7492"/>
    <w:rsid w:val="001D7831"/>
    <w:rsid w:val="001E0156"/>
    <w:rsid w:val="001E0350"/>
    <w:rsid w:val="001E0A07"/>
    <w:rsid w:val="001E0CC0"/>
    <w:rsid w:val="001E0DA9"/>
    <w:rsid w:val="001E1962"/>
    <w:rsid w:val="001E29EB"/>
    <w:rsid w:val="001E3262"/>
    <w:rsid w:val="001E44C6"/>
    <w:rsid w:val="001E504A"/>
    <w:rsid w:val="001E57FC"/>
    <w:rsid w:val="001E6690"/>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75B"/>
    <w:rsid w:val="001F4C75"/>
    <w:rsid w:val="001F4E7D"/>
    <w:rsid w:val="001F5867"/>
    <w:rsid w:val="001F590A"/>
    <w:rsid w:val="001F62D7"/>
    <w:rsid w:val="001F631C"/>
    <w:rsid w:val="001F681B"/>
    <w:rsid w:val="001F6833"/>
    <w:rsid w:val="001F6BC6"/>
    <w:rsid w:val="001F723E"/>
    <w:rsid w:val="001F72D9"/>
    <w:rsid w:val="001F7E17"/>
    <w:rsid w:val="00200505"/>
    <w:rsid w:val="002008AC"/>
    <w:rsid w:val="00200EFA"/>
    <w:rsid w:val="00201069"/>
    <w:rsid w:val="00201B16"/>
    <w:rsid w:val="00201ECE"/>
    <w:rsid w:val="00201F6A"/>
    <w:rsid w:val="002021C8"/>
    <w:rsid w:val="00202BF6"/>
    <w:rsid w:val="00202ECE"/>
    <w:rsid w:val="00202FCF"/>
    <w:rsid w:val="00203167"/>
    <w:rsid w:val="00203390"/>
    <w:rsid w:val="0020356A"/>
    <w:rsid w:val="00203958"/>
    <w:rsid w:val="0020402E"/>
    <w:rsid w:val="0020491C"/>
    <w:rsid w:val="00204A11"/>
    <w:rsid w:val="00204D4E"/>
    <w:rsid w:val="00205073"/>
    <w:rsid w:val="0020554A"/>
    <w:rsid w:val="0020598B"/>
    <w:rsid w:val="00205CFF"/>
    <w:rsid w:val="0020671B"/>
    <w:rsid w:val="0020732B"/>
    <w:rsid w:val="002076AF"/>
    <w:rsid w:val="00207BEE"/>
    <w:rsid w:val="00207CE7"/>
    <w:rsid w:val="00207EC1"/>
    <w:rsid w:val="00210559"/>
    <w:rsid w:val="0021064D"/>
    <w:rsid w:val="002117DC"/>
    <w:rsid w:val="00211E9F"/>
    <w:rsid w:val="002120FA"/>
    <w:rsid w:val="0021215E"/>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456"/>
    <w:rsid w:val="0021757D"/>
    <w:rsid w:val="002175B2"/>
    <w:rsid w:val="00217943"/>
    <w:rsid w:val="00220066"/>
    <w:rsid w:val="002204D3"/>
    <w:rsid w:val="00220AE5"/>
    <w:rsid w:val="0022153A"/>
    <w:rsid w:val="002219FE"/>
    <w:rsid w:val="00221B39"/>
    <w:rsid w:val="00221C92"/>
    <w:rsid w:val="0022220A"/>
    <w:rsid w:val="002228D3"/>
    <w:rsid w:val="0022388A"/>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40190"/>
    <w:rsid w:val="00240832"/>
    <w:rsid w:val="00240A29"/>
    <w:rsid w:val="002414DD"/>
    <w:rsid w:val="00241791"/>
    <w:rsid w:val="00241B2D"/>
    <w:rsid w:val="00242BF9"/>
    <w:rsid w:val="00242D38"/>
    <w:rsid w:val="00243144"/>
    <w:rsid w:val="00243735"/>
    <w:rsid w:val="00244035"/>
    <w:rsid w:val="0024403B"/>
    <w:rsid w:val="00244B08"/>
    <w:rsid w:val="0024581A"/>
    <w:rsid w:val="00245EF3"/>
    <w:rsid w:val="00246063"/>
    <w:rsid w:val="002467A3"/>
    <w:rsid w:val="00247C2E"/>
    <w:rsid w:val="00247E62"/>
    <w:rsid w:val="00247FA6"/>
    <w:rsid w:val="00250820"/>
    <w:rsid w:val="002508E5"/>
    <w:rsid w:val="0025183B"/>
    <w:rsid w:val="002521C6"/>
    <w:rsid w:val="0025331D"/>
    <w:rsid w:val="00253503"/>
    <w:rsid w:val="00253808"/>
    <w:rsid w:val="00253E6B"/>
    <w:rsid w:val="0025444C"/>
    <w:rsid w:val="00254F2E"/>
    <w:rsid w:val="002555BC"/>
    <w:rsid w:val="00255691"/>
    <w:rsid w:val="00255D6A"/>
    <w:rsid w:val="00255F20"/>
    <w:rsid w:val="00256675"/>
    <w:rsid w:val="0025682B"/>
    <w:rsid w:val="00257142"/>
    <w:rsid w:val="002571F0"/>
    <w:rsid w:val="00257B02"/>
    <w:rsid w:val="002600BC"/>
    <w:rsid w:val="002606A3"/>
    <w:rsid w:val="00260A18"/>
    <w:rsid w:val="00261175"/>
    <w:rsid w:val="00261176"/>
    <w:rsid w:val="00261762"/>
    <w:rsid w:val="00261E65"/>
    <w:rsid w:val="002620F1"/>
    <w:rsid w:val="002621D2"/>
    <w:rsid w:val="00262392"/>
    <w:rsid w:val="00262CA4"/>
    <w:rsid w:val="0026318F"/>
    <w:rsid w:val="00263893"/>
    <w:rsid w:val="00263DE8"/>
    <w:rsid w:val="002642BB"/>
    <w:rsid w:val="00264429"/>
    <w:rsid w:val="002644DB"/>
    <w:rsid w:val="002647CF"/>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785"/>
    <w:rsid w:val="002739CE"/>
    <w:rsid w:val="00273A60"/>
    <w:rsid w:val="00273BA5"/>
    <w:rsid w:val="00273D4A"/>
    <w:rsid w:val="00274118"/>
    <w:rsid w:val="002742A8"/>
    <w:rsid w:val="002747D2"/>
    <w:rsid w:val="00274B9F"/>
    <w:rsid w:val="00275CF9"/>
    <w:rsid w:val="00275F29"/>
    <w:rsid w:val="00276242"/>
    <w:rsid w:val="002763A0"/>
    <w:rsid w:val="0027681D"/>
    <w:rsid w:val="00276CC4"/>
    <w:rsid w:val="00276DFE"/>
    <w:rsid w:val="00276FF2"/>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4B8A"/>
    <w:rsid w:val="00284C0E"/>
    <w:rsid w:val="00284C4A"/>
    <w:rsid w:val="00284DBE"/>
    <w:rsid w:val="002858A5"/>
    <w:rsid w:val="002859CC"/>
    <w:rsid w:val="00285A14"/>
    <w:rsid w:val="00285A22"/>
    <w:rsid w:val="00285B2A"/>
    <w:rsid w:val="00285CCE"/>
    <w:rsid w:val="00285E58"/>
    <w:rsid w:val="00286081"/>
    <w:rsid w:val="00286903"/>
    <w:rsid w:val="0028701A"/>
    <w:rsid w:val="00287762"/>
    <w:rsid w:val="00287DE4"/>
    <w:rsid w:val="002900A8"/>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4E15"/>
    <w:rsid w:val="00295093"/>
    <w:rsid w:val="00295316"/>
    <w:rsid w:val="002955EE"/>
    <w:rsid w:val="00295BFC"/>
    <w:rsid w:val="00296B7E"/>
    <w:rsid w:val="00297254"/>
    <w:rsid w:val="00297C81"/>
    <w:rsid w:val="00297EC5"/>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507"/>
    <w:rsid w:val="002A39DB"/>
    <w:rsid w:val="002A3A1D"/>
    <w:rsid w:val="002A3B86"/>
    <w:rsid w:val="002A3DE3"/>
    <w:rsid w:val="002A410F"/>
    <w:rsid w:val="002A413A"/>
    <w:rsid w:val="002A41A1"/>
    <w:rsid w:val="002A437F"/>
    <w:rsid w:val="002A4679"/>
    <w:rsid w:val="002A4E98"/>
    <w:rsid w:val="002A4FE3"/>
    <w:rsid w:val="002A53E1"/>
    <w:rsid w:val="002A5B3D"/>
    <w:rsid w:val="002A6140"/>
    <w:rsid w:val="002A6329"/>
    <w:rsid w:val="002A6A98"/>
    <w:rsid w:val="002A72C7"/>
    <w:rsid w:val="002A744D"/>
    <w:rsid w:val="002A7709"/>
    <w:rsid w:val="002A77FD"/>
    <w:rsid w:val="002A7A88"/>
    <w:rsid w:val="002A7F3C"/>
    <w:rsid w:val="002B007A"/>
    <w:rsid w:val="002B0741"/>
    <w:rsid w:val="002B07CF"/>
    <w:rsid w:val="002B0B2F"/>
    <w:rsid w:val="002B123D"/>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66BF"/>
    <w:rsid w:val="002B75DB"/>
    <w:rsid w:val="002B770C"/>
    <w:rsid w:val="002B7979"/>
    <w:rsid w:val="002B7DD8"/>
    <w:rsid w:val="002B7FA9"/>
    <w:rsid w:val="002C1D1A"/>
    <w:rsid w:val="002C22B4"/>
    <w:rsid w:val="002C2DA1"/>
    <w:rsid w:val="002C3050"/>
    <w:rsid w:val="002C350C"/>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06FA"/>
    <w:rsid w:val="002D1033"/>
    <w:rsid w:val="002D11E0"/>
    <w:rsid w:val="002D150D"/>
    <w:rsid w:val="002D1585"/>
    <w:rsid w:val="002D2108"/>
    <w:rsid w:val="002D2492"/>
    <w:rsid w:val="002D2B13"/>
    <w:rsid w:val="002D2C0F"/>
    <w:rsid w:val="002D2D72"/>
    <w:rsid w:val="002D2FC8"/>
    <w:rsid w:val="002D306B"/>
    <w:rsid w:val="002D34BC"/>
    <w:rsid w:val="002D3914"/>
    <w:rsid w:val="002D420B"/>
    <w:rsid w:val="002D45D8"/>
    <w:rsid w:val="002D4678"/>
    <w:rsid w:val="002D46AC"/>
    <w:rsid w:val="002D523A"/>
    <w:rsid w:val="002D58B3"/>
    <w:rsid w:val="002D59F2"/>
    <w:rsid w:val="002D59FD"/>
    <w:rsid w:val="002D6079"/>
    <w:rsid w:val="002D6495"/>
    <w:rsid w:val="002D6B58"/>
    <w:rsid w:val="002D6ECD"/>
    <w:rsid w:val="002D709D"/>
    <w:rsid w:val="002D7439"/>
    <w:rsid w:val="002D74C4"/>
    <w:rsid w:val="002D759C"/>
    <w:rsid w:val="002D7CA4"/>
    <w:rsid w:val="002D7E98"/>
    <w:rsid w:val="002D7F08"/>
    <w:rsid w:val="002E02D6"/>
    <w:rsid w:val="002E0D95"/>
    <w:rsid w:val="002E0DA5"/>
    <w:rsid w:val="002E10C0"/>
    <w:rsid w:val="002E110F"/>
    <w:rsid w:val="002E18A4"/>
    <w:rsid w:val="002E19BE"/>
    <w:rsid w:val="002E2476"/>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E71AE"/>
    <w:rsid w:val="002E7B8D"/>
    <w:rsid w:val="002F0948"/>
    <w:rsid w:val="002F0BA1"/>
    <w:rsid w:val="002F106A"/>
    <w:rsid w:val="002F12B9"/>
    <w:rsid w:val="002F1487"/>
    <w:rsid w:val="002F2D8B"/>
    <w:rsid w:val="002F354B"/>
    <w:rsid w:val="002F368B"/>
    <w:rsid w:val="002F4642"/>
    <w:rsid w:val="002F48C4"/>
    <w:rsid w:val="002F5122"/>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88C"/>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1BA"/>
    <w:rsid w:val="003175A5"/>
    <w:rsid w:val="00320124"/>
    <w:rsid w:val="0032140A"/>
    <w:rsid w:val="00321A0A"/>
    <w:rsid w:val="00321B9E"/>
    <w:rsid w:val="00321E35"/>
    <w:rsid w:val="00321FB0"/>
    <w:rsid w:val="003220EC"/>
    <w:rsid w:val="003221EF"/>
    <w:rsid w:val="0032299D"/>
    <w:rsid w:val="00322EC3"/>
    <w:rsid w:val="003234F0"/>
    <w:rsid w:val="00323C03"/>
    <w:rsid w:val="00323CFC"/>
    <w:rsid w:val="00323FF6"/>
    <w:rsid w:val="00324F0C"/>
    <w:rsid w:val="00325307"/>
    <w:rsid w:val="00325AAA"/>
    <w:rsid w:val="003265FE"/>
    <w:rsid w:val="00326CD8"/>
    <w:rsid w:val="00326DDC"/>
    <w:rsid w:val="00327024"/>
    <w:rsid w:val="00327C04"/>
    <w:rsid w:val="00330AB6"/>
    <w:rsid w:val="00331511"/>
    <w:rsid w:val="003316A6"/>
    <w:rsid w:val="00331F7B"/>
    <w:rsid w:val="00332FA8"/>
    <w:rsid w:val="00335514"/>
    <w:rsid w:val="00335964"/>
    <w:rsid w:val="00336233"/>
    <w:rsid w:val="00336A1F"/>
    <w:rsid w:val="00337A21"/>
    <w:rsid w:val="003401D9"/>
    <w:rsid w:val="00340B9C"/>
    <w:rsid w:val="00341103"/>
    <w:rsid w:val="00341C0B"/>
    <w:rsid w:val="0034203B"/>
    <w:rsid w:val="003438C4"/>
    <w:rsid w:val="003439BB"/>
    <w:rsid w:val="00343F15"/>
    <w:rsid w:val="00344671"/>
    <w:rsid w:val="003447F8"/>
    <w:rsid w:val="00344F6E"/>
    <w:rsid w:val="00345574"/>
    <w:rsid w:val="0034567F"/>
    <w:rsid w:val="003456B5"/>
    <w:rsid w:val="00346280"/>
    <w:rsid w:val="003463A5"/>
    <w:rsid w:val="00346913"/>
    <w:rsid w:val="00346B68"/>
    <w:rsid w:val="00346BF8"/>
    <w:rsid w:val="0034721B"/>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6C4"/>
    <w:rsid w:val="00357F0D"/>
    <w:rsid w:val="0036043F"/>
    <w:rsid w:val="0036165E"/>
    <w:rsid w:val="00362A08"/>
    <w:rsid w:val="00362D12"/>
    <w:rsid w:val="00362DCF"/>
    <w:rsid w:val="003632A3"/>
    <w:rsid w:val="003632CF"/>
    <w:rsid w:val="00363AB8"/>
    <w:rsid w:val="0036406D"/>
    <w:rsid w:val="00364AA6"/>
    <w:rsid w:val="00365402"/>
    <w:rsid w:val="0036651B"/>
    <w:rsid w:val="003665AD"/>
    <w:rsid w:val="003668E8"/>
    <w:rsid w:val="00367434"/>
    <w:rsid w:val="00367491"/>
    <w:rsid w:val="003677D2"/>
    <w:rsid w:val="003705D0"/>
    <w:rsid w:val="00370D98"/>
    <w:rsid w:val="00371001"/>
    <w:rsid w:val="00371F32"/>
    <w:rsid w:val="003720BD"/>
    <w:rsid w:val="003725A9"/>
    <w:rsid w:val="00372683"/>
    <w:rsid w:val="003739EA"/>
    <w:rsid w:val="003739F9"/>
    <w:rsid w:val="003746BC"/>
    <w:rsid w:val="00374B7B"/>
    <w:rsid w:val="00374BD7"/>
    <w:rsid w:val="00374BDB"/>
    <w:rsid w:val="003752F4"/>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31D1"/>
    <w:rsid w:val="003833BF"/>
    <w:rsid w:val="00383571"/>
    <w:rsid w:val="00383C82"/>
    <w:rsid w:val="0038408A"/>
    <w:rsid w:val="00384517"/>
    <w:rsid w:val="00384D08"/>
    <w:rsid w:val="003853A6"/>
    <w:rsid w:val="003868E8"/>
    <w:rsid w:val="00386E04"/>
    <w:rsid w:val="00386F57"/>
    <w:rsid w:val="00387042"/>
    <w:rsid w:val="0038748E"/>
    <w:rsid w:val="003875CD"/>
    <w:rsid w:val="00387D3E"/>
    <w:rsid w:val="003905C2"/>
    <w:rsid w:val="003906EE"/>
    <w:rsid w:val="00390C46"/>
    <w:rsid w:val="00391B4F"/>
    <w:rsid w:val="0039254D"/>
    <w:rsid w:val="00392C86"/>
    <w:rsid w:val="0039340F"/>
    <w:rsid w:val="00394317"/>
    <w:rsid w:val="00394AC3"/>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1B24"/>
    <w:rsid w:val="003A1C87"/>
    <w:rsid w:val="003A2D10"/>
    <w:rsid w:val="003A2FEB"/>
    <w:rsid w:val="003A3596"/>
    <w:rsid w:val="003A3D0E"/>
    <w:rsid w:val="003A4562"/>
    <w:rsid w:val="003A45EF"/>
    <w:rsid w:val="003A4B04"/>
    <w:rsid w:val="003A4B3B"/>
    <w:rsid w:val="003A5FC9"/>
    <w:rsid w:val="003A67E4"/>
    <w:rsid w:val="003A685F"/>
    <w:rsid w:val="003A6A2E"/>
    <w:rsid w:val="003A6FAE"/>
    <w:rsid w:val="003A72A9"/>
    <w:rsid w:val="003A7BF4"/>
    <w:rsid w:val="003B052C"/>
    <w:rsid w:val="003B08C8"/>
    <w:rsid w:val="003B0B2A"/>
    <w:rsid w:val="003B18BD"/>
    <w:rsid w:val="003B1AA3"/>
    <w:rsid w:val="003B1B20"/>
    <w:rsid w:val="003B1B62"/>
    <w:rsid w:val="003B2B5E"/>
    <w:rsid w:val="003B2C9C"/>
    <w:rsid w:val="003B2CA9"/>
    <w:rsid w:val="003B2F45"/>
    <w:rsid w:val="003B3117"/>
    <w:rsid w:val="003B39D3"/>
    <w:rsid w:val="003B3A3B"/>
    <w:rsid w:val="003B3B25"/>
    <w:rsid w:val="003B3E2E"/>
    <w:rsid w:val="003B4611"/>
    <w:rsid w:val="003B4640"/>
    <w:rsid w:val="003B5170"/>
    <w:rsid w:val="003B54E2"/>
    <w:rsid w:val="003B6531"/>
    <w:rsid w:val="003B7768"/>
    <w:rsid w:val="003C0537"/>
    <w:rsid w:val="003C06B7"/>
    <w:rsid w:val="003C07C3"/>
    <w:rsid w:val="003C0853"/>
    <w:rsid w:val="003C09D5"/>
    <w:rsid w:val="003C0C2C"/>
    <w:rsid w:val="003C11FE"/>
    <w:rsid w:val="003C1530"/>
    <w:rsid w:val="003C1878"/>
    <w:rsid w:val="003C1C68"/>
    <w:rsid w:val="003C2059"/>
    <w:rsid w:val="003C21B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47D"/>
    <w:rsid w:val="003C7580"/>
    <w:rsid w:val="003C7889"/>
    <w:rsid w:val="003C7BBB"/>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593F"/>
    <w:rsid w:val="003D5A21"/>
    <w:rsid w:val="003D688A"/>
    <w:rsid w:val="003D7FD3"/>
    <w:rsid w:val="003E0AD1"/>
    <w:rsid w:val="003E0C4A"/>
    <w:rsid w:val="003E0E6C"/>
    <w:rsid w:val="003E0EF6"/>
    <w:rsid w:val="003E1585"/>
    <w:rsid w:val="003E1611"/>
    <w:rsid w:val="003E161B"/>
    <w:rsid w:val="003E1AA9"/>
    <w:rsid w:val="003E1F6C"/>
    <w:rsid w:val="003E28D9"/>
    <w:rsid w:val="003E3196"/>
    <w:rsid w:val="003E3A58"/>
    <w:rsid w:val="003E3C68"/>
    <w:rsid w:val="003E3CAF"/>
    <w:rsid w:val="003E3CDB"/>
    <w:rsid w:val="003E4439"/>
    <w:rsid w:val="003E44C4"/>
    <w:rsid w:val="003E44DA"/>
    <w:rsid w:val="003E4710"/>
    <w:rsid w:val="003E4859"/>
    <w:rsid w:val="003E48C5"/>
    <w:rsid w:val="003E4909"/>
    <w:rsid w:val="003E5159"/>
    <w:rsid w:val="003E57B0"/>
    <w:rsid w:val="003E57DA"/>
    <w:rsid w:val="003E5B46"/>
    <w:rsid w:val="003E65D5"/>
    <w:rsid w:val="003E668B"/>
    <w:rsid w:val="003E698C"/>
    <w:rsid w:val="003E70A0"/>
    <w:rsid w:val="003E77D3"/>
    <w:rsid w:val="003F07EB"/>
    <w:rsid w:val="003F0DE5"/>
    <w:rsid w:val="003F1290"/>
    <w:rsid w:val="003F19A6"/>
    <w:rsid w:val="003F19B9"/>
    <w:rsid w:val="003F2694"/>
    <w:rsid w:val="003F2BDA"/>
    <w:rsid w:val="003F2F80"/>
    <w:rsid w:val="003F2FB8"/>
    <w:rsid w:val="003F3282"/>
    <w:rsid w:val="003F3AD0"/>
    <w:rsid w:val="003F3D98"/>
    <w:rsid w:val="003F4D66"/>
    <w:rsid w:val="003F505E"/>
    <w:rsid w:val="003F557B"/>
    <w:rsid w:val="003F5700"/>
    <w:rsid w:val="003F5E48"/>
    <w:rsid w:val="003F5FAA"/>
    <w:rsid w:val="003F6214"/>
    <w:rsid w:val="003F6BD6"/>
    <w:rsid w:val="003F769B"/>
    <w:rsid w:val="003F7A70"/>
    <w:rsid w:val="0040051B"/>
    <w:rsid w:val="004008A3"/>
    <w:rsid w:val="00400989"/>
    <w:rsid w:val="00401444"/>
    <w:rsid w:val="00401D3E"/>
    <w:rsid w:val="00401F8F"/>
    <w:rsid w:val="00402837"/>
    <w:rsid w:val="0040420D"/>
    <w:rsid w:val="004047A7"/>
    <w:rsid w:val="0040536B"/>
    <w:rsid w:val="004054C0"/>
    <w:rsid w:val="00405823"/>
    <w:rsid w:val="004061FD"/>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4A6"/>
    <w:rsid w:val="004167D4"/>
    <w:rsid w:val="004169AC"/>
    <w:rsid w:val="00416AA5"/>
    <w:rsid w:val="00416B7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5E1F"/>
    <w:rsid w:val="00426213"/>
    <w:rsid w:val="004262F7"/>
    <w:rsid w:val="00426C30"/>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4B54"/>
    <w:rsid w:val="00436DF6"/>
    <w:rsid w:val="00436FEE"/>
    <w:rsid w:val="0043710F"/>
    <w:rsid w:val="00437132"/>
    <w:rsid w:val="00437615"/>
    <w:rsid w:val="00437667"/>
    <w:rsid w:val="00437728"/>
    <w:rsid w:val="00437786"/>
    <w:rsid w:val="00437B0B"/>
    <w:rsid w:val="00437D93"/>
    <w:rsid w:val="004403F1"/>
    <w:rsid w:val="004409B1"/>
    <w:rsid w:val="00440C52"/>
    <w:rsid w:val="004410E1"/>
    <w:rsid w:val="0044132E"/>
    <w:rsid w:val="00441ACE"/>
    <w:rsid w:val="00443539"/>
    <w:rsid w:val="00443F58"/>
    <w:rsid w:val="00444236"/>
    <w:rsid w:val="00444568"/>
    <w:rsid w:val="00444DFF"/>
    <w:rsid w:val="00444E36"/>
    <w:rsid w:val="00445252"/>
    <w:rsid w:val="00446539"/>
    <w:rsid w:val="0044731A"/>
    <w:rsid w:val="00447980"/>
    <w:rsid w:val="00447E84"/>
    <w:rsid w:val="00450789"/>
    <w:rsid w:val="00451AC1"/>
    <w:rsid w:val="00451CA3"/>
    <w:rsid w:val="00452223"/>
    <w:rsid w:val="00452854"/>
    <w:rsid w:val="00452CD2"/>
    <w:rsid w:val="0045334B"/>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AEC"/>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2E5"/>
    <w:rsid w:val="00474C73"/>
    <w:rsid w:val="00474F87"/>
    <w:rsid w:val="00475478"/>
    <w:rsid w:val="00475AA9"/>
    <w:rsid w:val="00475CE6"/>
    <w:rsid w:val="00476731"/>
    <w:rsid w:val="00476B88"/>
    <w:rsid w:val="00477031"/>
    <w:rsid w:val="00477668"/>
    <w:rsid w:val="00477E2A"/>
    <w:rsid w:val="00477F11"/>
    <w:rsid w:val="0048083A"/>
    <w:rsid w:val="00480F8F"/>
    <w:rsid w:val="0048176F"/>
    <w:rsid w:val="00481956"/>
    <w:rsid w:val="004832F8"/>
    <w:rsid w:val="0048343B"/>
    <w:rsid w:val="004834DA"/>
    <w:rsid w:val="00483C63"/>
    <w:rsid w:val="004848F0"/>
    <w:rsid w:val="00484A10"/>
    <w:rsid w:val="00484A83"/>
    <w:rsid w:val="004851E5"/>
    <w:rsid w:val="004853F1"/>
    <w:rsid w:val="004854BD"/>
    <w:rsid w:val="00485F90"/>
    <w:rsid w:val="004860C6"/>
    <w:rsid w:val="004867C8"/>
    <w:rsid w:val="00487B59"/>
    <w:rsid w:val="00487D94"/>
    <w:rsid w:val="00490074"/>
    <w:rsid w:val="0049018D"/>
    <w:rsid w:val="0049028B"/>
    <w:rsid w:val="004903AA"/>
    <w:rsid w:val="004903B4"/>
    <w:rsid w:val="00490729"/>
    <w:rsid w:val="00490B93"/>
    <w:rsid w:val="00490BDB"/>
    <w:rsid w:val="0049135C"/>
    <w:rsid w:val="004917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6F05"/>
    <w:rsid w:val="00497BEE"/>
    <w:rsid w:val="004A057A"/>
    <w:rsid w:val="004A0EE0"/>
    <w:rsid w:val="004A1700"/>
    <w:rsid w:val="004A23FE"/>
    <w:rsid w:val="004A297C"/>
    <w:rsid w:val="004A2E8B"/>
    <w:rsid w:val="004A4045"/>
    <w:rsid w:val="004A4410"/>
    <w:rsid w:val="004A5165"/>
    <w:rsid w:val="004A52E4"/>
    <w:rsid w:val="004A53EB"/>
    <w:rsid w:val="004A5460"/>
    <w:rsid w:val="004A54B0"/>
    <w:rsid w:val="004A5725"/>
    <w:rsid w:val="004A5A6B"/>
    <w:rsid w:val="004A5F50"/>
    <w:rsid w:val="004A6294"/>
    <w:rsid w:val="004A6C16"/>
    <w:rsid w:val="004A7055"/>
    <w:rsid w:val="004A778A"/>
    <w:rsid w:val="004A7ACB"/>
    <w:rsid w:val="004A7F35"/>
    <w:rsid w:val="004B060F"/>
    <w:rsid w:val="004B061D"/>
    <w:rsid w:val="004B06F9"/>
    <w:rsid w:val="004B0B3E"/>
    <w:rsid w:val="004B0BDB"/>
    <w:rsid w:val="004B0E7B"/>
    <w:rsid w:val="004B1318"/>
    <w:rsid w:val="004B13CB"/>
    <w:rsid w:val="004B19DB"/>
    <w:rsid w:val="004B1E65"/>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3FE"/>
    <w:rsid w:val="004B7712"/>
    <w:rsid w:val="004B7A6D"/>
    <w:rsid w:val="004B7FC2"/>
    <w:rsid w:val="004C022F"/>
    <w:rsid w:val="004C07BB"/>
    <w:rsid w:val="004C1660"/>
    <w:rsid w:val="004C3945"/>
    <w:rsid w:val="004C4AE8"/>
    <w:rsid w:val="004C5264"/>
    <w:rsid w:val="004C6AA6"/>
    <w:rsid w:val="004C6B93"/>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5CB9"/>
    <w:rsid w:val="004D6096"/>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99F"/>
    <w:rsid w:val="004E4BBB"/>
    <w:rsid w:val="004E6139"/>
    <w:rsid w:val="004E701C"/>
    <w:rsid w:val="004E77AE"/>
    <w:rsid w:val="004E7C2F"/>
    <w:rsid w:val="004F015C"/>
    <w:rsid w:val="004F0661"/>
    <w:rsid w:val="004F0A30"/>
    <w:rsid w:val="004F0F97"/>
    <w:rsid w:val="004F10AC"/>
    <w:rsid w:val="004F10D1"/>
    <w:rsid w:val="004F12A1"/>
    <w:rsid w:val="004F1D0C"/>
    <w:rsid w:val="004F207A"/>
    <w:rsid w:val="004F2F09"/>
    <w:rsid w:val="004F3CDF"/>
    <w:rsid w:val="004F3D5A"/>
    <w:rsid w:val="004F4189"/>
    <w:rsid w:val="004F4BD8"/>
    <w:rsid w:val="004F4C6B"/>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4F7BBC"/>
    <w:rsid w:val="005000C0"/>
    <w:rsid w:val="005000CF"/>
    <w:rsid w:val="005009FD"/>
    <w:rsid w:val="00500E03"/>
    <w:rsid w:val="005013B4"/>
    <w:rsid w:val="00501483"/>
    <w:rsid w:val="00501513"/>
    <w:rsid w:val="005019B2"/>
    <w:rsid w:val="005024AC"/>
    <w:rsid w:val="005032FC"/>
    <w:rsid w:val="00503D3F"/>
    <w:rsid w:val="00503D7E"/>
    <w:rsid w:val="005060C7"/>
    <w:rsid w:val="005060E1"/>
    <w:rsid w:val="005071E2"/>
    <w:rsid w:val="005075A7"/>
    <w:rsid w:val="00507A4B"/>
    <w:rsid w:val="00507B31"/>
    <w:rsid w:val="00507CC9"/>
    <w:rsid w:val="00507E8C"/>
    <w:rsid w:val="00507FC0"/>
    <w:rsid w:val="00510626"/>
    <w:rsid w:val="00510836"/>
    <w:rsid w:val="005111BA"/>
    <w:rsid w:val="00511520"/>
    <w:rsid w:val="00511623"/>
    <w:rsid w:val="00512069"/>
    <w:rsid w:val="00512179"/>
    <w:rsid w:val="00512502"/>
    <w:rsid w:val="00512610"/>
    <w:rsid w:val="00512811"/>
    <w:rsid w:val="0051281C"/>
    <w:rsid w:val="005133E0"/>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A0"/>
    <w:rsid w:val="00517FE0"/>
    <w:rsid w:val="00520945"/>
    <w:rsid w:val="0052105A"/>
    <w:rsid w:val="00521166"/>
    <w:rsid w:val="005214EF"/>
    <w:rsid w:val="0052170B"/>
    <w:rsid w:val="005217EF"/>
    <w:rsid w:val="00522249"/>
    <w:rsid w:val="0052224A"/>
    <w:rsid w:val="00522FBD"/>
    <w:rsid w:val="005236A0"/>
    <w:rsid w:val="00523BC0"/>
    <w:rsid w:val="005252BC"/>
    <w:rsid w:val="00525A48"/>
    <w:rsid w:val="005266F4"/>
    <w:rsid w:val="005270C2"/>
    <w:rsid w:val="00527A13"/>
    <w:rsid w:val="00527D3A"/>
    <w:rsid w:val="0053028C"/>
    <w:rsid w:val="00530873"/>
    <w:rsid w:val="00530963"/>
    <w:rsid w:val="00530B42"/>
    <w:rsid w:val="005312BE"/>
    <w:rsid w:val="00531754"/>
    <w:rsid w:val="00531894"/>
    <w:rsid w:val="00531DE1"/>
    <w:rsid w:val="00532365"/>
    <w:rsid w:val="0053258E"/>
    <w:rsid w:val="00532D35"/>
    <w:rsid w:val="00533264"/>
    <w:rsid w:val="00534AAC"/>
    <w:rsid w:val="00534D41"/>
    <w:rsid w:val="0053519E"/>
    <w:rsid w:val="00535D3F"/>
    <w:rsid w:val="00536053"/>
    <w:rsid w:val="005360F7"/>
    <w:rsid w:val="00536353"/>
    <w:rsid w:val="00536973"/>
    <w:rsid w:val="005400B6"/>
    <w:rsid w:val="005406A6"/>
    <w:rsid w:val="00540794"/>
    <w:rsid w:val="00540C70"/>
    <w:rsid w:val="005413B7"/>
    <w:rsid w:val="00541C39"/>
    <w:rsid w:val="0054205E"/>
    <w:rsid w:val="00542260"/>
    <w:rsid w:val="005429D6"/>
    <w:rsid w:val="00542D14"/>
    <w:rsid w:val="0054375F"/>
    <w:rsid w:val="00544332"/>
    <w:rsid w:val="00544441"/>
    <w:rsid w:val="00545DA9"/>
    <w:rsid w:val="00546284"/>
    <w:rsid w:val="005464B5"/>
    <w:rsid w:val="005467C4"/>
    <w:rsid w:val="00546E8F"/>
    <w:rsid w:val="005472E7"/>
    <w:rsid w:val="00547CC9"/>
    <w:rsid w:val="00547EC5"/>
    <w:rsid w:val="00550641"/>
    <w:rsid w:val="0055087C"/>
    <w:rsid w:val="005508E3"/>
    <w:rsid w:val="00550B66"/>
    <w:rsid w:val="00550FDB"/>
    <w:rsid w:val="00551856"/>
    <w:rsid w:val="00551A06"/>
    <w:rsid w:val="00552DD1"/>
    <w:rsid w:val="0055305D"/>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E59"/>
    <w:rsid w:val="005608AF"/>
    <w:rsid w:val="00560ED1"/>
    <w:rsid w:val="00560F19"/>
    <w:rsid w:val="005614A1"/>
    <w:rsid w:val="005615FB"/>
    <w:rsid w:val="005618B1"/>
    <w:rsid w:val="005619CC"/>
    <w:rsid w:val="005621C7"/>
    <w:rsid w:val="005622B9"/>
    <w:rsid w:val="0056241B"/>
    <w:rsid w:val="00562DA0"/>
    <w:rsid w:val="00562EE1"/>
    <w:rsid w:val="005630DA"/>
    <w:rsid w:val="00563481"/>
    <w:rsid w:val="00563E89"/>
    <w:rsid w:val="005641E6"/>
    <w:rsid w:val="0056445A"/>
    <w:rsid w:val="005652A6"/>
    <w:rsid w:val="0056539A"/>
    <w:rsid w:val="005654AB"/>
    <w:rsid w:val="0056770C"/>
    <w:rsid w:val="0056780A"/>
    <w:rsid w:val="00567A22"/>
    <w:rsid w:val="00567AEB"/>
    <w:rsid w:val="00567E86"/>
    <w:rsid w:val="005700D5"/>
    <w:rsid w:val="0057011B"/>
    <w:rsid w:val="0057095D"/>
    <w:rsid w:val="00570D75"/>
    <w:rsid w:val="005719E1"/>
    <w:rsid w:val="00571B0E"/>
    <w:rsid w:val="00571B93"/>
    <w:rsid w:val="00571DFF"/>
    <w:rsid w:val="0057209F"/>
    <w:rsid w:val="005720CD"/>
    <w:rsid w:val="005722B1"/>
    <w:rsid w:val="005724A7"/>
    <w:rsid w:val="00572876"/>
    <w:rsid w:val="00572E1C"/>
    <w:rsid w:val="005732D4"/>
    <w:rsid w:val="0057350F"/>
    <w:rsid w:val="00573723"/>
    <w:rsid w:val="00573D54"/>
    <w:rsid w:val="00574199"/>
    <w:rsid w:val="00574200"/>
    <w:rsid w:val="005748DD"/>
    <w:rsid w:val="00574A82"/>
    <w:rsid w:val="005754B2"/>
    <w:rsid w:val="00575F90"/>
    <w:rsid w:val="00576339"/>
    <w:rsid w:val="005772E9"/>
    <w:rsid w:val="00580014"/>
    <w:rsid w:val="005803AA"/>
    <w:rsid w:val="0058044E"/>
    <w:rsid w:val="0058189B"/>
    <w:rsid w:val="00581B97"/>
    <w:rsid w:val="00581DDB"/>
    <w:rsid w:val="00582158"/>
    <w:rsid w:val="00582311"/>
    <w:rsid w:val="0058249F"/>
    <w:rsid w:val="00582DAB"/>
    <w:rsid w:val="005836AE"/>
    <w:rsid w:val="005840B5"/>
    <w:rsid w:val="00584353"/>
    <w:rsid w:val="005844BA"/>
    <w:rsid w:val="00584590"/>
    <w:rsid w:val="00584847"/>
    <w:rsid w:val="005850C6"/>
    <w:rsid w:val="005851D2"/>
    <w:rsid w:val="00585598"/>
    <w:rsid w:val="00585DE0"/>
    <w:rsid w:val="0058609A"/>
    <w:rsid w:val="00586850"/>
    <w:rsid w:val="00586C57"/>
    <w:rsid w:val="00586C9F"/>
    <w:rsid w:val="0058764D"/>
    <w:rsid w:val="0058778F"/>
    <w:rsid w:val="0058789D"/>
    <w:rsid w:val="005878F1"/>
    <w:rsid w:val="00587B5C"/>
    <w:rsid w:val="005900C3"/>
    <w:rsid w:val="005903ED"/>
    <w:rsid w:val="00590682"/>
    <w:rsid w:val="00590A32"/>
    <w:rsid w:val="005926CF"/>
    <w:rsid w:val="0059271B"/>
    <w:rsid w:val="00592C92"/>
    <w:rsid w:val="005930DC"/>
    <w:rsid w:val="0059317B"/>
    <w:rsid w:val="0059324A"/>
    <w:rsid w:val="00593DF2"/>
    <w:rsid w:val="00594A83"/>
    <w:rsid w:val="00595091"/>
    <w:rsid w:val="00595B3F"/>
    <w:rsid w:val="00595DA6"/>
    <w:rsid w:val="00595F6B"/>
    <w:rsid w:val="00596135"/>
    <w:rsid w:val="005961EE"/>
    <w:rsid w:val="00596373"/>
    <w:rsid w:val="005967E1"/>
    <w:rsid w:val="00596985"/>
    <w:rsid w:val="00596AAD"/>
    <w:rsid w:val="0059705D"/>
    <w:rsid w:val="005975BE"/>
    <w:rsid w:val="005977CA"/>
    <w:rsid w:val="005A0858"/>
    <w:rsid w:val="005A2BB5"/>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2DD4"/>
    <w:rsid w:val="005B3251"/>
    <w:rsid w:val="005B32CC"/>
    <w:rsid w:val="005B338F"/>
    <w:rsid w:val="005B35D9"/>
    <w:rsid w:val="005B394D"/>
    <w:rsid w:val="005B4053"/>
    <w:rsid w:val="005B43FA"/>
    <w:rsid w:val="005B467C"/>
    <w:rsid w:val="005B4DA0"/>
    <w:rsid w:val="005B4FC9"/>
    <w:rsid w:val="005B5035"/>
    <w:rsid w:val="005B52B9"/>
    <w:rsid w:val="005B58AF"/>
    <w:rsid w:val="005B6485"/>
    <w:rsid w:val="005B656C"/>
    <w:rsid w:val="005B77C2"/>
    <w:rsid w:val="005B7FA5"/>
    <w:rsid w:val="005C0171"/>
    <w:rsid w:val="005C0205"/>
    <w:rsid w:val="005C0326"/>
    <w:rsid w:val="005C0ABA"/>
    <w:rsid w:val="005C1561"/>
    <w:rsid w:val="005C2247"/>
    <w:rsid w:val="005C2473"/>
    <w:rsid w:val="005C2DB3"/>
    <w:rsid w:val="005C2DCD"/>
    <w:rsid w:val="005C3A4F"/>
    <w:rsid w:val="005C474A"/>
    <w:rsid w:val="005C478A"/>
    <w:rsid w:val="005C4867"/>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2600"/>
    <w:rsid w:val="005D447B"/>
    <w:rsid w:val="005D49D1"/>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606D"/>
    <w:rsid w:val="005E6378"/>
    <w:rsid w:val="005E69CF"/>
    <w:rsid w:val="005E701B"/>
    <w:rsid w:val="005E7898"/>
    <w:rsid w:val="005F059A"/>
    <w:rsid w:val="005F08DF"/>
    <w:rsid w:val="005F0B1C"/>
    <w:rsid w:val="005F14B8"/>
    <w:rsid w:val="005F1634"/>
    <w:rsid w:val="005F175C"/>
    <w:rsid w:val="005F1A7C"/>
    <w:rsid w:val="005F1CA1"/>
    <w:rsid w:val="005F1D23"/>
    <w:rsid w:val="005F23E8"/>
    <w:rsid w:val="005F245B"/>
    <w:rsid w:val="005F298B"/>
    <w:rsid w:val="005F2B6E"/>
    <w:rsid w:val="005F3094"/>
    <w:rsid w:val="005F345E"/>
    <w:rsid w:val="005F3C04"/>
    <w:rsid w:val="005F3F49"/>
    <w:rsid w:val="005F44DC"/>
    <w:rsid w:val="005F4CB6"/>
    <w:rsid w:val="005F509C"/>
    <w:rsid w:val="005F5371"/>
    <w:rsid w:val="005F549E"/>
    <w:rsid w:val="005F57D5"/>
    <w:rsid w:val="005F5A1C"/>
    <w:rsid w:val="005F5C4A"/>
    <w:rsid w:val="005F5D0B"/>
    <w:rsid w:val="005F6186"/>
    <w:rsid w:val="005F6479"/>
    <w:rsid w:val="005F6937"/>
    <w:rsid w:val="005F6AB2"/>
    <w:rsid w:val="005F6F1E"/>
    <w:rsid w:val="005F7307"/>
    <w:rsid w:val="005F745A"/>
    <w:rsid w:val="005F7581"/>
    <w:rsid w:val="0060078F"/>
    <w:rsid w:val="006009EE"/>
    <w:rsid w:val="00601008"/>
    <w:rsid w:val="006014E0"/>
    <w:rsid w:val="00601814"/>
    <w:rsid w:val="006023CC"/>
    <w:rsid w:val="006026E8"/>
    <w:rsid w:val="006028D2"/>
    <w:rsid w:val="00602F4B"/>
    <w:rsid w:val="006030DE"/>
    <w:rsid w:val="006037F6"/>
    <w:rsid w:val="00603DB7"/>
    <w:rsid w:val="00603E3A"/>
    <w:rsid w:val="00604A1D"/>
    <w:rsid w:val="00604AE9"/>
    <w:rsid w:val="006051C3"/>
    <w:rsid w:val="0060538D"/>
    <w:rsid w:val="00605764"/>
    <w:rsid w:val="00605D0E"/>
    <w:rsid w:val="006066F9"/>
    <w:rsid w:val="006075DA"/>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17F91"/>
    <w:rsid w:val="0062058C"/>
    <w:rsid w:val="00620656"/>
    <w:rsid w:val="00620682"/>
    <w:rsid w:val="00620B27"/>
    <w:rsid w:val="00620B35"/>
    <w:rsid w:val="0062125C"/>
    <w:rsid w:val="00621323"/>
    <w:rsid w:val="00621521"/>
    <w:rsid w:val="006220DB"/>
    <w:rsid w:val="006223F3"/>
    <w:rsid w:val="006224D4"/>
    <w:rsid w:val="00622728"/>
    <w:rsid w:val="006229DC"/>
    <w:rsid w:val="00622CAD"/>
    <w:rsid w:val="00622D74"/>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1B81"/>
    <w:rsid w:val="006326B1"/>
    <w:rsid w:val="00632C14"/>
    <w:rsid w:val="00632C34"/>
    <w:rsid w:val="00632F22"/>
    <w:rsid w:val="00633037"/>
    <w:rsid w:val="006338D1"/>
    <w:rsid w:val="00633A4B"/>
    <w:rsid w:val="00633B80"/>
    <w:rsid w:val="00633EC8"/>
    <w:rsid w:val="006340C3"/>
    <w:rsid w:val="00634BA4"/>
    <w:rsid w:val="00634E1D"/>
    <w:rsid w:val="00634F27"/>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1C00"/>
    <w:rsid w:val="0065409B"/>
    <w:rsid w:val="00654865"/>
    <w:rsid w:val="00654D83"/>
    <w:rsid w:val="00654DAE"/>
    <w:rsid w:val="00655499"/>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2F5A"/>
    <w:rsid w:val="00663EE1"/>
    <w:rsid w:val="006647F6"/>
    <w:rsid w:val="00664F4A"/>
    <w:rsid w:val="0066589A"/>
    <w:rsid w:val="00665967"/>
    <w:rsid w:val="00665B6C"/>
    <w:rsid w:val="00666424"/>
    <w:rsid w:val="006668C0"/>
    <w:rsid w:val="00666E4D"/>
    <w:rsid w:val="006678F8"/>
    <w:rsid w:val="00670358"/>
    <w:rsid w:val="00670956"/>
    <w:rsid w:val="00671EB3"/>
    <w:rsid w:val="00672C58"/>
    <w:rsid w:val="0067315D"/>
    <w:rsid w:val="006732A1"/>
    <w:rsid w:val="00673896"/>
    <w:rsid w:val="006738D5"/>
    <w:rsid w:val="00673F52"/>
    <w:rsid w:val="00674520"/>
    <w:rsid w:val="00674625"/>
    <w:rsid w:val="006747FA"/>
    <w:rsid w:val="00674838"/>
    <w:rsid w:val="00674E3D"/>
    <w:rsid w:val="00675004"/>
    <w:rsid w:val="00675224"/>
    <w:rsid w:val="006756D8"/>
    <w:rsid w:val="00675806"/>
    <w:rsid w:val="00675DF9"/>
    <w:rsid w:val="00675F6C"/>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0FDE"/>
    <w:rsid w:val="00691951"/>
    <w:rsid w:val="0069207E"/>
    <w:rsid w:val="00692196"/>
    <w:rsid w:val="00692672"/>
    <w:rsid w:val="00692C2F"/>
    <w:rsid w:val="00692F7E"/>
    <w:rsid w:val="00693883"/>
    <w:rsid w:val="0069419F"/>
    <w:rsid w:val="00694719"/>
    <w:rsid w:val="006953CE"/>
    <w:rsid w:val="00695914"/>
    <w:rsid w:val="006961B3"/>
    <w:rsid w:val="00696505"/>
    <w:rsid w:val="00697005"/>
    <w:rsid w:val="0069703F"/>
    <w:rsid w:val="006A072D"/>
    <w:rsid w:val="006A0F85"/>
    <w:rsid w:val="006A1F57"/>
    <w:rsid w:val="006A2A7C"/>
    <w:rsid w:val="006A2F0A"/>
    <w:rsid w:val="006A3AAC"/>
    <w:rsid w:val="006A3AB3"/>
    <w:rsid w:val="006A4076"/>
    <w:rsid w:val="006A46FD"/>
    <w:rsid w:val="006A4C6A"/>
    <w:rsid w:val="006A580F"/>
    <w:rsid w:val="006A5F25"/>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2F"/>
    <w:rsid w:val="006B4AD1"/>
    <w:rsid w:val="006B50A0"/>
    <w:rsid w:val="006B6F09"/>
    <w:rsid w:val="006B6F9D"/>
    <w:rsid w:val="006B7036"/>
    <w:rsid w:val="006B7041"/>
    <w:rsid w:val="006C00BC"/>
    <w:rsid w:val="006C01F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4FDB"/>
    <w:rsid w:val="006C537B"/>
    <w:rsid w:val="006C5A90"/>
    <w:rsid w:val="006C5F09"/>
    <w:rsid w:val="006C6EBF"/>
    <w:rsid w:val="006C6F5B"/>
    <w:rsid w:val="006C74F7"/>
    <w:rsid w:val="006C7B0B"/>
    <w:rsid w:val="006C7B86"/>
    <w:rsid w:val="006C7DDB"/>
    <w:rsid w:val="006C7F5D"/>
    <w:rsid w:val="006D0200"/>
    <w:rsid w:val="006D123A"/>
    <w:rsid w:val="006D15E7"/>
    <w:rsid w:val="006D1C43"/>
    <w:rsid w:val="006D1CD3"/>
    <w:rsid w:val="006D233D"/>
    <w:rsid w:val="006D26EF"/>
    <w:rsid w:val="006D3039"/>
    <w:rsid w:val="006D3B72"/>
    <w:rsid w:val="006D40FC"/>
    <w:rsid w:val="006D4EDD"/>
    <w:rsid w:val="006D4EFE"/>
    <w:rsid w:val="006D5187"/>
    <w:rsid w:val="006D51AD"/>
    <w:rsid w:val="006D6846"/>
    <w:rsid w:val="006D6C36"/>
    <w:rsid w:val="006D6FCB"/>
    <w:rsid w:val="006D7744"/>
    <w:rsid w:val="006D7ED4"/>
    <w:rsid w:val="006E0319"/>
    <w:rsid w:val="006E0400"/>
    <w:rsid w:val="006E0F38"/>
    <w:rsid w:val="006E1040"/>
    <w:rsid w:val="006E14E0"/>
    <w:rsid w:val="006E1B0B"/>
    <w:rsid w:val="006E2089"/>
    <w:rsid w:val="006E20E4"/>
    <w:rsid w:val="006E2A62"/>
    <w:rsid w:val="006E2DF5"/>
    <w:rsid w:val="006E2F8E"/>
    <w:rsid w:val="006E3177"/>
    <w:rsid w:val="006E3A5C"/>
    <w:rsid w:val="006E4B89"/>
    <w:rsid w:val="006E5322"/>
    <w:rsid w:val="006E5709"/>
    <w:rsid w:val="006E5F54"/>
    <w:rsid w:val="006E6084"/>
    <w:rsid w:val="006E60AC"/>
    <w:rsid w:val="006E6116"/>
    <w:rsid w:val="006E61CF"/>
    <w:rsid w:val="006E63B9"/>
    <w:rsid w:val="006E6F42"/>
    <w:rsid w:val="006E71DC"/>
    <w:rsid w:val="006E72EA"/>
    <w:rsid w:val="006E7E73"/>
    <w:rsid w:val="006F03A8"/>
    <w:rsid w:val="006F03CF"/>
    <w:rsid w:val="006F130E"/>
    <w:rsid w:val="006F1DE2"/>
    <w:rsid w:val="006F27B8"/>
    <w:rsid w:val="006F2A4B"/>
    <w:rsid w:val="006F2C18"/>
    <w:rsid w:val="006F3504"/>
    <w:rsid w:val="006F4E1D"/>
    <w:rsid w:val="006F5275"/>
    <w:rsid w:val="006F57E5"/>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439"/>
    <w:rsid w:val="00710790"/>
    <w:rsid w:val="00710D3E"/>
    <w:rsid w:val="007113C6"/>
    <w:rsid w:val="0071174F"/>
    <w:rsid w:val="007118A5"/>
    <w:rsid w:val="007120F1"/>
    <w:rsid w:val="0071292F"/>
    <w:rsid w:val="00712BDE"/>
    <w:rsid w:val="00713129"/>
    <w:rsid w:val="007132CF"/>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594"/>
    <w:rsid w:val="00717DDA"/>
    <w:rsid w:val="007201BA"/>
    <w:rsid w:val="007202C1"/>
    <w:rsid w:val="007203BD"/>
    <w:rsid w:val="00720798"/>
    <w:rsid w:val="007207F1"/>
    <w:rsid w:val="00720BA1"/>
    <w:rsid w:val="007210DD"/>
    <w:rsid w:val="00721111"/>
    <w:rsid w:val="00721D7F"/>
    <w:rsid w:val="00721EBD"/>
    <w:rsid w:val="007228E1"/>
    <w:rsid w:val="00722F3F"/>
    <w:rsid w:val="00722F7D"/>
    <w:rsid w:val="0072321D"/>
    <w:rsid w:val="0072384C"/>
    <w:rsid w:val="00724583"/>
    <w:rsid w:val="007248B2"/>
    <w:rsid w:val="00724966"/>
    <w:rsid w:val="00724B12"/>
    <w:rsid w:val="00724FBD"/>
    <w:rsid w:val="00725F6B"/>
    <w:rsid w:val="007261B5"/>
    <w:rsid w:val="00726390"/>
    <w:rsid w:val="0072688B"/>
    <w:rsid w:val="00726F7C"/>
    <w:rsid w:val="00727175"/>
    <w:rsid w:val="00727EE5"/>
    <w:rsid w:val="007306C9"/>
    <w:rsid w:val="00730BCD"/>
    <w:rsid w:val="00730F4F"/>
    <w:rsid w:val="00731EAE"/>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37A6D"/>
    <w:rsid w:val="007402A1"/>
    <w:rsid w:val="00740836"/>
    <w:rsid w:val="00740FF4"/>
    <w:rsid w:val="00741389"/>
    <w:rsid w:val="007424CA"/>
    <w:rsid w:val="007427DE"/>
    <w:rsid w:val="00742D29"/>
    <w:rsid w:val="00742F97"/>
    <w:rsid w:val="007431D3"/>
    <w:rsid w:val="00743442"/>
    <w:rsid w:val="00743452"/>
    <w:rsid w:val="00743B22"/>
    <w:rsid w:val="0074421F"/>
    <w:rsid w:val="007442CF"/>
    <w:rsid w:val="00744E26"/>
    <w:rsid w:val="00744FC1"/>
    <w:rsid w:val="00745380"/>
    <w:rsid w:val="00745422"/>
    <w:rsid w:val="007454D2"/>
    <w:rsid w:val="00746938"/>
    <w:rsid w:val="0074747A"/>
    <w:rsid w:val="007478F9"/>
    <w:rsid w:val="00747AF3"/>
    <w:rsid w:val="00747C39"/>
    <w:rsid w:val="00750151"/>
    <w:rsid w:val="0075038A"/>
    <w:rsid w:val="007506A4"/>
    <w:rsid w:val="00750911"/>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2B50"/>
    <w:rsid w:val="00763C7D"/>
    <w:rsid w:val="00763D23"/>
    <w:rsid w:val="00764B35"/>
    <w:rsid w:val="007672CB"/>
    <w:rsid w:val="00767AB4"/>
    <w:rsid w:val="00767E79"/>
    <w:rsid w:val="00770126"/>
    <w:rsid w:val="007703D3"/>
    <w:rsid w:val="00770D8A"/>
    <w:rsid w:val="00771668"/>
    <w:rsid w:val="00771700"/>
    <w:rsid w:val="0077220F"/>
    <w:rsid w:val="00773954"/>
    <w:rsid w:val="00773B29"/>
    <w:rsid w:val="00773F07"/>
    <w:rsid w:val="0077407C"/>
    <w:rsid w:val="007756C8"/>
    <w:rsid w:val="007757D7"/>
    <w:rsid w:val="00775CDC"/>
    <w:rsid w:val="00775EBF"/>
    <w:rsid w:val="00776190"/>
    <w:rsid w:val="007761BE"/>
    <w:rsid w:val="007762D3"/>
    <w:rsid w:val="007766B0"/>
    <w:rsid w:val="007768AB"/>
    <w:rsid w:val="00776AA2"/>
    <w:rsid w:val="00776B69"/>
    <w:rsid w:val="007772BB"/>
    <w:rsid w:val="00777429"/>
    <w:rsid w:val="00777696"/>
    <w:rsid w:val="00780F68"/>
    <w:rsid w:val="0078112C"/>
    <w:rsid w:val="00781295"/>
    <w:rsid w:val="00781ECB"/>
    <w:rsid w:val="00781F4D"/>
    <w:rsid w:val="00782A20"/>
    <w:rsid w:val="007838D8"/>
    <w:rsid w:val="007841E3"/>
    <w:rsid w:val="00784241"/>
    <w:rsid w:val="00784255"/>
    <w:rsid w:val="007842BB"/>
    <w:rsid w:val="0078567E"/>
    <w:rsid w:val="00785B10"/>
    <w:rsid w:val="00785FB2"/>
    <w:rsid w:val="007870ED"/>
    <w:rsid w:val="00787282"/>
    <w:rsid w:val="007872C6"/>
    <w:rsid w:val="007873AB"/>
    <w:rsid w:val="007873FA"/>
    <w:rsid w:val="00787EBA"/>
    <w:rsid w:val="007903C6"/>
    <w:rsid w:val="007907C6"/>
    <w:rsid w:val="007908E8"/>
    <w:rsid w:val="00790DB9"/>
    <w:rsid w:val="00790DC1"/>
    <w:rsid w:val="00791206"/>
    <w:rsid w:val="007915D1"/>
    <w:rsid w:val="00791B15"/>
    <w:rsid w:val="00791CA7"/>
    <w:rsid w:val="00791CB8"/>
    <w:rsid w:val="00791E4B"/>
    <w:rsid w:val="007922B8"/>
    <w:rsid w:val="007923E9"/>
    <w:rsid w:val="007929D7"/>
    <w:rsid w:val="007932E1"/>
    <w:rsid w:val="007934AB"/>
    <w:rsid w:val="00793A9C"/>
    <w:rsid w:val="00793F34"/>
    <w:rsid w:val="0079473D"/>
    <w:rsid w:val="0079490A"/>
    <w:rsid w:val="007950F8"/>
    <w:rsid w:val="0079531D"/>
    <w:rsid w:val="0079539B"/>
    <w:rsid w:val="00795944"/>
    <w:rsid w:val="007977C0"/>
    <w:rsid w:val="007979D2"/>
    <w:rsid w:val="007A04C9"/>
    <w:rsid w:val="007A064E"/>
    <w:rsid w:val="007A15BA"/>
    <w:rsid w:val="007A191D"/>
    <w:rsid w:val="007A1A61"/>
    <w:rsid w:val="007A2087"/>
    <w:rsid w:val="007A2221"/>
    <w:rsid w:val="007A2D90"/>
    <w:rsid w:val="007A2E34"/>
    <w:rsid w:val="007A2EA1"/>
    <w:rsid w:val="007A2F77"/>
    <w:rsid w:val="007A313A"/>
    <w:rsid w:val="007A35E4"/>
    <w:rsid w:val="007A39E7"/>
    <w:rsid w:val="007A3C6F"/>
    <w:rsid w:val="007A47E6"/>
    <w:rsid w:val="007A48C8"/>
    <w:rsid w:val="007A4AB7"/>
    <w:rsid w:val="007A516B"/>
    <w:rsid w:val="007A5A0C"/>
    <w:rsid w:val="007A611F"/>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9FD"/>
    <w:rsid w:val="007C1A06"/>
    <w:rsid w:val="007C337C"/>
    <w:rsid w:val="007C348F"/>
    <w:rsid w:val="007C3972"/>
    <w:rsid w:val="007C3A55"/>
    <w:rsid w:val="007C3A73"/>
    <w:rsid w:val="007C3D34"/>
    <w:rsid w:val="007C439F"/>
    <w:rsid w:val="007C46D5"/>
    <w:rsid w:val="007C4928"/>
    <w:rsid w:val="007C4B84"/>
    <w:rsid w:val="007C5106"/>
    <w:rsid w:val="007C5314"/>
    <w:rsid w:val="007C531C"/>
    <w:rsid w:val="007C5473"/>
    <w:rsid w:val="007C6205"/>
    <w:rsid w:val="007C6221"/>
    <w:rsid w:val="007C653E"/>
    <w:rsid w:val="007C6630"/>
    <w:rsid w:val="007C74E9"/>
    <w:rsid w:val="007C77A8"/>
    <w:rsid w:val="007C7A10"/>
    <w:rsid w:val="007C7A2E"/>
    <w:rsid w:val="007C7BEC"/>
    <w:rsid w:val="007D04F0"/>
    <w:rsid w:val="007D0A1D"/>
    <w:rsid w:val="007D0BB0"/>
    <w:rsid w:val="007D0C0F"/>
    <w:rsid w:val="007D17C8"/>
    <w:rsid w:val="007D1BA1"/>
    <w:rsid w:val="007D1E31"/>
    <w:rsid w:val="007D20C3"/>
    <w:rsid w:val="007D32DF"/>
    <w:rsid w:val="007D3C4A"/>
    <w:rsid w:val="007D3F2C"/>
    <w:rsid w:val="007D4499"/>
    <w:rsid w:val="007D458A"/>
    <w:rsid w:val="007D4A40"/>
    <w:rsid w:val="007D526D"/>
    <w:rsid w:val="007D52E6"/>
    <w:rsid w:val="007D58CE"/>
    <w:rsid w:val="007D591E"/>
    <w:rsid w:val="007D61CF"/>
    <w:rsid w:val="007D65E5"/>
    <w:rsid w:val="007D6E69"/>
    <w:rsid w:val="007D70E2"/>
    <w:rsid w:val="007D7302"/>
    <w:rsid w:val="007D7A30"/>
    <w:rsid w:val="007D7B99"/>
    <w:rsid w:val="007D7D5A"/>
    <w:rsid w:val="007D7FE1"/>
    <w:rsid w:val="007E009C"/>
    <w:rsid w:val="007E0947"/>
    <w:rsid w:val="007E1155"/>
    <w:rsid w:val="007E17DD"/>
    <w:rsid w:val="007E19C1"/>
    <w:rsid w:val="007E1B37"/>
    <w:rsid w:val="007E1D6F"/>
    <w:rsid w:val="007E2034"/>
    <w:rsid w:val="007E298B"/>
    <w:rsid w:val="007E2B4F"/>
    <w:rsid w:val="007E2EA1"/>
    <w:rsid w:val="007E2F79"/>
    <w:rsid w:val="007E3269"/>
    <w:rsid w:val="007E335B"/>
    <w:rsid w:val="007E35C3"/>
    <w:rsid w:val="007E3AEB"/>
    <w:rsid w:val="007E3C0F"/>
    <w:rsid w:val="007E3D0A"/>
    <w:rsid w:val="007E3EB4"/>
    <w:rsid w:val="007E4B3F"/>
    <w:rsid w:val="007E4D1E"/>
    <w:rsid w:val="007E58F7"/>
    <w:rsid w:val="007E6414"/>
    <w:rsid w:val="007E6EC5"/>
    <w:rsid w:val="007E7092"/>
    <w:rsid w:val="007E71AE"/>
    <w:rsid w:val="007E74BA"/>
    <w:rsid w:val="007E7D48"/>
    <w:rsid w:val="007F0F6A"/>
    <w:rsid w:val="007F103D"/>
    <w:rsid w:val="007F11C6"/>
    <w:rsid w:val="007F231F"/>
    <w:rsid w:val="007F35E0"/>
    <w:rsid w:val="007F3908"/>
    <w:rsid w:val="007F39F2"/>
    <w:rsid w:val="007F427D"/>
    <w:rsid w:val="007F4342"/>
    <w:rsid w:val="007F4358"/>
    <w:rsid w:val="007F43D1"/>
    <w:rsid w:val="007F446E"/>
    <w:rsid w:val="007F46DB"/>
    <w:rsid w:val="007F4BAC"/>
    <w:rsid w:val="007F4EBC"/>
    <w:rsid w:val="007F624D"/>
    <w:rsid w:val="007F6747"/>
    <w:rsid w:val="007F69CF"/>
    <w:rsid w:val="007F6D13"/>
    <w:rsid w:val="007F71D2"/>
    <w:rsid w:val="007F7753"/>
    <w:rsid w:val="007F7AAA"/>
    <w:rsid w:val="007F7C6E"/>
    <w:rsid w:val="00800120"/>
    <w:rsid w:val="008008CF"/>
    <w:rsid w:val="00800C4F"/>
    <w:rsid w:val="00800D13"/>
    <w:rsid w:val="00800E23"/>
    <w:rsid w:val="00800EB0"/>
    <w:rsid w:val="008018E1"/>
    <w:rsid w:val="00801BC4"/>
    <w:rsid w:val="00801C06"/>
    <w:rsid w:val="008022CF"/>
    <w:rsid w:val="008026B6"/>
    <w:rsid w:val="00802E3A"/>
    <w:rsid w:val="0080323F"/>
    <w:rsid w:val="008032A3"/>
    <w:rsid w:val="008038A7"/>
    <w:rsid w:val="008038AE"/>
    <w:rsid w:val="008038B3"/>
    <w:rsid w:val="00803989"/>
    <w:rsid w:val="0080406A"/>
    <w:rsid w:val="00804672"/>
    <w:rsid w:val="00804735"/>
    <w:rsid w:val="00804C13"/>
    <w:rsid w:val="00804F51"/>
    <w:rsid w:val="008052B7"/>
    <w:rsid w:val="00805EE1"/>
    <w:rsid w:val="00807D87"/>
    <w:rsid w:val="00810793"/>
    <w:rsid w:val="00810FE6"/>
    <w:rsid w:val="008112FB"/>
    <w:rsid w:val="008113DD"/>
    <w:rsid w:val="008115DF"/>
    <w:rsid w:val="00812735"/>
    <w:rsid w:val="00813398"/>
    <w:rsid w:val="00813681"/>
    <w:rsid w:val="0081372B"/>
    <w:rsid w:val="008139C7"/>
    <w:rsid w:val="008139EB"/>
    <w:rsid w:val="00814350"/>
    <w:rsid w:val="00814CAC"/>
    <w:rsid w:val="00814D3B"/>
    <w:rsid w:val="00814FAC"/>
    <w:rsid w:val="0081543A"/>
    <w:rsid w:val="008155B3"/>
    <w:rsid w:val="00815845"/>
    <w:rsid w:val="00815BE9"/>
    <w:rsid w:val="00815E56"/>
    <w:rsid w:val="00816524"/>
    <w:rsid w:val="008170ED"/>
    <w:rsid w:val="00817248"/>
    <w:rsid w:val="00817433"/>
    <w:rsid w:val="00817F25"/>
    <w:rsid w:val="008201EC"/>
    <w:rsid w:val="0082102D"/>
    <w:rsid w:val="00821BE4"/>
    <w:rsid w:val="00821E8F"/>
    <w:rsid w:val="0082259F"/>
    <w:rsid w:val="008225E9"/>
    <w:rsid w:val="00822883"/>
    <w:rsid w:val="0082294F"/>
    <w:rsid w:val="00822C29"/>
    <w:rsid w:val="00822F88"/>
    <w:rsid w:val="00823731"/>
    <w:rsid w:val="00823E91"/>
    <w:rsid w:val="00824293"/>
    <w:rsid w:val="00824E7D"/>
    <w:rsid w:val="00825022"/>
    <w:rsid w:val="00825DC8"/>
    <w:rsid w:val="00827DDF"/>
    <w:rsid w:val="00830640"/>
    <w:rsid w:val="00830955"/>
    <w:rsid w:val="00831560"/>
    <w:rsid w:val="0083186A"/>
    <w:rsid w:val="008319E1"/>
    <w:rsid w:val="00831FB7"/>
    <w:rsid w:val="008326CD"/>
    <w:rsid w:val="00832FFB"/>
    <w:rsid w:val="0083329F"/>
    <w:rsid w:val="0083364B"/>
    <w:rsid w:val="00834C8E"/>
    <w:rsid w:val="00835217"/>
    <w:rsid w:val="008358B6"/>
    <w:rsid w:val="00836CB6"/>
    <w:rsid w:val="00837602"/>
    <w:rsid w:val="00837DF7"/>
    <w:rsid w:val="00840B41"/>
    <w:rsid w:val="00841856"/>
    <w:rsid w:val="008419F0"/>
    <w:rsid w:val="00842208"/>
    <w:rsid w:val="008425FD"/>
    <w:rsid w:val="00842698"/>
    <w:rsid w:val="00843239"/>
    <w:rsid w:val="00843603"/>
    <w:rsid w:val="00843698"/>
    <w:rsid w:val="00845BCA"/>
    <w:rsid w:val="00846052"/>
    <w:rsid w:val="00846233"/>
    <w:rsid w:val="00846741"/>
    <w:rsid w:val="00846861"/>
    <w:rsid w:val="0084744E"/>
    <w:rsid w:val="008475CF"/>
    <w:rsid w:val="00847644"/>
    <w:rsid w:val="008476C4"/>
    <w:rsid w:val="00847873"/>
    <w:rsid w:val="00847C60"/>
    <w:rsid w:val="00850172"/>
    <w:rsid w:val="00850445"/>
    <w:rsid w:val="00850C01"/>
    <w:rsid w:val="00850E28"/>
    <w:rsid w:val="00851354"/>
    <w:rsid w:val="008515F2"/>
    <w:rsid w:val="00851D33"/>
    <w:rsid w:val="00851E10"/>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CA9"/>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227A"/>
    <w:rsid w:val="008638EE"/>
    <w:rsid w:val="008639EF"/>
    <w:rsid w:val="008653AD"/>
    <w:rsid w:val="0086555E"/>
    <w:rsid w:val="008656EA"/>
    <w:rsid w:val="00865707"/>
    <w:rsid w:val="00866CFD"/>
    <w:rsid w:val="00866FF8"/>
    <w:rsid w:val="00867DC7"/>
    <w:rsid w:val="00870000"/>
    <w:rsid w:val="00870255"/>
    <w:rsid w:val="0087083E"/>
    <w:rsid w:val="008709C0"/>
    <w:rsid w:val="00871A3F"/>
    <w:rsid w:val="00872111"/>
    <w:rsid w:val="00873161"/>
    <w:rsid w:val="0087351F"/>
    <w:rsid w:val="008736B9"/>
    <w:rsid w:val="00873D93"/>
    <w:rsid w:val="00873DDB"/>
    <w:rsid w:val="0087444C"/>
    <w:rsid w:val="008746E7"/>
    <w:rsid w:val="00874F0D"/>
    <w:rsid w:val="00875EAF"/>
    <w:rsid w:val="00876353"/>
    <w:rsid w:val="008764BE"/>
    <w:rsid w:val="008765C8"/>
    <w:rsid w:val="00876668"/>
    <w:rsid w:val="00876ED2"/>
    <w:rsid w:val="00876EE7"/>
    <w:rsid w:val="00876F08"/>
    <w:rsid w:val="00877254"/>
    <w:rsid w:val="00877319"/>
    <w:rsid w:val="008775A4"/>
    <w:rsid w:val="0087776B"/>
    <w:rsid w:val="008778BC"/>
    <w:rsid w:val="008811C8"/>
    <w:rsid w:val="008820FE"/>
    <w:rsid w:val="00882448"/>
    <w:rsid w:val="00883409"/>
    <w:rsid w:val="00883C2B"/>
    <w:rsid w:val="00884B5D"/>
    <w:rsid w:val="00886319"/>
    <w:rsid w:val="008863AC"/>
    <w:rsid w:val="008866A0"/>
    <w:rsid w:val="00886E10"/>
    <w:rsid w:val="008876AB"/>
    <w:rsid w:val="008877B6"/>
    <w:rsid w:val="00887A68"/>
    <w:rsid w:val="0089027B"/>
    <w:rsid w:val="00891263"/>
    <w:rsid w:val="008913DC"/>
    <w:rsid w:val="008915EA"/>
    <w:rsid w:val="00893364"/>
    <w:rsid w:val="00893451"/>
    <w:rsid w:val="0089355A"/>
    <w:rsid w:val="00893DCF"/>
    <w:rsid w:val="00894578"/>
    <w:rsid w:val="0089578B"/>
    <w:rsid w:val="00895D27"/>
    <w:rsid w:val="00896068"/>
    <w:rsid w:val="0089699D"/>
    <w:rsid w:val="00896C2F"/>
    <w:rsid w:val="008A00B8"/>
    <w:rsid w:val="008A0CD7"/>
    <w:rsid w:val="008A1181"/>
    <w:rsid w:val="008A142F"/>
    <w:rsid w:val="008A14D8"/>
    <w:rsid w:val="008A17B6"/>
    <w:rsid w:val="008A1996"/>
    <w:rsid w:val="008A1AED"/>
    <w:rsid w:val="008A1FE2"/>
    <w:rsid w:val="008A2775"/>
    <w:rsid w:val="008A28A4"/>
    <w:rsid w:val="008A29AE"/>
    <w:rsid w:val="008A2B1A"/>
    <w:rsid w:val="008A2C11"/>
    <w:rsid w:val="008A3208"/>
    <w:rsid w:val="008A35B5"/>
    <w:rsid w:val="008A3986"/>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37"/>
    <w:rsid w:val="008B2458"/>
    <w:rsid w:val="008B2920"/>
    <w:rsid w:val="008B2D03"/>
    <w:rsid w:val="008B2F2B"/>
    <w:rsid w:val="008B392C"/>
    <w:rsid w:val="008B3B7B"/>
    <w:rsid w:val="008B3C10"/>
    <w:rsid w:val="008B3ED0"/>
    <w:rsid w:val="008B4384"/>
    <w:rsid w:val="008B45DF"/>
    <w:rsid w:val="008B4722"/>
    <w:rsid w:val="008B4828"/>
    <w:rsid w:val="008B4B01"/>
    <w:rsid w:val="008B4B93"/>
    <w:rsid w:val="008B4D83"/>
    <w:rsid w:val="008B4EAF"/>
    <w:rsid w:val="008B4F51"/>
    <w:rsid w:val="008B508D"/>
    <w:rsid w:val="008B513D"/>
    <w:rsid w:val="008B528B"/>
    <w:rsid w:val="008B5479"/>
    <w:rsid w:val="008B5500"/>
    <w:rsid w:val="008B5563"/>
    <w:rsid w:val="008B615A"/>
    <w:rsid w:val="008B6225"/>
    <w:rsid w:val="008B63A7"/>
    <w:rsid w:val="008B64BE"/>
    <w:rsid w:val="008B687C"/>
    <w:rsid w:val="008B6DE7"/>
    <w:rsid w:val="008B70D8"/>
    <w:rsid w:val="008B7397"/>
    <w:rsid w:val="008B7417"/>
    <w:rsid w:val="008B788E"/>
    <w:rsid w:val="008C06A9"/>
    <w:rsid w:val="008C0824"/>
    <w:rsid w:val="008C085C"/>
    <w:rsid w:val="008C0878"/>
    <w:rsid w:val="008C0A86"/>
    <w:rsid w:val="008C0D85"/>
    <w:rsid w:val="008C0F45"/>
    <w:rsid w:val="008C14AF"/>
    <w:rsid w:val="008C15CC"/>
    <w:rsid w:val="008C1BA4"/>
    <w:rsid w:val="008C1D91"/>
    <w:rsid w:val="008C2133"/>
    <w:rsid w:val="008C2C21"/>
    <w:rsid w:val="008C3313"/>
    <w:rsid w:val="008C339D"/>
    <w:rsid w:val="008C36E4"/>
    <w:rsid w:val="008C3889"/>
    <w:rsid w:val="008C3F1D"/>
    <w:rsid w:val="008C4EFE"/>
    <w:rsid w:val="008C5F20"/>
    <w:rsid w:val="008C61D6"/>
    <w:rsid w:val="008C625B"/>
    <w:rsid w:val="008C683E"/>
    <w:rsid w:val="008C6D53"/>
    <w:rsid w:val="008C6F18"/>
    <w:rsid w:val="008C7253"/>
    <w:rsid w:val="008C7552"/>
    <w:rsid w:val="008C756A"/>
    <w:rsid w:val="008D03FD"/>
    <w:rsid w:val="008D0565"/>
    <w:rsid w:val="008D091F"/>
    <w:rsid w:val="008D0C4A"/>
    <w:rsid w:val="008D0CD8"/>
    <w:rsid w:val="008D1493"/>
    <w:rsid w:val="008D1655"/>
    <w:rsid w:val="008D1D1A"/>
    <w:rsid w:val="008D1E26"/>
    <w:rsid w:val="008D293A"/>
    <w:rsid w:val="008D2E4B"/>
    <w:rsid w:val="008D33CE"/>
    <w:rsid w:val="008D3F1D"/>
    <w:rsid w:val="008D4279"/>
    <w:rsid w:val="008D4453"/>
    <w:rsid w:val="008D4909"/>
    <w:rsid w:val="008D5203"/>
    <w:rsid w:val="008D54E4"/>
    <w:rsid w:val="008D5687"/>
    <w:rsid w:val="008D74A0"/>
    <w:rsid w:val="008E004C"/>
    <w:rsid w:val="008E0C43"/>
    <w:rsid w:val="008E1133"/>
    <w:rsid w:val="008E16A4"/>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791"/>
    <w:rsid w:val="008F2C51"/>
    <w:rsid w:val="008F380F"/>
    <w:rsid w:val="008F387C"/>
    <w:rsid w:val="008F403A"/>
    <w:rsid w:val="008F4A20"/>
    <w:rsid w:val="008F4C1F"/>
    <w:rsid w:val="008F4F45"/>
    <w:rsid w:val="008F51E6"/>
    <w:rsid w:val="008F5A0A"/>
    <w:rsid w:val="008F5F5C"/>
    <w:rsid w:val="008F60E2"/>
    <w:rsid w:val="008F6430"/>
    <w:rsid w:val="008F6AC5"/>
    <w:rsid w:val="008F6B4B"/>
    <w:rsid w:val="008F7011"/>
    <w:rsid w:val="008F70B6"/>
    <w:rsid w:val="008F7304"/>
    <w:rsid w:val="008F7542"/>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146"/>
    <w:rsid w:val="00904B72"/>
    <w:rsid w:val="00904D2D"/>
    <w:rsid w:val="0090509D"/>
    <w:rsid w:val="009058AB"/>
    <w:rsid w:val="009059FD"/>
    <w:rsid w:val="00906228"/>
    <w:rsid w:val="00907019"/>
    <w:rsid w:val="0090744B"/>
    <w:rsid w:val="00907BEF"/>
    <w:rsid w:val="0091000E"/>
    <w:rsid w:val="009103F2"/>
    <w:rsid w:val="009104B6"/>
    <w:rsid w:val="00910C3C"/>
    <w:rsid w:val="00910E98"/>
    <w:rsid w:val="00910FEE"/>
    <w:rsid w:val="0091127D"/>
    <w:rsid w:val="0091147C"/>
    <w:rsid w:val="009125C5"/>
    <w:rsid w:val="00912906"/>
    <w:rsid w:val="00912AC3"/>
    <w:rsid w:val="00912EDB"/>
    <w:rsid w:val="00913892"/>
    <w:rsid w:val="009144BB"/>
    <w:rsid w:val="0091456A"/>
    <w:rsid w:val="009149EE"/>
    <w:rsid w:val="00914E9F"/>
    <w:rsid w:val="00915400"/>
    <w:rsid w:val="00915524"/>
    <w:rsid w:val="0091554A"/>
    <w:rsid w:val="00915684"/>
    <w:rsid w:val="00915732"/>
    <w:rsid w:val="00915A79"/>
    <w:rsid w:val="00915C49"/>
    <w:rsid w:val="009160FC"/>
    <w:rsid w:val="009165DE"/>
    <w:rsid w:val="00916A41"/>
    <w:rsid w:val="00916D5D"/>
    <w:rsid w:val="00917165"/>
    <w:rsid w:val="00917983"/>
    <w:rsid w:val="00917B1D"/>
    <w:rsid w:val="00917E33"/>
    <w:rsid w:val="00917EFC"/>
    <w:rsid w:val="0092083B"/>
    <w:rsid w:val="00921CFD"/>
    <w:rsid w:val="009229D4"/>
    <w:rsid w:val="00922B40"/>
    <w:rsid w:val="009237B7"/>
    <w:rsid w:val="009243B0"/>
    <w:rsid w:val="00924887"/>
    <w:rsid w:val="009249C9"/>
    <w:rsid w:val="00924B54"/>
    <w:rsid w:val="00925AFE"/>
    <w:rsid w:val="00926A1F"/>
    <w:rsid w:val="00926BD0"/>
    <w:rsid w:val="00927270"/>
    <w:rsid w:val="00927487"/>
    <w:rsid w:val="009279EA"/>
    <w:rsid w:val="00927AE6"/>
    <w:rsid w:val="00927E96"/>
    <w:rsid w:val="009300FC"/>
    <w:rsid w:val="00930774"/>
    <w:rsid w:val="009308AC"/>
    <w:rsid w:val="0093158E"/>
    <w:rsid w:val="00931E93"/>
    <w:rsid w:val="00932327"/>
    <w:rsid w:val="00932A1C"/>
    <w:rsid w:val="009330E5"/>
    <w:rsid w:val="00933223"/>
    <w:rsid w:val="00933436"/>
    <w:rsid w:val="0093499C"/>
    <w:rsid w:val="00935460"/>
    <w:rsid w:val="0093623A"/>
    <w:rsid w:val="0093649A"/>
    <w:rsid w:val="00936CAF"/>
    <w:rsid w:val="00937874"/>
    <w:rsid w:val="009400A7"/>
    <w:rsid w:val="00940262"/>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F1"/>
    <w:rsid w:val="0095212A"/>
    <w:rsid w:val="00952B25"/>
    <w:rsid w:val="00952FE7"/>
    <w:rsid w:val="00954493"/>
    <w:rsid w:val="00954874"/>
    <w:rsid w:val="00954F5A"/>
    <w:rsid w:val="009551D0"/>
    <w:rsid w:val="0095541F"/>
    <w:rsid w:val="0095561B"/>
    <w:rsid w:val="00955A07"/>
    <w:rsid w:val="00955F36"/>
    <w:rsid w:val="0095638B"/>
    <w:rsid w:val="009565B6"/>
    <w:rsid w:val="0095660E"/>
    <w:rsid w:val="009567AD"/>
    <w:rsid w:val="009569FF"/>
    <w:rsid w:val="00956B89"/>
    <w:rsid w:val="00956D6A"/>
    <w:rsid w:val="00956FCB"/>
    <w:rsid w:val="009573CE"/>
    <w:rsid w:val="00957439"/>
    <w:rsid w:val="00957532"/>
    <w:rsid w:val="00957BDB"/>
    <w:rsid w:val="0096076F"/>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5649"/>
    <w:rsid w:val="00965BA4"/>
    <w:rsid w:val="00965CBA"/>
    <w:rsid w:val="00965D2F"/>
    <w:rsid w:val="00966108"/>
    <w:rsid w:val="00966318"/>
    <w:rsid w:val="009673F4"/>
    <w:rsid w:val="00970615"/>
    <w:rsid w:val="00970DCB"/>
    <w:rsid w:val="009712EF"/>
    <w:rsid w:val="0097226B"/>
    <w:rsid w:val="0097260D"/>
    <w:rsid w:val="009726C7"/>
    <w:rsid w:val="0097279A"/>
    <w:rsid w:val="00972F27"/>
    <w:rsid w:val="00973165"/>
    <w:rsid w:val="009739F3"/>
    <w:rsid w:val="00973A29"/>
    <w:rsid w:val="00973B53"/>
    <w:rsid w:val="00973E4B"/>
    <w:rsid w:val="00974332"/>
    <w:rsid w:val="00975306"/>
    <w:rsid w:val="00975D3C"/>
    <w:rsid w:val="00976A30"/>
    <w:rsid w:val="009772F1"/>
    <w:rsid w:val="00977779"/>
    <w:rsid w:val="0097787A"/>
    <w:rsid w:val="0097798C"/>
    <w:rsid w:val="00980589"/>
    <w:rsid w:val="0098089B"/>
    <w:rsid w:val="00980F3F"/>
    <w:rsid w:val="00981457"/>
    <w:rsid w:val="00981632"/>
    <w:rsid w:val="00981705"/>
    <w:rsid w:val="00981A44"/>
    <w:rsid w:val="009822AD"/>
    <w:rsid w:val="00982BDC"/>
    <w:rsid w:val="00982BE4"/>
    <w:rsid w:val="009838C3"/>
    <w:rsid w:val="00983A56"/>
    <w:rsid w:val="00984CAE"/>
    <w:rsid w:val="00984CF8"/>
    <w:rsid w:val="00984D4A"/>
    <w:rsid w:val="00985D17"/>
    <w:rsid w:val="00986B81"/>
    <w:rsid w:val="00986F00"/>
    <w:rsid w:val="0099054F"/>
    <w:rsid w:val="00991117"/>
    <w:rsid w:val="00991733"/>
    <w:rsid w:val="00991DDD"/>
    <w:rsid w:val="00992378"/>
    <w:rsid w:val="009924C0"/>
    <w:rsid w:val="00992780"/>
    <w:rsid w:val="00993B3E"/>
    <w:rsid w:val="00993D86"/>
    <w:rsid w:val="00994069"/>
    <w:rsid w:val="009940F1"/>
    <w:rsid w:val="009946E4"/>
    <w:rsid w:val="0099499B"/>
    <w:rsid w:val="00994B6D"/>
    <w:rsid w:val="0099689E"/>
    <w:rsid w:val="00996CB8"/>
    <w:rsid w:val="009974D6"/>
    <w:rsid w:val="00997A66"/>
    <w:rsid w:val="009A07CC"/>
    <w:rsid w:val="009A0A5C"/>
    <w:rsid w:val="009A0F87"/>
    <w:rsid w:val="009A1B4A"/>
    <w:rsid w:val="009A3077"/>
    <w:rsid w:val="009A389D"/>
    <w:rsid w:val="009A3951"/>
    <w:rsid w:val="009A3E38"/>
    <w:rsid w:val="009A3E89"/>
    <w:rsid w:val="009A4339"/>
    <w:rsid w:val="009A500B"/>
    <w:rsid w:val="009A5073"/>
    <w:rsid w:val="009A55E3"/>
    <w:rsid w:val="009A59F0"/>
    <w:rsid w:val="009A61DF"/>
    <w:rsid w:val="009A6562"/>
    <w:rsid w:val="009A6B51"/>
    <w:rsid w:val="009A6D8C"/>
    <w:rsid w:val="009A7B8B"/>
    <w:rsid w:val="009B00FA"/>
    <w:rsid w:val="009B06E0"/>
    <w:rsid w:val="009B0928"/>
    <w:rsid w:val="009B0968"/>
    <w:rsid w:val="009B0EE2"/>
    <w:rsid w:val="009B10E8"/>
    <w:rsid w:val="009B1809"/>
    <w:rsid w:val="009B217E"/>
    <w:rsid w:val="009B2B8D"/>
    <w:rsid w:val="009B2B97"/>
    <w:rsid w:val="009B2BC8"/>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247"/>
    <w:rsid w:val="009D2522"/>
    <w:rsid w:val="009D29DA"/>
    <w:rsid w:val="009D2AB1"/>
    <w:rsid w:val="009D32F1"/>
    <w:rsid w:val="009D33CB"/>
    <w:rsid w:val="009D3E90"/>
    <w:rsid w:val="009D4752"/>
    <w:rsid w:val="009D4D82"/>
    <w:rsid w:val="009D5588"/>
    <w:rsid w:val="009D61DB"/>
    <w:rsid w:val="009D6274"/>
    <w:rsid w:val="009D7076"/>
    <w:rsid w:val="009D7457"/>
    <w:rsid w:val="009D7CE6"/>
    <w:rsid w:val="009D7DCB"/>
    <w:rsid w:val="009D7E2D"/>
    <w:rsid w:val="009D7F5E"/>
    <w:rsid w:val="009E0360"/>
    <w:rsid w:val="009E039B"/>
    <w:rsid w:val="009E0473"/>
    <w:rsid w:val="009E054A"/>
    <w:rsid w:val="009E06B2"/>
    <w:rsid w:val="009E0A24"/>
    <w:rsid w:val="009E0BAB"/>
    <w:rsid w:val="009E0BB4"/>
    <w:rsid w:val="009E0D80"/>
    <w:rsid w:val="009E1636"/>
    <w:rsid w:val="009E1922"/>
    <w:rsid w:val="009E1E48"/>
    <w:rsid w:val="009E2159"/>
    <w:rsid w:val="009E216C"/>
    <w:rsid w:val="009E2393"/>
    <w:rsid w:val="009E23BD"/>
    <w:rsid w:val="009E26B0"/>
    <w:rsid w:val="009E2724"/>
    <w:rsid w:val="009E279C"/>
    <w:rsid w:val="009E2926"/>
    <w:rsid w:val="009E293F"/>
    <w:rsid w:val="009E2983"/>
    <w:rsid w:val="009E308D"/>
    <w:rsid w:val="009E429F"/>
    <w:rsid w:val="009E5F3C"/>
    <w:rsid w:val="009E6048"/>
    <w:rsid w:val="009E628D"/>
    <w:rsid w:val="009E637A"/>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5A73"/>
    <w:rsid w:val="009F6223"/>
    <w:rsid w:val="009F66BC"/>
    <w:rsid w:val="009F6EC1"/>
    <w:rsid w:val="009F79D6"/>
    <w:rsid w:val="009F7AEE"/>
    <w:rsid w:val="00A00428"/>
    <w:rsid w:val="00A00A16"/>
    <w:rsid w:val="00A020A4"/>
    <w:rsid w:val="00A02753"/>
    <w:rsid w:val="00A02E9A"/>
    <w:rsid w:val="00A02ED4"/>
    <w:rsid w:val="00A03101"/>
    <w:rsid w:val="00A03ED0"/>
    <w:rsid w:val="00A0420C"/>
    <w:rsid w:val="00A04480"/>
    <w:rsid w:val="00A0490B"/>
    <w:rsid w:val="00A04B0A"/>
    <w:rsid w:val="00A04D78"/>
    <w:rsid w:val="00A0567C"/>
    <w:rsid w:val="00A0622D"/>
    <w:rsid w:val="00A063C5"/>
    <w:rsid w:val="00A065F8"/>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2E59"/>
    <w:rsid w:val="00A13657"/>
    <w:rsid w:val="00A136B5"/>
    <w:rsid w:val="00A14279"/>
    <w:rsid w:val="00A14447"/>
    <w:rsid w:val="00A145F3"/>
    <w:rsid w:val="00A149A3"/>
    <w:rsid w:val="00A149D8"/>
    <w:rsid w:val="00A14BE9"/>
    <w:rsid w:val="00A14C5D"/>
    <w:rsid w:val="00A156BB"/>
    <w:rsid w:val="00A15C42"/>
    <w:rsid w:val="00A160AE"/>
    <w:rsid w:val="00A16F21"/>
    <w:rsid w:val="00A16FD4"/>
    <w:rsid w:val="00A1706C"/>
    <w:rsid w:val="00A178E0"/>
    <w:rsid w:val="00A179A5"/>
    <w:rsid w:val="00A17D60"/>
    <w:rsid w:val="00A204A8"/>
    <w:rsid w:val="00A204C9"/>
    <w:rsid w:val="00A2053A"/>
    <w:rsid w:val="00A206A1"/>
    <w:rsid w:val="00A2080C"/>
    <w:rsid w:val="00A20963"/>
    <w:rsid w:val="00A20C94"/>
    <w:rsid w:val="00A20F09"/>
    <w:rsid w:val="00A21040"/>
    <w:rsid w:val="00A2193B"/>
    <w:rsid w:val="00A21F94"/>
    <w:rsid w:val="00A22921"/>
    <w:rsid w:val="00A22BDA"/>
    <w:rsid w:val="00A23618"/>
    <w:rsid w:val="00A24336"/>
    <w:rsid w:val="00A24EA8"/>
    <w:rsid w:val="00A25150"/>
    <w:rsid w:val="00A25A51"/>
    <w:rsid w:val="00A25C1F"/>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1C66"/>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2AF"/>
    <w:rsid w:val="00A415E3"/>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AF"/>
    <w:rsid w:val="00A47CB1"/>
    <w:rsid w:val="00A500C5"/>
    <w:rsid w:val="00A50155"/>
    <w:rsid w:val="00A50ADC"/>
    <w:rsid w:val="00A50F2A"/>
    <w:rsid w:val="00A5195A"/>
    <w:rsid w:val="00A51A5F"/>
    <w:rsid w:val="00A52A68"/>
    <w:rsid w:val="00A52D5D"/>
    <w:rsid w:val="00A532DD"/>
    <w:rsid w:val="00A53484"/>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3B9"/>
    <w:rsid w:val="00A636EA"/>
    <w:rsid w:val="00A640BA"/>
    <w:rsid w:val="00A642C4"/>
    <w:rsid w:val="00A644C4"/>
    <w:rsid w:val="00A64985"/>
    <w:rsid w:val="00A649A9"/>
    <w:rsid w:val="00A64E5C"/>
    <w:rsid w:val="00A64E84"/>
    <w:rsid w:val="00A6552B"/>
    <w:rsid w:val="00A66D36"/>
    <w:rsid w:val="00A670AB"/>
    <w:rsid w:val="00A67362"/>
    <w:rsid w:val="00A67415"/>
    <w:rsid w:val="00A674EE"/>
    <w:rsid w:val="00A67626"/>
    <w:rsid w:val="00A6772E"/>
    <w:rsid w:val="00A67D12"/>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B89"/>
    <w:rsid w:val="00A8529B"/>
    <w:rsid w:val="00A85E3D"/>
    <w:rsid w:val="00A862CE"/>
    <w:rsid w:val="00A86AEA"/>
    <w:rsid w:val="00A86D0C"/>
    <w:rsid w:val="00A86D34"/>
    <w:rsid w:val="00A86E55"/>
    <w:rsid w:val="00A8785C"/>
    <w:rsid w:val="00A901EF"/>
    <w:rsid w:val="00A90413"/>
    <w:rsid w:val="00A90601"/>
    <w:rsid w:val="00A90DF0"/>
    <w:rsid w:val="00A91205"/>
    <w:rsid w:val="00A91A38"/>
    <w:rsid w:val="00A9260C"/>
    <w:rsid w:val="00A92C52"/>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37A"/>
    <w:rsid w:val="00A975CB"/>
    <w:rsid w:val="00AA018B"/>
    <w:rsid w:val="00AA04BA"/>
    <w:rsid w:val="00AA0D1E"/>
    <w:rsid w:val="00AA0F74"/>
    <w:rsid w:val="00AA1301"/>
    <w:rsid w:val="00AA18E2"/>
    <w:rsid w:val="00AA1EC4"/>
    <w:rsid w:val="00AA21EF"/>
    <w:rsid w:val="00AA293F"/>
    <w:rsid w:val="00AA2B3B"/>
    <w:rsid w:val="00AA2E34"/>
    <w:rsid w:val="00AA403A"/>
    <w:rsid w:val="00AA423B"/>
    <w:rsid w:val="00AA4B21"/>
    <w:rsid w:val="00AA4BF9"/>
    <w:rsid w:val="00AA4D96"/>
    <w:rsid w:val="00AA5440"/>
    <w:rsid w:val="00AA5DA2"/>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DF6"/>
    <w:rsid w:val="00AB5E9C"/>
    <w:rsid w:val="00AB716F"/>
    <w:rsid w:val="00AB793E"/>
    <w:rsid w:val="00AC0324"/>
    <w:rsid w:val="00AC04C1"/>
    <w:rsid w:val="00AC050C"/>
    <w:rsid w:val="00AC0DC7"/>
    <w:rsid w:val="00AC129D"/>
    <w:rsid w:val="00AC1BB9"/>
    <w:rsid w:val="00AC1C1E"/>
    <w:rsid w:val="00AC1EC2"/>
    <w:rsid w:val="00AC1FF2"/>
    <w:rsid w:val="00AC21F6"/>
    <w:rsid w:val="00AC3154"/>
    <w:rsid w:val="00AC3FE4"/>
    <w:rsid w:val="00AC4049"/>
    <w:rsid w:val="00AC41B9"/>
    <w:rsid w:val="00AC49FD"/>
    <w:rsid w:val="00AC4BA8"/>
    <w:rsid w:val="00AC595B"/>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4E2"/>
    <w:rsid w:val="00AD4835"/>
    <w:rsid w:val="00AD4F12"/>
    <w:rsid w:val="00AD5798"/>
    <w:rsid w:val="00AD5A59"/>
    <w:rsid w:val="00AD629A"/>
    <w:rsid w:val="00AD78FF"/>
    <w:rsid w:val="00AD7DBE"/>
    <w:rsid w:val="00AE0841"/>
    <w:rsid w:val="00AE0C56"/>
    <w:rsid w:val="00AE152F"/>
    <w:rsid w:val="00AE1C2D"/>
    <w:rsid w:val="00AE1EBE"/>
    <w:rsid w:val="00AE27CD"/>
    <w:rsid w:val="00AE3683"/>
    <w:rsid w:val="00AE3860"/>
    <w:rsid w:val="00AE3A43"/>
    <w:rsid w:val="00AE4075"/>
    <w:rsid w:val="00AE43FA"/>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E32"/>
    <w:rsid w:val="00AF1F47"/>
    <w:rsid w:val="00AF219E"/>
    <w:rsid w:val="00AF2341"/>
    <w:rsid w:val="00AF2E88"/>
    <w:rsid w:val="00AF36A2"/>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FD5"/>
    <w:rsid w:val="00B07370"/>
    <w:rsid w:val="00B07776"/>
    <w:rsid w:val="00B07C20"/>
    <w:rsid w:val="00B07FD8"/>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4B"/>
    <w:rsid w:val="00B16172"/>
    <w:rsid w:val="00B161A1"/>
    <w:rsid w:val="00B16579"/>
    <w:rsid w:val="00B1695F"/>
    <w:rsid w:val="00B16ACD"/>
    <w:rsid w:val="00B174B6"/>
    <w:rsid w:val="00B17BD9"/>
    <w:rsid w:val="00B17CEF"/>
    <w:rsid w:val="00B17F89"/>
    <w:rsid w:val="00B20293"/>
    <w:rsid w:val="00B20320"/>
    <w:rsid w:val="00B20BC1"/>
    <w:rsid w:val="00B21113"/>
    <w:rsid w:val="00B2180D"/>
    <w:rsid w:val="00B21BE6"/>
    <w:rsid w:val="00B21C3E"/>
    <w:rsid w:val="00B21E74"/>
    <w:rsid w:val="00B21F64"/>
    <w:rsid w:val="00B22224"/>
    <w:rsid w:val="00B223AE"/>
    <w:rsid w:val="00B22F35"/>
    <w:rsid w:val="00B2344A"/>
    <w:rsid w:val="00B23A73"/>
    <w:rsid w:val="00B2417B"/>
    <w:rsid w:val="00B24378"/>
    <w:rsid w:val="00B24EB2"/>
    <w:rsid w:val="00B257D1"/>
    <w:rsid w:val="00B262AF"/>
    <w:rsid w:val="00B26ED6"/>
    <w:rsid w:val="00B271CD"/>
    <w:rsid w:val="00B27E3D"/>
    <w:rsid w:val="00B30113"/>
    <w:rsid w:val="00B31338"/>
    <w:rsid w:val="00B315D0"/>
    <w:rsid w:val="00B31A1E"/>
    <w:rsid w:val="00B3235F"/>
    <w:rsid w:val="00B32479"/>
    <w:rsid w:val="00B32E5D"/>
    <w:rsid w:val="00B335D7"/>
    <w:rsid w:val="00B3395A"/>
    <w:rsid w:val="00B33C01"/>
    <w:rsid w:val="00B33FDC"/>
    <w:rsid w:val="00B35289"/>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4F05"/>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429"/>
    <w:rsid w:val="00B607B6"/>
    <w:rsid w:val="00B60EDB"/>
    <w:rsid w:val="00B61144"/>
    <w:rsid w:val="00B613C0"/>
    <w:rsid w:val="00B618AA"/>
    <w:rsid w:val="00B621BE"/>
    <w:rsid w:val="00B6262F"/>
    <w:rsid w:val="00B62C70"/>
    <w:rsid w:val="00B63076"/>
    <w:rsid w:val="00B63539"/>
    <w:rsid w:val="00B63E45"/>
    <w:rsid w:val="00B640C1"/>
    <w:rsid w:val="00B643B3"/>
    <w:rsid w:val="00B64522"/>
    <w:rsid w:val="00B64DA6"/>
    <w:rsid w:val="00B64E3E"/>
    <w:rsid w:val="00B64FEA"/>
    <w:rsid w:val="00B6507D"/>
    <w:rsid w:val="00B65154"/>
    <w:rsid w:val="00B65CBF"/>
    <w:rsid w:val="00B66208"/>
    <w:rsid w:val="00B66BFB"/>
    <w:rsid w:val="00B6721D"/>
    <w:rsid w:val="00B67730"/>
    <w:rsid w:val="00B702E0"/>
    <w:rsid w:val="00B70E3F"/>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92"/>
    <w:rsid w:val="00B75FFD"/>
    <w:rsid w:val="00B76475"/>
    <w:rsid w:val="00B76C9E"/>
    <w:rsid w:val="00B7703C"/>
    <w:rsid w:val="00B77695"/>
    <w:rsid w:val="00B77A62"/>
    <w:rsid w:val="00B802C6"/>
    <w:rsid w:val="00B8082D"/>
    <w:rsid w:val="00B81419"/>
    <w:rsid w:val="00B8147F"/>
    <w:rsid w:val="00B819F6"/>
    <w:rsid w:val="00B81B69"/>
    <w:rsid w:val="00B81EAD"/>
    <w:rsid w:val="00B81FD3"/>
    <w:rsid w:val="00B827D2"/>
    <w:rsid w:val="00B82ABB"/>
    <w:rsid w:val="00B8353D"/>
    <w:rsid w:val="00B8353E"/>
    <w:rsid w:val="00B83A5A"/>
    <w:rsid w:val="00B83BC9"/>
    <w:rsid w:val="00B83D33"/>
    <w:rsid w:val="00B83EEE"/>
    <w:rsid w:val="00B83F72"/>
    <w:rsid w:val="00B8475B"/>
    <w:rsid w:val="00B84766"/>
    <w:rsid w:val="00B84CA0"/>
    <w:rsid w:val="00B84D1E"/>
    <w:rsid w:val="00B84F22"/>
    <w:rsid w:val="00B856F2"/>
    <w:rsid w:val="00B8571A"/>
    <w:rsid w:val="00B858FE"/>
    <w:rsid w:val="00B865D3"/>
    <w:rsid w:val="00B9008F"/>
    <w:rsid w:val="00B90435"/>
    <w:rsid w:val="00B90E22"/>
    <w:rsid w:val="00B911EF"/>
    <w:rsid w:val="00B9120E"/>
    <w:rsid w:val="00B9172A"/>
    <w:rsid w:val="00B9206E"/>
    <w:rsid w:val="00B93014"/>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447"/>
    <w:rsid w:val="00BA09FF"/>
    <w:rsid w:val="00BA0AA2"/>
    <w:rsid w:val="00BA1AED"/>
    <w:rsid w:val="00BA1D38"/>
    <w:rsid w:val="00BA3F5B"/>
    <w:rsid w:val="00BA570D"/>
    <w:rsid w:val="00BA5B8D"/>
    <w:rsid w:val="00BA5BFE"/>
    <w:rsid w:val="00BA5F17"/>
    <w:rsid w:val="00BA5FC3"/>
    <w:rsid w:val="00BA6B17"/>
    <w:rsid w:val="00BA70C1"/>
    <w:rsid w:val="00BA7384"/>
    <w:rsid w:val="00BA79DF"/>
    <w:rsid w:val="00BA7C49"/>
    <w:rsid w:val="00BA7D04"/>
    <w:rsid w:val="00BA7D63"/>
    <w:rsid w:val="00BA7F0F"/>
    <w:rsid w:val="00BB017A"/>
    <w:rsid w:val="00BB01CB"/>
    <w:rsid w:val="00BB0B65"/>
    <w:rsid w:val="00BB0E24"/>
    <w:rsid w:val="00BB0EFC"/>
    <w:rsid w:val="00BB1982"/>
    <w:rsid w:val="00BB2059"/>
    <w:rsid w:val="00BB2D5F"/>
    <w:rsid w:val="00BB3133"/>
    <w:rsid w:val="00BB3654"/>
    <w:rsid w:val="00BB4178"/>
    <w:rsid w:val="00BB4817"/>
    <w:rsid w:val="00BB4847"/>
    <w:rsid w:val="00BB4A37"/>
    <w:rsid w:val="00BB4C57"/>
    <w:rsid w:val="00BB525D"/>
    <w:rsid w:val="00BB547E"/>
    <w:rsid w:val="00BB5FF4"/>
    <w:rsid w:val="00BB613C"/>
    <w:rsid w:val="00BB62B8"/>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7E2"/>
    <w:rsid w:val="00BC494F"/>
    <w:rsid w:val="00BC526F"/>
    <w:rsid w:val="00BC52B4"/>
    <w:rsid w:val="00BC5614"/>
    <w:rsid w:val="00BC64DB"/>
    <w:rsid w:val="00BC6BDB"/>
    <w:rsid w:val="00BC7449"/>
    <w:rsid w:val="00BC7D40"/>
    <w:rsid w:val="00BC7DF9"/>
    <w:rsid w:val="00BD042D"/>
    <w:rsid w:val="00BD070C"/>
    <w:rsid w:val="00BD07D1"/>
    <w:rsid w:val="00BD1A39"/>
    <w:rsid w:val="00BD1E29"/>
    <w:rsid w:val="00BD302B"/>
    <w:rsid w:val="00BD3F6F"/>
    <w:rsid w:val="00BD403D"/>
    <w:rsid w:val="00BD410B"/>
    <w:rsid w:val="00BD4660"/>
    <w:rsid w:val="00BD4C80"/>
    <w:rsid w:val="00BD4D2C"/>
    <w:rsid w:val="00BD5425"/>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10FB"/>
    <w:rsid w:val="00BF173E"/>
    <w:rsid w:val="00BF1F76"/>
    <w:rsid w:val="00BF200C"/>
    <w:rsid w:val="00BF206F"/>
    <w:rsid w:val="00BF2B32"/>
    <w:rsid w:val="00BF2CD3"/>
    <w:rsid w:val="00BF324A"/>
    <w:rsid w:val="00BF3BC9"/>
    <w:rsid w:val="00BF44EF"/>
    <w:rsid w:val="00BF4608"/>
    <w:rsid w:val="00BF48A0"/>
    <w:rsid w:val="00BF594C"/>
    <w:rsid w:val="00BF6070"/>
    <w:rsid w:val="00BF6583"/>
    <w:rsid w:val="00BF7027"/>
    <w:rsid w:val="00BF7457"/>
    <w:rsid w:val="00BF74CA"/>
    <w:rsid w:val="00BF7525"/>
    <w:rsid w:val="00BF7658"/>
    <w:rsid w:val="00BF777D"/>
    <w:rsid w:val="00BF7D3C"/>
    <w:rsid w:val="00C00025"/>
    <w:rsid w:val="00C004D8"/>
    <w:rsid w:val="00C006AC"/>
    <w:rsid w:val="00C00968"/>
    <w:rsid w:val="00C00C5F"/>
    <w:rsid w:val="00C00CFA"/>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4FB2"/>
    <w:rsid w:val="00C052AA"/>
    <w:rsid w:val="00C055F0"/>
    <w:rsid w:val="00C05741"/>
    <w:rsid w:val="00C05B2A"/>
    <w:rsid w:val="00C05D0E"/>
    <w:rsid w:val="00C05E3C"/>
    <w:rsid w:val="00C06007"/>
    <w:rsid w:val="00C07662"/>
    <w:rsid w:val="00C07A4E"/>
    <w:rsid w:val="00C10474"/>
    <w:rsid w:val="00C1079C"/>
    <w:rsid w:val="00C10D2C"/>
    <w:rsid w:val="00C1211C"/>
    <w:rsid w:val="00C12808"/>
    <w:rsid w:val="00C1294D"/>
    <w:rsid w:val="00C12EE8"/>
    <w:rsid w:val="00C13102"/>
    <w:rsid w:val="00C1314B"/>
    <w:rsid w:val="00C136A3"/>
    <w:rsid w:val="00C13C50"/>
    <w:rsid w:val="00C13ECE"/>
    <w:rsid w:val="00C140B1"/>
    <w:rsid w:val="00C146A4"/>
    <w:rsid w:val="00C147AE"/>
    <w:rsid w:val="00C14ABE"/>
    <w:rsid w:val="00C14B3B"/>
    <w:rsid w:val="00C14DE0"/>
    <w:rsid w:val="00C15D0C"/>
    <w:rsid w:val="00C16519"/>
    <w:rsid w:val="00C16FF7"/>
    <w:rsid w:val="00C1766E"/>
    <w:rsid w:val="00C1782A"/>
    <w:rsid w:val="00C178A7"/>
    <w:rsid w:val="00C17E4C"/>
    <w:rsid w:val="00C17FEB"/>
    <w:rsid w:val="00C2087E"/>
    <w:rsid w:val="00C21470"/>
    <w:rsid w:val="00C21A5C"/>
    <w:rsid w:val="00C21E41"/>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97E"/>
    <w:rsid w:val="00C42B06"/>
    <w:rsid w:val="00C44FD4"/>
    <w:rsid w:val="00C45B05"/>
    <w:rsid w:val="00C45FB5"/>
    <w:rsid w:val="00C46567"/>
    <w:rsid w:val="00C466BF"/>
    <w:rsid w:val="00C46940"/>
    <w:rsid w:val="00C46E18"/>
    <w:rsid w:val="00C470F6"/>
    <w:rsid w:val="00C47663"/>
    <w:rsid w:val="00C47831"/>
    <w:rsid w:val="00C478C6"/>
    <w:rsid w:val="00C47F10"/>
    <w:rsid w:val="00C50D82"/>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15F"/>
    <w:rsid w:val="00C56580"/>
    <w:rsid w:val="00C56A15"/>
    <w:rsid w:val="00C56D2E"/>
    <w:rsid w:val="00C56E83"/>
    <w:rsid w:val="00C5707E"/>
    <w:rsid w:val="00C6018F"/>
    <w:rsid w:val="00C6028A"/>
    <w:rsid w:val="00C60365"/>
    <w:rsid w:val="00C60BB6"/>
    <w:rsid w:val="00C60FED"/>
    <w:rsid w:val="00C611CF"/>
    <w:rsid w:val="00C61570"/>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55A"/>
    <w:rsid w:val="00C74930"/>
    <w:rsid w:val="00C75506"/>
    <w:rsid w:val="00C75713"/>
    <w:rsid w:val="00C7624C"/>
    <w:rsid w:val="00C766BB"/>
    <w:rsid w:val="00C76BA2"/>
    <w:rsid w:val="00C771D7"/>
    <w:rsid w:val="00C7745E"/>
    <w:rsid w:val="00C8007B"/>
    <w:rsid w:val="00C80372"/>
    <w:rsid w:val="00C806A7"/>
    <w:rsid w:val="00C80781"/>
    <w:rsid w:val="00C808BB"/>
    <w:rsid w:val="00C80DD1"/>
    <w:rsid w:val="00C812B0"/>
    <w:rsid w:val="00C81568"/>
    <w:rsid w:val="00C815D5"/>
    <w:rsid w:val="00C81B84"/>
    <w:rsid w:val="00C81FC8"/>
    <w:rsid w:val="00C8287D"/>
    <w:rsid w:val="00C83238"/>
    <w:rsid w:val="00C8372F"/>
    <w:rsid w:val="00C83BC6"/>
    <w:rsid w:val="00C83E97"/>
    <w:rsid w:val="00C84288"/>
    <w:rsid w:val="00C849EB"/>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0A1"/>
    <w:rsid w:val="00CA1207"/>
    <w:rsid w:val="00CA1444"/>
    <w:rsid w:val="00CA196F"/>
    <w:rsid w:val="00CA19EA"/>
    <w:rsid w:val="00CA2383"/>
    <w:rsid w:val="00CA2A69"/>
    <w:rsid w:val="00CA32FD"/>
    <w:rsid w:val="00CA33F5"/>
    <w:rsid w:val="00CA3579"/>
    <w:rsid w:val="00CA38F5"/>
    <w:rsid w:val="00CA3A01"/>
    <w:rsid w:val="00CA4AE0"/>
    <w:rsid w:val="00CA4DD8"/>
    <w:rsid w:val="00CA612E"/>
    <w:rsid w:val="00CA6381"/>
    <w:rsid w:val="00CA6F3A"/>
    <w:rsid w:val="00CA7B06"/>
    <w:rsid w:val="00CA7BBD"/>
    <w:rsid w:val="00CA7CA3"/>
    <w:rsid w:val="00CB006E"/>
    <w:rsid w:val="00CB0BE2"/>
    <w:rsid w:val="00CB1159"/>
    <w:rsid w:val="00CB146B"/>
    <w:rsid w:val="00CB299E"/>
    <w:rsid w:val="00CB2EFF"/>
    <w:rsid w:val="00CB2FF4"/>
    <w:rsid w:val="00CB3678"/>
    <w:rsid w:val="00CB3C64"/>
    <w:rsid w:val="00CB41CF"/>
    <w:rsid w:val="00CB47FD"/>
    <w:rsid w:val="00CB4D8F"/>
    <w:rsid w:val="00CB4FD3"/>
    <w:rsid w:val="00CB5250"/>
    <w:rsid w:val="00CB5487"/>
    <w:rsid w:val="00CB5830"/>
    <w:rsid w:val="00CB5836"/>
    <w:rsid w:val="00CB59A8"/>
    <w:rsid w:val="00CB6301"/>
    <w:rsid w:val="00CB6541"/>
    <w:rsid w:val="00CB6A83"/>
    <w:rsid w:val="00CB6E6A"/>
    <w:rsid w:val="00CB7D57"/>
    <w:rsid w:val="00CC0198"/>
    <w:rsid w:val="00CC0627"/>
    <w:rsid w:val="00CC0B38"/>
    <w:rsid w:val="00CC10A7"/>
    <w:rsid w:val="00CC1792"/>
    <w:rsid w:val="00CC1DE5"/>
    <w:rsid w:val="00CC20AD"/>
    <w:rsid w:val="00CC23FB"/>
    <w:rsid w:val="00CC26E1"/>
    <w:rsid w:val="00CC306E"/>
    <w:rsid w:val="00CC33E0"/>
    <w:rsid w:val="00CC3FAB"/>
    <w:rsid w:val="00CC415B"/>
    <w:rsid w:val="00CC461C"/>
    <w:rsid w:val="00CC4D3F"/>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000"/>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CA1"/>
    <w:rsid w:val="00CD7BB4"/>
    <w:rsid w:val="00CE004A"/>
    <w:rsid w:val="00CE0370"/>
    <w:rsid w:val="00CE04D5"/>
    <w:rsid w:val="00CE09F1"/>
    <w:rsid w:val="00CE0AF1"/>
    <w:rsid w:val="00CE0F43"/>
    <w:rsid w:val="00CE1B80"/>
    <w:rsid w:val="00CE1EBA"/>
    <w:rsid w:val="00CE24C6"/>
    <w:rsid w:val="00CE25F2"/>
    <w:rsid w:val="00CE2E74"/>
    <w:rsid w:val="00CE3EEC"/>
    <w:rsid w:val="00CE4BAE"/>
    <w:rsid w:val="00CE5320"/>
    <w:rsid w:val="00CE59A9"/>
    <w:rsid w:val="00CE5BEF"/>
    <w:rsid w:val="00CE67EF"/>
    <w:rsid w:val="00CE68E9"/>
    <w:rsid w:val="00CE6986"/>
    <w:rsid w:val="00CE7A97"/>
    <w:rsid w:val="00CE7FF6"/>
    <w:rsid w:val="00CF13FC"/>
    <w:rsid w:val="00CF192A"/>
    <w:rsid w:val="00CF2054"/>
    <w:rsid w:val="00CF2845"/>
    <w:rsid w:val="00CF2A31"/>
    <w:rsid w:val="00CF2CF1"/>
    <w:rsid w:val="00CF2F71"/>
    <w:rsid w:val="00CF2FBE"/>
    <w:rsid w:val="00CF361D"/>
    <w:rsid w:val="00CF3865"/>
    <w:rsid w:val="00CF3DDC"/>
    <w:rsid w:val="00CF41F0"/>
    <w:rsid w:val="00CF437A"/>
    <w:rsid w:val="00CF46DF"/>
    <w:rsid w:val="00CF4D80"/>
    <w:rsid w:val="00CF5A59"/>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4F73"/>
    <w:rsid w:val="00D05090"/>
    <w:rsid w:val="00D05B4B"/>
    <w:rsid w:val="00D06096"/>
    <w:rsid w:val="00D06821"/>
    <w:rsid w:val="00D06F91"/>
    <w:rsid w:val="00D070B5"/>
    <w:rsid w:val="00D100F1"/>
    <w:rsid w:val="00D10684"/>
    <w:rsid w:val="00D10C99"/>
    <w:rsid w:val="00D1168C"/>
    <w:rsid w:val="00D1187E"/>
    <w:rsid w:val="00D11A32"/>
    <w:rsid w:val="00D11E0B"/>
    <w:rsid w:val="00D12539"/>
    <w:rsid w:val="00D129B7"/>
    <w:rsid w:val="00D12F95"/>
    <w:rsid w:val="00D133AB"/>
    <w:rsid w:val="00D1419B"/>
    <w:rsid w:val="00D148BF"/>
    <w:rsid w:val="00D14967"/>
    <w:rsid w:val="00D15005"/>
    <w:rsid w:val="00D15337"/>
    <w:rsid w:val="00D153AC"/>
    <w:rsid w:val="00D153C1"/>
    <w:rsid w:val="00D15466"/>
    <w:rsid w:val="00D159C8"/>
    <w:rsid w:val="00D15A16"/>
    <w:rsid w:val="00D16216"/>
    <w:rsid w:val="00D16373"/>
    <w:rsid w:val="00D16DED"/>
    <w:rsid w:val="00D17868"/>
    <w:rsid w:val="00D200C4"/>
    <w:rsid w:val="00D20723"/>
    <w:rsid w:val="00D208DD"/>
    <w:rsid w:val="00D20EB4"/>
    <w:rsid w:val="00D219D8"/>
    <w:rsid w:val="00D21C38"/>
    <w:rsid w:val="00D21DA1"/>
    <w:rsid w:val="00D2201F"/>
    <w:rsid w:val="00D22154"/>
    <w:rsid w:val="00D22429"/>
    <w:rsid w:val="00D225CA"/>
    <w:rsid w:val="00D22BDC"/>
    <w:rsid w:val="00D23540"/>
    <w:rsid w:val="00D23B44"/>
    <w:rsid w:val="00D23DA3"/>
    <w:rsid w:val="00D24738"/>
    <w:rsid w:val="00D24E8D"/>
    <w:rsid w:val="00D24FBF"/>
    <w:rsid w:val="00D250B0"/>
    <w:rsid w:val="00D25545"/>
    <w:rsid w:val="00D25F4E"/>
    <w:rsid w:val="00D261A2"/>
    <w:rsid w:val="00D26510"/>
    <w:rsid w:val="00D266B5"/>
    <w:rsid w:val="00D26826"/>
    <w:rsid w:val="00D2733D"/>
    <w:rsid w:val="00D27D1F"/>
    <w:rsid w:val="00D30148"/>
    <w:rsid w:val="00D3092C"/>
    <w:rsid w:val="00D30B64"/>
    <w:rsid w:val="00D30BC8"/>
    <w:rsid w:val="00D311AD"/>
    <w:rsid w:val="00D31EC3"/>
    <w:rsid w:val="00D3280D"/>
    <w:rsid w:val="00D32A9B"/>
    <w:rsid w:val="00D32D1A"/>
    <w:rsid w:val="00D33245"/>
    <w:rsid w:val="00D3376A"/>
    <w:rsid w:val="00D3394E"/>
    <w:rsid w:val="00D33BB2"/>
    <w:rsid w:val="00D33CF7"/>
    <w:rsid w:val="00D3467E"/>
    <w:rsid w:val="00D34752"/>
    <w:rsid w:val="00D34CDA"/>
    <w:rsid w:val="00D35FD9"/>
    <w:rsid w:val="00D36685"/>
    <w:rsid w:val="00D36783"/>
    <w:rsid w:val="00D36C7D"/>
    <w:rsid w:val="00D37933"/>
    <w:rsid w:val="00D37CF3"/>
    <w:rsid w:val="00D40067"/>
    <w:rsid w:val="00D400B8"/>
    <w:rsid w:val="00D400BA"/>
    <w:rsid w:val="00D40415"/>
    <w:rsid w:val="00D404E2"/>
    <w:rsid w:val="00D40CF0"/>
    <w:rsid w:val="00D40EB8"/>
    <w:rsid w:val="00D41199"/>
    <w:rsid w:val="00D41425"/>
    <w:rsid w:val="00D41CFA"/>
    <w:rsid w:val="00D41D05"/>
    <w:rsid w:val="00D428B1"/>
    <w:rsid w:val="00D433D6"/>
    <w:rsid w:val="00D43916"/>
    <w:rsid w:val="00D43F3E"/>
    <w:rsid w:val="00D44884"/>
    <w:rsid w:val="00D44AEE"/>
    <w:rsid w:val="00D44EC3"/>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6B5"/>
    <w:rsid w:val="00D54A8B"/>
    <w:rsid w:val="00D54C29"/>
    <w:rsid w:val="00D55292"/>
    <w:rsid w:val="00D558E7"/>
    <w:rsid w:val="00D561E6"/>
    <w:rsid w:val="00D561F3"/>
    <w:rsid w:val="00D56437"/>
    <w:rsid w:val="00D56836"/>
    <w:rsid w:val="00D5685B"/>
    <w:rsid w:val="00D568F8"/>
    <w:rsid w:val="00D56EDB"/>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7F7"/>
    <w:rsid w:val="00D65A5E"/>
    <w:rsid w:val="00D65AE0"/>
    <w:rsid w:val="00D65D5A"/>
    <w:rsid w:val="00D65E6D"/>
    <w:rsid w:val="00D65EFA"/>
    <w:rsid w:val="00D66301"/>
    <w:rsid w:val="00D66E54"/>
    <w:rsid w:val="00D6753F"/>
    <w:rsid w:val="00D70199"/>
    <w:rsid w:val="00D70AE9"/>
    <w:rsid w:val="00D70B30"/>
    <w:rsid w:val="00D70CD7"/>
    <w:rsid w:val="00D7133D"/>
    <w:rsid w:val="00D7136A"/>
    <w:rsid w:val="00D724AA"/>
    <w:rsid w:val="00D725E2"/>
    <w:rsid w:val="00D727E7"/>
    <w:rsid w:val="00D72B45"/>
    <w:rsid w:val="00D72CFD"/>
    <w:rsid w:val="00D72F9C"/>
    <w:rsid w:val="00D73AC9"/>
    <w:rsid w:val="00D73EA0"/>
    <w:rsid w:val="00D741D5"/>
    <w:rsid w:val="00D74230"/>
    <w:rsid w:val="00D74493"/>
    <w:rsid w:val="00D74648"/>
    <w:rsid w:val="00D751DF"/>
    <w:rsid w:val="00D7524E"/>
    <w:rsid w:val="00D75489"/>
    <w:rsid w:val="00D75F17"/>
    <w:rsid w:val="00D766D0"/>
    <w:rsid w:val="00D76700"/>
    <w:rsid w:val="00D76ADB"/>
    <w:rsid w:val="00D76F4A"/>
    <w:rsid w:val="00D77807"/>
    <w:rsid w:val="00D77C4B"/>
    <w:rsid w:val="00D80823"/>
    <w:rsid w:val="00D80A0A"/>
    <w:rsid w:val="00D80B21"/>
    <w:rsid w:val="00D81B79"/>
    <w:rsid w:val="00D8225B"/>
    <w:rsid w:val="00D82A02"/>
    <w:rsid w:val="00D82A63"/>
    <w:rsid w:val="00D82BB2"/>
    <w:rsid w:val="00D82ECB"/>
    <w:rsid w:val="00D83947"/>
    <w:rsid w:val="00D8477F"/>
    <w:rsid w:val="00D848B0"/>
    <w:rsid w:val="00D84EC8"/>
    <w:rsid w:val="00D84F4C"/>
    <w:rsid w:val="00D850FA"/>
    <w:rsid w:val="00D85418"/>
    <w:rsid w:val="00D854E3"/>
    <w:rsid w:val="00D8569F"/>
    <w:rsid w:val="00D856C4"/>
    <w:rsid w:val="00D85F7C"/>
    <w:rsid w:val="00D8717E"/>
    <w:rsid w:val="00D8766A"/>
    <w:rsid w:val="00D905C3"/>
    <w:rsid w:val="00D907B8"/>
    <w:rsid w:val="00D90A46"/>
    <w:rsid w:val="00D90AE3"/>
    <w:rsid w:val="00D91987"/>
    <w:rsid w:val="00D91B6F"/>
    <w:rsid w:val="00D9278A"/>
    <w:rsid w:val="00D938BD"/>
    <w:rsid w:val="00D9394E"/>
    <w:rsid w:val="00D942E3"/>
    <w:rsid w:val="00D9477E"/>
    <w:rsid w:val="00D947B2"/>
    <w:rsid w:val="00D95761"/>
    <w:rsid w:val="00D95D44"/>
    <w:rsid w:val="00D964C3"/>
    <w:rsid w:val="00D96D11"/>
    <w:rsid w:val="00D971D9"/>
    <w:rsid w:val="00D97CD9"/>
    <w:rsid w:val="00D97DA8"/>
    <w:rsid w:val="00D97F73"/>
    <w:rsid w:val="00D97F7B"/>
    <w:rsid w:val="00DA058A"/>
    <w:rsid w:val="00DA1323"/>
    <w:rsid w:val="00DA1A2F"/>
    <w:rsid w:val="00DA2305"/>
    <w:rsid w:val="00DA30C6"/>
    <w:rsid w:val="00DA3206"/>
    <w:rsid w:val="00DA343F"/>
    <w:rsid w:val="00DA437A"/>
    <w:rsid w:val="00DA5544"/>
    <w:rsid w:val="00DA578F"/>
    <w:rsid w:val="00DA5B05"/>
    <w:rsid w:val="00DA5B3C"/>
    <w:rsid w:val="00DA5D4C"/>
    <w:rsid w:val="00DA6732"/>
    <w:rsid w:val="00DA6739"/>
    <w:rsid w:val="00DA69FD"/>
    <w:rsid w:val="00DA6E1C"/>
    <w:rsid w:val="00DA6EEF"/>
    <w:rsid w:val="00DA7225"/>
    <w:rsid w:val="00DA76BA"/>
    <w:rsid w:val="00DA79B2"/>
    <w:rsid w:val="00DB071A"/>
    <w:rsid w:val="00DB07C2"/>
    <w:rsid w:val="00DB16CA"/>
    <w:rsid w:val="00DB1FB3"/>
    <w:rsid w:val="00DB2967"/>
    <w:rsid w:val="00DB2994"/>
    <w:rsid w:val="00DB318E"/>
    <w:rsid w:val="00DB40A9"/>
    <w:rsid w:val="00DB4174"/>
    <w:rsid w:val="00DB4416"/>
    <w:rsid w:val="00DB4573"/>
    <w:rsid w:val="00DB459D"/>
    <w:rsid w:val="00DB549B"/>
    <w:rsid w:val="00DB54B7"/>
    <w:rsid w:val="00DB5817"/>
    <w:rsid w:val="00DB6B6C"/>
    <w:rsid w:val="00DB7331"/>
    <w:rsid w:val="00DB7550"/>
    <w:rsid w:val="00DB7614"/>
    <w:rsid w:val="00DB7791"/>
    <w:rsid w:val="00DB7B7F"/>
    <w:rsid w:val="00DB7C3F"/>
    <w:rsid w:val="00DC0130"/>
    <w:rsid w:val="00DC0BAE"/>
    <w:rsid w:val="00DC0C42"/>
    <w:rsid w:val="00DC13AD"/>
    <w:rsid w:val="00DC36D2"/>
    <w:rsid w:val="00DC3BB6"/>
    <w:rsid w:val="00DC3D4E"/>
    <w:rsid w:val="00DC4569"/>
    <w:rsid w:val="00DC4BC0"/>
    <w:rsid w:val="00DC4BD0"/>
    <w:rsid w:val="00DC52D0"/>
    <w:rsid w:val="00DC58AE"/>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5F9A"/>
    <w:rsid w:val="00DD6097"/>
    <w:rsid w:val="00DD6136"/>
    <w:rsid w:val="00DD6179"/>
    <w:rsid w:val="00DD7160"/>
    <w:rsid w:val="00DD724D"/>
    <w:rsid w:val="00DD79AE"/>
    <w:rsid w:val="00DD7DA3"/>
    <w:rsid w:val="00DD7FA5"/>
    <w:rsid w:val="00DE00BF"/>
    <w:rsid w:val="00DE0479"/>
    <w:rsid w:val="00DE051F"/>
    <w:rsid w:val="00DE0F26"/>
    <w:rsid w:val="00DE0F76"/>
    <w:rsid w:val="00DE132A"/>
    <w:rsid w:val="00DE17F5"/>
    <w:rsid w:val="00DE1816"/>
    <w:rsid w:val="00DE1A54"/>
    <w:rsid w:val="00DE1DCC"/>
    <w:rsid w:val="00DE1DF1"/>
    <w:rsid w:val="00DE1EAB"/>
    <w:rsid w:val="00DE285D"/>
    <w:rsid w:val="00DE2EB7"/>
    <w:rsid w:val="00DE336D"/>
    <w:rsid w:val="00DE3458"/>
    <w:rsid w:val="00DE3A22"/>
    <w:rsid w:val="00DE402C"/>
    <w:rsid w:val="00DE4374"/>
    <w:rsid w:val="00DE4436"/>
    <w:rsid w:val="00DE5170"/>
    <w:rsid w:val="00DE51A3"/>
    <w:rsid w:val="00DE5504"/>
    <w:rsid w:val="00DE58A5"/>
    <w:rsid w:val="00DE58ED"/>
    <w:rsid w:val="00DE5A3A"/>
    <w:rsid w:val="00DE5FE1"/>
    <w:rsid w:val="00DE6944"/>
    <w:rsid w:val="00DE6ADF"/>
    <w:rsid w:val="00DE765F"/>
    <w:rsid w:val="00DE7B6B"/>
    <w:rsid w:val="00DF089F"/>
    <w:rsid w:val="00DF15DD"/>
    <w:rsid w:val="00DF199F"/>
    <w:rsid w:val="00DF1A9D"/>
    <w:rsid w:val="00DF32A7"/>
    <w:rsid w:val="00DF372F"/>
    <w:rsid w:val="00DF3999"/>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4F9D"/>
    <w:rsid w:val="00E0501D"/>
    <w:rsid w:val="00E05698"/>
    <w:rsid w:val="00E05820"/>
    <w:rsid w:val="00E05910"/>
    <w:rsid w:val="00E06059"/>
    <w:rsid w:val="00E061F7"/>
    <w:rsid w:val="00E063E6"/>
    <w:rsid w:val="00E105BE"/>
    <w:rsid w:val="00E10912"/>
    <w:rsid w:val="00E10943"/>
    <w:rsid w:val="00E11637"/>
    <w:rsid w:val="00E121BB"/>
    <w:rsid w:val="00E13448"/>
    <w:rsid w:val="00E138B2"/>
    <w:rsid w:val="00E13AA2"/>
    <w:rsid w:val="00E13B69"/>
    <w:rsid w:val="00E13DBA"/>
    <w:rsid w:val="00E147E0"/>
    <w:rsid w:val="00E1511B"/>
    <w:rsid w:val="00E1590E"/>
    <w:rsid w:val="00E15E1A"/>
    <w:rsid w:val="00E16C8F"/>
    <w:rsid w:val="00E17041"/>
    <w:rsid w:val="00E1784D"/>
    <w:rsid w:val="00E17923"/>
    <w:rsid w:val="00E17DEE"/>
    <w:rsid w:val="00E200FF"/>
    <w:rsid w:val="00E204B4"/>
    <w:rsid w:val="00E211F9"/>
    <w:rsid w:val="00E21A3A"/>
    <w:rsid w:val="00E21C5E"/>
    <w:rsid w:val="00E223BB"/>
    <w:rsid w:val="00E22F76"/>
    <w:rsid w:val="00E23120"/>
    <w:rsid w:val="00E23B76"/>
    <w:rsid w:val="00E243F6"/>
    <w:rsid w:val="00E2494C"/>
    <w:rsid w:val="00E24A04"/>
    <w:rsid w:val="00E24AAF"/>
    <w:rsid w:val="00E251C2"/>
    <w:rsid w:val="00E2593C"/>
    <w:rsid w:val="00E260E1"/>
    <w:rsid w:val="00E2627B"/>
    <w:rsid w:val="00E266BF"/>
    <w:rsid w:val="00E275D8"/>
    <w:rsid w:val="00E2793A"/>
    <w:rsid w:val="00E27B12"/>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AC4"/>
    <w:rsid w:val="00E37F99"/>
    <w:rsid w:val="00E401E9"/>
    <w:rsid w:val="00E406D4"/>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5E91"/>
    <w:rsid w:val="00E46212"/>
    <w:rsid w:val="00E463BA"/>
    <w:rsid w:val="00E46CBF"/>
    <w:rsid w:val="00E473DF"/>
    <w:rsid w:val="00E4788B"/>
    <w:rsid w:val="00E47E0B"/>
    <w:rsid w:val="00E50105"/>
    <w:rsid w:val="00E5025B"/>
    <w:rsid w:val="00E503DC"/>
    <w:rsid w:val="00E5046E"/>
    <w:rsid w:val="00E50E62"/>
    <w:rsid w:val="00E516B1"/>
    <w:rsid w:val="00E5174C"/>
    <w:rsid w:val="00E524C0"/>
    <w:rsid w:val="00E5280A"/>
    <w:rsid w:val="00E533A2"/>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0D6B"/>
    <w:rsid w:val="00E616C0"/>
    <w:rsid w:val="00E61D0F"/>
    <w:rsid w:val="00E62123"/>
    <w:rsid w:val="00E6318C"/>
    <w:rsid w:val="00E634B5"/>
    <w:rsid w:val="00E637BB"/>
    <w:rsid w:val="00E6386F"/>
    <w:rsid w:val="00E63BC7"/>
    <w:rsid w:val="00E6445A"/>
    <w:rsid w:val="00E64737"/>
    <w:rsid w:val="00E64BFF"/>
    <w:rsid w:val="00E64C11"/>
    <w:rsid w:val="00E64CFA"/>
    <w:rsid w:val="00E64E90"/>
    <w:rsid w:val="00E6568F"/>
    <w:rsid w:val="00E656A1"/>
    <w:rsid w:val="00E65743"/>
    <w:rsid w:val="00E65B64"/>
    <w:rsid w:val="00E66083"/>
    <w:rsid w:val="00E66177"/>
    <w:rsid w:val="00E66933"/>
    <w:rsid w:val="00E66A7E"/>
    <w:rsid w:val="00E66AD5"/>
    <w:rsid w:val="00E66BA8"/>
    <w:rsid w:val="00E66D96"/>
    <w:rsid w:val="00E66FDE"/>
    <w:rsid w:val="00E70119"/>
    <w:rsid w:val="00E70217"/>
    <w:rsid w:val="00E70A3F"/>
    <w:rsid w:val="00E70FA3"/>
    <w:rsid w:val="00E718C2"/>
    <w:rsid w:val="00E72DAB"/>
    <w:rsid w:val="00E73471"/>
    <w:rsid w:val="00E73780"/>
    <w:rsid w:val="00E74907"/>
    <w:rsid w:val="00E74F89"/>
    <w:rsid w:val="00E75101"/>
    <w:rsid w:val="00E7520A"/>
    <w:rsid w:val="00E755D8"/>
    <w:rsid w:val="00E7566D"/>
    <w:rsid w:val="00E756B1"/>
    <w:rsid w:val="00E76432"/>
    <w:rsid w:val="00E766AA"/>
    <w:rsid w:val="00E76BBB"/>
    <w:rsid w:val="00E77C96"/>
    <w:rsid w:val="00E77E85"/>
    <w:rsid w:val="00E77F51"/>
    <w:rsid w:val="00E80606"/>
    <w:rsid w:val="00E80626"/>
    <w:rsid w:val="00E81571"/>
    <w:rsid w:val="00E81711"/>
    <w:rsid w:val="00E8189A"/>
    <w:rsid w:val="00E81BF2"/>
    <w:rsid w:val="00E8209C"/>
    <w:rsid w:val="00E82FF0"/>
    <w:rsid w:val="00E83285"/>
    <w:rsid w:val="00E833F2"/>
    <w:rsid w:val="00E83766"/>
    <w:rsid w:val="00E83871"/>
    <w:rsid w:val="00E84748"/>
    <w:rsid w:val="00E84907"/>
    <w:rsid w:val="00E84AAD"/>
    <w:rsid w:val="00E84FAF"/>
    <w:rsid w:val="00E85778"/>
    <w:rsid w:val="00E85B9A"/>
    <w:rsid w:val="00E85CC0"/>
    <w:rsid w:val="00E85F41"/>
    <w:rsid w:val="00E86070"/>
    <w:rsid w:val="00E86462"/>
    <w:rsid w:val="00E864E7"/>
    <w:rsid w:val="00E86EBF"/>
    <w:rsid w:val="00E87CBB"/>
    <w:rsid w:val="00E91E4B"/>
    <w:rsid w:val="00E932AD"/>
    <w:rsid w:val="00E93A62"/>
    <w:rsid w:val="00E93A92"/>
    <w:rsid w:val="00E93D48"/>
    <w:rsid w:val="00E94138"/>
    <w:rsid w:val="00E94579"/>
    <w:rsid w:val="00E946E1"/>
    <w:rsid w:val="00E94C77"/>
    <w:rsid w:val="00E94DE4"/>
    <w:rsid w:val="00E953DD"/>
    <w:rsid w:val="00E95998"/>
    <w:rsid w:val="00E95EAB"/>
    <w:rsid w:val="00E96054"/>
    <w:rsid w:val="00E962CA"/>
    <w:rsid w:val="00E97FEB"/>
    <w:rsid w:val="00EA0756"/>
    <w:rsid w:val="00EA0805"/>
    <w:rsid w:val="00EA081A"/>
    <w:rsid w:val="00EA083A"/>
    <w:rsid w:val="00EA0DF8"/>
    <w:rsid w:val="00EA0F83"/>
    <w:rsid w:val="00EA1324"/>
    <w:rsid w:val="00EA169F"/>
    <w:rsid w:val="00EA1A03"/>
    <w:rsid w:val="00EA1DEB"/>
    <w:rsid w:val="00EA1E31"/>
    <w:rsid w:val="00EA25AD"/>
    <w:rsid w:val="00EA3667"/>
    <w:rsid w:val="00EA399C"/>
    <w:rsid w:val="00EA3AEA"/>
    <w:rsid w:val="00EA3CA8"/>
    <w:rsid w:val="00EA463C"/>
    <w:rsid w:val="00EA4C82"/>
    <w:rsid w:val="00EA56F8"/>
    <w:rsid w:val="00EA5A54"/>
    <w:rsid w:val="00EA64A3"/>
    <w:rsid w:val="00EB0083"/>
    <w:rsid w:val="00EB0117"/>
    <w:rsid w:val="00EB0B50"/>
    <w:rsid w:val="00EB0BA6"/>
    <w:rsid w:val="00EB13BD"/>
    <w:rsid w:val="00EB1827"/>
    <w:rsid w:val="00EB2248"/>
    <w:rsid w:val="00EB2292"/>
    <w:rsid w:val="00EB22F2"/>
    <w:rsid w:val="00EB249E"/>
    <w:rsid w:val="00EB284A"/>
    <w:rsid w:val="00EB298F"/>
    <w:rsid w:val="00EB2B2A"/>
    <w:rsid w:val="00EB2CDF"/>
    <w:rsid w:val="00EB53C9"/>
    <w:rsid w:val="00EB569A"/>
    <w:rsid w:val="00EB57FB"/>
    <w:rsid w:val="00EB58B8"/>
    <w:rsid w:val="00EB5A3E"/>
    <w:rsid w:val="00EB5DDD"/>
    <w:rsid w:val="00EB6764"/>
    <w:rsid w:val="00EB69AF"/>
    <w:rsid w:val="00EB717E"/>
    <w:rsid w:val="00EB782D"/>
    <w:rsid w:val="00EB7CF8"/>
    <w:rsid w:val="00EB7D63"/>
    <w:rsid w:val="00EC046C"/>
    <w:rsid w:val="00EC0824"/>
    <w:rsid w:val="00EC0E8E"/>
    <w:rsid w:val="00EC0FFF"/>
    <w:rsid w:val="00EC10AA"/>
    <w:rsid w:val="00EC1635"/>
    <w:rsid w:val="00EC1638"/>
    <w:rsid w:val="00EC1AD3"/>
    <w:rsid w:val="00EC1CD2"/>
    <w:rsid w:val="00EC26C0"/>
    <w:rsid w:val="00EC28C4"/>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BDD"/>
    <w:rsid w:val="00ED1043"/>
    <w:rsid w:val="00ED11C6"/>
    <w:rsid w:val="00ED1D41"/>
    <w:rsid w:val="00ED30BC"/>
    <w:rsid w:val="00ED4A29"/>
    <w:rsid w:val="00ED4CA8"/>
    <w:rsid w:val="00ED51D2"/>
    <w:rsid w:val="00ED56C8"/>
    <w:rsid w:val="00ED5817"/>
    <w:rsid w:val="00ED6257"/>
    <w:rsid w:val="00ED62BB"/>
    <w:rsid w:val="00ED6AEE"/>
    <w:rsid w:val="00ED6F25"/>
    <w:rsid w:val="00ED75EE"/>
    <w:rsid w:val="00ED775D"/>
    <w:rsid w:val="00ED7DB9"/>
    <w:rsid w:val="00ED7E36"/>
    <w:rsid w:val="00EE088E"/>
    <w:rsid w:val="00EE0D06"/>
    <w:rsid w:val="00EE29EC"/>
    <w:rsid w:val="00EE2E1F"/>
    <w:rsid w:val="00EE2FD3"/>
    <w:rsid w:val="00EE3752"/>
    <w:rsid w:val="00EE3A59"/>
    <w:rsid w:val="00EE4570"/>
    <w:rsid w:val="00EE4763"/>
    <w:rsid w:val="00EE484D"/>
    <w:rsid w:val="00EE4901"/>
    <w:rsid w:val="00EE495E"/>
    <w:rsid w:val="00EE52BC"/>
    <w:rsid w:val="00EE5670"/>
    <w:rsid w:val="00EE58F3"/>
    <w:rsid w:val="00EE59AF"/>
    <w:rsid w:val="00EE5E4C"/>
    <w:rsid w:val="00EE5FE4"/>
    <w:rsid w:val="00EE665E"/>
    <w:rsid w:val="00EE7272"/>
    <w:rsid w:val="00EE74A5"/>
    <w:rsid w:val="00EE772E"/>
    <w:rsid w:val="00EE7BD8"/>
    <w:rsid w:val="00EF06D2"/>
    <w:rsid w:val="00EF1024"/>
    <w:rsid w:val="00EF16D9"/>
    <w:rsid w:val="00EF1732"/>
    <w:rsid w:val="00EF1734"/>
    <w:rsid w:val="00EF3B49"/>
    <w:rsid w:val="00EF3CFE"/>
    <w:rsid w:val="00EF3DCC"/>
    <w:rsid w:val="00EF4430"/>
    <w:rsid w:val="00EF4F3D"/>
    <w:rsid w:val="00EF5DD8"/>
    <w:rsid w:val="00EF5EB2"/>
    <w:rsid w:val="00EF6755"/>
    <w:rsid w:val="00EF6B15"/>
    <w:rsid w:val="00EF6CD5"/>
    <w:rsid w:val="00EF70B6"/>
    <w:rsid w:val="00EF7443"/>
    <w:rsid w:val="00EF7992"/>
    <w:rsid w:val="00EF79CE"/>
    <w:rsid w:val="00EF7A4B"/>
    <w:rsid w:val="00F00209"/>
    <w:rsid w:val="00F00594"/>
    <w:rsid w:val="00F009B4"/>
    <w:rsid w:val="00F00AAC"/>
    <w:rsid w:val="00F00BB6"/>
    <w:rsid w:val="00F0147F"/>
    <w:rsid w:val="00F0168C"/>
    <w:rsid w:val="00F026DB"/>
    <w:rsid w:val="00F02CE0"/>
    <w:rsid w:val="00F04178"/>
    <w:rsid w:val="00F04614"/>
    <w:rsid w:val="00F04C53"/>
    <w:rsid w:val="00F055E7"/>
    <w:rsid w:val="00F06921"/>
    <w:rsid w:val="00F07097"/>
    <w:rsid w:val="00F07483"/>
    <w:rsid w:val="00F075D6"/>
    <w:rsid w:val="00F10D77"/>
    <w:rsid w:val="00F111BB"/>
    <w:rsid w:val="00F12EED"/>
    <w:rsid w:val="00F1310E"/>
    <w:rsid w:val="00F1377A"/>
    <w:rsid w:val="00F1378B"/>
    <w:rsid w:val="00F13C8F"/>
    <w:rsid w:val="00F151CE"/>
    <w:rsid w:val="00F153DE"/>
    <w:rsid w:val="00F155BF"/>
    <w:rsid w:val="00F15618"/>
    <w:rsid w:val="00F157FA"/>
    <w:rsid w:val="00F15817"/>
    <w:rsid w:val="00F15A20"/>
    <w:rsid w:val="00F15FB8"/>
    <w:rsid w:val="00F160C8"/>
    <w:rsid w:val="00F1687A"/>
    <w:rsid w:val="00F17091"/>
    <w:rsid w:val="00F1731C"/>
    <w:rsid w:val="00F1779B"/>
    <w:rsid w:val="00F17C3A"/>
    <w:rsid w:val="00F17C5D"/>
    <w:rsid w:val="00F20206"/>
    <w:rsid w:val="00F2022C"/>
    <w:rsid w:val="00F2113B"/>
    <w:rsid w:val="00F21227"/>
    <w:rsid w:val="00F21765"/>
    <w:rsid w:val="00F22341"/>
    <w:rsid w:val="00F22A11"/>
    <w:rsid w:val="00F22B9D"/>
    <w:rsid w:val="00F23FB7"/>
    <w:rsid w:val="00F23FBC"/>
    <w:rsid w:val="00F240B5"/>
    <w:rsid w:val="00F24652"/>
    <w:rsid w:val="00F24EE8"/>
    <w:rsid w:val="00F25157"/>
    <w:rsid w:val="00F2542A"/>
    <w:rsid w:val="00F258BD"/>
    <w:rsid w:val="00F27478"/>
    <w:rsid w:val="00F301C3"/>
    <w:rsid w:val="00F30C76"/>
    <w:rsid w:val="00F30DD8"/>
    <w:rsid w:val="00F31939"/>
    <w:rsid w:val="00F3194B"/>
    <w:rsid w:val="00F31C26"/>
    <w:rsid w:val="00F32459"/>
    <w:rsid w:val="00F325A7"/>
    <w:rsid w:val="00F3334F"/>
    <w:rsid w:val="00F33383"/>
    <w:rsid w:val="00F33456"/>
    <w:rsid w:val="00F33968"/>
    <w:rsid w:val="00F339A7"/>
    <w:rsid w:val="00F34705"/>
    <w:rsid w:val="00F34C6B"/>
    <w:rsid w:val="00F34DC7"/>
    <w:rsid w:val="00F35768"/>
    <w:rsid w:val="00F36249"/>
    <w:rsid w:val="00F362F0"/>
    <w:rsid w:val="00F366B8"/>
    <w:rsid w:val="00F373D3"/>
    <w:rsid w:val="00F40C6A"/>
    <w:rsid w:val="00F40DA1"/>
    <w:rsid w:val="00F41151"/>
    <w:rsid w:val="00F41BCE"/>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64B"/>
    <w:rsid w:val="00F52C8E"/>
    <w:rsid w:val="00F52FCC"/>
    <w:rsid w:val="00F537A8"/>
    <w:rsid w:val="00F537FA"/>
    <w:rsid w:val="00F537FE"/>
    <w:rsid w:val="00F547A8"/>
    <w:rsid w:val="00F54F6A"/>
    <w:rsid w:val="00F54F8C"/>
    <w:rsid w:val="00F55B50"/>
    <w:rsid w:val="00F565B8"/>
    <w:rsid w:val="00F56C63"/>
    <w:rsid w:val="00F56FBF"/>
    <w:rsid w:val="00F57334"/>
    <w:rsid w:val="00F57371"/>
    <w:rsid w:val="00F57731"/>
    <w:rsid w:val="00F579CA"/>
    <w:rsid w:val="00F57C72"/>
    <w:rsid w:val="00F57CA8"/>
    <w:rsid w:val="00F60F9E"/>
    <w:rsid w:val="00F6175A"/>
    <w:rsid w:val="00F618F4"/>
    <w:rsid w:val="00F61908"/>
    <w:rsid w:val="00F61BBB"/>
    <w:rsid w:val="00F62515"/>
    <w:rsid w:val="00F625E9"/>
    <w:rsid w:val="00F6286E"/>
    <w:rsid w:val="00F62A19"/>
    <w:rsid w:val="00F62C88"/>
    <w:rsid w:val="00F635E4"/>
    <w:rsid w:val="00F637BE"/>
    <w:rsid w:val="00F63C70"/>
    <w:rsid w:val="00F644C7"/>
    <w:rsid w:val="00F64EE3"/>
    <w:rsid w:val="00F6540C"/>
    <w:rsid w:val="00F657A7"/>
    <w:rsid w:val="00F65903"/>
    <w:rsid w:val="00F65BEF"/>
    <w:rsid w:val="00F65C2F"/>
    <w:rsid w:val="00F6600A"/>
    <w:rsid w:val="00F666B3"/>
    <w:rsid w:val="00F66E00"/>
    <w:rsid w:val="00F66E10"/>
    <w:rsid w:val="00F6755B"/>
    <w:rsid w:val="00F67580"/>
    <w:rsid w:val="00F67D8F"/>
    <w:rsid w:val="00F67EC0"/>
    <w:rsid w:val="00F7059B"/>
    <w:rsid w:val="00F706CE"/>
    <w:rsid w:val="00F706D9"/>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1E85"/>
    <w:rsid w:val="00F82047"/>
    <w:rsid w:val="00F82394"/>
    <w:rsid w:val="00F823CC"/>
    <w:rsid w:val="00F823F4"/>
    <w:rsid w:val="00F83432"/>
    <w:rsid w:val="00F842BE"/>
    <w:rsid w:val="00F84E5F"/>
    <w:rsid w:val="00F84ED9"/>
    <w:rsid w:val="00F852F2"/>
    <w:rsid w:val="00F85913"/>
    <w:rsid w:val="00F85A4C"/>
    <w:rsid w:val="00F86702"/>
    <w:rsid w:val="00F86A5A"/>
    <w:rsid w:val="00F86C82"/>
    <w:rsid w:val="00F86DD6"/>
    <w:rsid w:val="00F87128"/>
    <w:rsid w:val="00F9069E"/>
    <w:rsid w:val="00F9198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988"/>
    <w:rsid w:val="00F97FD7"/>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5097"/>
    <w:rsid w:val="00FA5682"/>
    <w:rsid w:val="00FA5E99"/>
    <w:rsid w:val="00FA5F08"/>
    <w:rsid w:val="00FA5FBF"/>
    <w:rsid w:val="00FA6446"/>
    <w:rsid w:val="00FA6966"/>
    <w:rsid w:val="00FA7490"/>
    <w:rsid w:val="00FA7FC9"/>
    <w:rsid w:val="00FB0035"/>
    <w:rsid w:val="00FB0089"/>
    <w:rsid w:val="00FB025F"/>
    <w:rsid w:val="00FB09CF"/>
    <w:rsid w:val="00FB0F59"/>
    <w:rsid w:val="00FB1023"/>
    <w:rsid w:val="00FB1983"/>
    <w:rsid w:val="00FB1C27"/>
    <w:rsid w:val="00FB209A"/>
    <w:rsid w:val="00FB223E"/>
    <w:rsid w:val="00FB3024"/>
    <w:rsid w:val="00FB333C"/>
    <w:rsid w:val="00FB3591"/>
    <w:rsid w:val="00FB3FF5"/>
    <w:rsid w:val="00FB4070"/>
    <w:rsid w:val="00FB5203"/>
    <w:rsid w:val="00FB5270"/>
    <w:rsid w:val="00FB5282"/>
    <w:rsid w:val="00FB6274"/>
    <w:rsid w:val="00FB646C"/>
    <w:rsid w:val="00FB694F"/>
    <w:rsid w:val="00FC014F"/>
    <w:rsid w:val="00FC1DB4"/>
    <w:rsid w:val="00FC29D6"/>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02"/>
    <w:rsid w:val="00FD68BB"/>
    <w:rsid w:val="00FD6C04"/>
    <w:rsid w:val="00FD72CC"/>
    <w:rsid w:val="00FD763C"/>
    <w:rsid w:val="00FE025D"/>
    <w:rsid w:val="00FE0977"/>
    <w:rsid w:val="00FE0A29"/>
    <w:rsid w:val="00FE1A3D"/>
    <w:rsid w:val="00FE22B4"/>
    <w:rsid w:val="00FE2839"/>
    <w:rsid w:val="00FE2C2C"/>
    <w:rsid w:val="00FE2DB6"/>
    <w:rsid w:val="00FE33AF"/>
    <w:rsid w:val="00FE3861"/>
    <w:rsid w:val="00FE3E58"/>
    <w:rsid w:val="00FE3F9A"/>
    <w:rsid w:val="00FE45FF"/>
    <w:rsid w:val="00FE46FC"/>
    <w:rsid w:val="00FE4B73"/>
    <w:rsid w:val="00FE4B8C"/>
    <w:rsid w:val="00FE5576"/>
    <w:rsid w:val="00FE5B0C"/>
    <w:rsid w:val="00FE6329"/>
    <w:rsid w:val="00FE6773"/>
    <w:rsid w:val="00FE69F2"/>
    <w:rsid w:val="00FE7436"/>
    <w:rsid w:val="00FE74AE"/>
    <w:rsid w:val="00FE768A"/>
    <w:rsid w:val="00FE7FB5"/>
    <w:rsid w:val="00FF0061"/>
    <w:rsid w:val="00FF0209"/>
    <w:rsid w:val="00FF0257"/>
    <w:rsid w:val="00FF071C"/>
    <w:rsid w:val="00FF0A40"/>
    <w:rsid w:val="00FF0C03"/>
    <w:rsid w:val="00FF0CFF"/>
    <w:rsid w:val="00FF15D2"/>
    <w:rsid w:val="00FF211D"/>
    <w:rsid w:val="00FF22C3"/>
    <w:rsid w:val="00FF2481"/>
    <w:rsid w:val="00FF252B"/>
    <w:rsid w:val="00FF2EBE"/>
    <w:rsid w:val="00FF31BA"/>
    <w:rsid w:val="00FF33C2"/>
    <w:rsid w:val="00FF397C"/>
    <w:rsid w:val="00FF39A8"/>
    <w:rsid w:val="00FF4612"/>
    <w:rsid w:val="00FF47D4"/>
    <w:rsid w:val="00FF49BE"/>
    <w:rsid w:val="00FF4CD9"/>
    <w:rsid w:val="00FF589F"/>
    <w:rsid w:val="00FF5B0F"/>
    <w:rsid w:val="00FF5EF1"/>
    <w:rsid w:val="00FF667A"/>
    <w:rsid w:val="00FF6B86"/>
    <w:rsid w:val="00FF6C43"/>
    <w:rsid w:val="00FF6DDB"/>
    <w:rsid w:val="00FF73A7"/>
    <w:rsid w:val="00FF73CD"/>
    <w:rsid w:val="00FF75A1"/>
    <w:rsid w:val="00FF777A"/>
    <w:rsid w:val="00FF786D"/>
    <w:rsid w:val="00FF7E77"/>
    <w:rsid w:val="00FF7F20"/>
    <w:rsid w:val="22D2A768"/>
    <w:rsid w:val="23ACA0E4"/>
    <w:rsid w:val="27482788"/>
    <w:rsid w:val="27A30A0D"/>
    <w:rsid w:val="2D830CBD"/>
    <w:rsid w:val="2F8D0B8B"/>
    <w:rsid w:val="359A5310"/>
    <w:rsid w:val="3AEEF62C"/>
    <w:rsid w:val="633E2069"/>
    <w:rsid w:val="69F43F8D"/>
    <w:rsid w:val="77AD2E4C"/>
    <w:rsid w:val="7A499FE8"/>
    <w:rsid w:val="7F86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7365CF32-4B36-44AF-B6B1-CDDB320E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6076F"/>
    <w:pPr>
      <w:keepNext/>
      <w:spacing w:before="120" w:after="240"/>
      <w:outlineLvl w:val="0"/>
    </w:pPr>
    <w:rPr>
      <w:rFonts w:ascii="Arial Bold" w:hAnsi="Arial Bold" w:cs="Arial"/>
      <w:b/>
      <w:bCs/>
      <w:kern w:val="3"/>
      <w:sz w:val="32"/>
      <w:szCs w:val="32"/>
    </w:rPr>
  </w:style>
  <w:style w:type="paragraph" w:styleId="Heading2">
    <w:name w:val="heading 2"/>
    <w:basedOn w:val="Heading10"/>
    <w:next w:val="GHBodytext"/>
    <w:link w:val="Heading2Char"/>
    <w:unhideWhenUsed/>
    <w:qFormat/>
    <w:rsid w:val="009D7CE6"/>
    <w:pPr>
      <w:spacing w:before="80"/>
      <w:outlineLvl w:val="1"/>
    </w:pPr>
    <w:rPr>
      <w:bCs w:val="0"/>
      <w:iCs/>
      <w:sz w:val="28"/>
      <w:szCs w:val="28"/>
    </w:rPr>
  </w:style>
  <w:style w:type="paragraph" w:styleId="Heading3">
    <w:name w:val="heading 3"/>
    <w:basedOn w:val="Heading2"/>
    <w:next w:val="GHBodytext"/>
    <w:link w:val="Heading3Char"/>
    <w:unhideWhenUsed/>
    <w:qFormat/>
    <w:rsid w:val="008746E7"/>
    <w:pPr>
      <w:outlineLvl w:val="2"/>
    </w:pPr>
    <w:rPr>
      <w:rFonts w:ascii="Arial" w:hAnsi="Arial"/>
      <w:bCs/>
      <w:sz w:val="24"/>
      <w:szCs w:val="26"/>
    </w:rPr>
  </w:style>
  <w:style w:type="paragraph" w:styleId="Heading4">
    <w:name w:val="heading 4"/>
    <w:basedOn w:val="Heading3"/>
    <w:next w:val="GHBodytext"/>
    <w:link w:val="Heading4Char"/>
    <w:unhideWhenUsed/>
    <w:qFormat/>
    <w:rsid w:val="0091456A"/>
    <w:pPr>
      <w:outlineLvl w:val="3"/>
    </w:pPr>
    <w:rPr>
      <w:rFonts w:ascii="Arial Bold" w:hAnsi="Arial Bold"/>
      <w:bCs w:val="0"/>
      <w:color w:val="036479" w:themeColor="text2"/>
      <w:sz w:val="23"/>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6076F"/>
    <w:rPr>
      <w:rFonts w:ascii="Arial Bold" w:hAnsi="Arial Bold" w:cs="Arial"/>
      <w:b/>
      <w:bCs/>
      <w:kern w:val="3"/>
      <w:sz w:val="32"/>
      <w:szCs w:val="32"/>
    </w:rPr>
  </w:style>
  <w:style w:type="character" w:customStyle="1" w:styleId="Heading2Char">
    <w:name w:val="Heading 2 Char"/>
    <w:basedOn w:val="DefaultParagraphFont"/>
    <w:link w:val="Heading2"/>
    <w:locked/>
    <w:rsid w:val="009D7CE6"/>
    <w:rPr>
      <w:rFonts w:ascii="Arial Bold" w:hAnsi="Arial Bold" w:cs="Arial"/>
      <w:b/>
      <w:iCs/>
      <w:kern w:val="3"/>
      <w:sz w:val="28"/>
      <w:szCs w:val="28"/>
    </w:rPr>
  </w:style>
  <w:style w:type="character" w:customStyle="1" w:styleId="Heading3Char">
    <w:name w:val="Heading 3 Char"/>
    <w:basedOn w:val="DefaultParagraphFont"/>
    <w:link w:val="Heading3"/>
    <w:locked/>
    <w:rsid w:val="008746E7"/>
    <w:rPr>
      <w:rFonts w:ascii="Arial" w:hAnsi="Arial" w:cs="Arial"/>
      <w:b/>
      <w:bCs/>
      <w:iCs/>
      <w:kern w:val="3"/>
      <w:sz w:val="24"/>
      <w:szCs w:val="26"/>
    </w:rPr>
  </w:style>
  <w:style w:type="character" w:customStyle="1" w:styleId="Heading4Char">
    <w:name w:val="Heading 4 Char"/>
    <w:basedOn w:val="DefaultParagraphFont"/>
    <w:link w:val="Heading4"/>
    <w:locked/>
    <w:rsid w:val="0091456A"/>
    <w:rPr>
      <w:rFonts w:ascii="Arial Bold" w:hAnsi="Arial Bold" w:cs="Arial"/>
      <w:b/>
      <w:i/>
      <w:iCs/>
      <w:color w:val="036479" w:themeColor="text2"/>
      <w:kern w:val="3"/>
      <w:sz w:val="23"/>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4B73FE"/>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next w:val="Normal"/>
    <w:link w:val="SourceChar"/>
    <w:rsid w:val="00F00209"/>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C00CFA"/>
    <w:pPr>
      <w:spacing w:before="0" w:after="0"/>
    </w:pPr>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4B73FE"/>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4742E5"/>
    <w:pPr>
      <w:tabs>
        <w:tab w:val="center" w:pos="4680"/>
      </w:tabs>
      <w:suppressAutoHyphens w:val="0"/>
      <w:autoSpaceDN/>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4742E5"/>
    <w:rPr>
      <w:rFonts w:ascii="Arial Bold" w:eastAsia="Calibri" w:hAnsi="Arial Bold"/>
      <w:b/>
      <w:sz w:val="32"/>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F00209"/>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Bodoni MT" w:hAnsi="Bodoni M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val="0"/>
      <w:iCs w:val="0"/>
      <w:color w:val="036479" w:themeColor="text2"/>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244">
      <w:bodyDiv w:val="1"/>
      <w:marLeft w:val="0"/>
      <w:marRight w:val="0"/>
      <w:marTop w:val="0"/>
      <w:marBottom w:val="0"/>
      <w:divBdr>
        <w:top w:val="none" w:sz="0" w:space="0" w:color="auto"/>
        <w:left w:val="none" w:sz="0" w:space="0" w:color="auto"/>
        <w:bottom w:val="none" w:sz="0" w:space="0" w:color="auto"/>
        <w:right w:val="none" w:sz="0" w:space="0" w:color="auto"/>
      </w:divBdr>
    </w:div>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75136548">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88308327">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160236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60043616">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65426609">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291594345">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39089112">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1702052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57817153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37497086">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698622221">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7470964">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26422190">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139474">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09991905">
      <w:bodyDiv w:val="1"/>
      <w:marLeft w:val="0"/>
      <w:marRight w:val="0"/>
      <w:marTop w:val="0"/>
      <w:marBottom w:val="0"/>
      <w:divBdr>
        <w:top w:val="none" w:sz="0" w:space="0" w:color="auto"/>
        <w:left w:val="none" w:sz="0" w:space="0" w:color="auto"/>
        <w:bottom w:val="none" w:sz="0" w:space="0" w:color="auto"/>
        <w:right w:val="none" w:sz="0" w:space="0" w:color="auto"/>
      </w:divBdr>
    </w:div>
    <w:div w:id="1213420663">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383401571">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00266117">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95899223">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32903525">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692411441">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61257240">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192668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ilsag.info/technical-reference-manual.html"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footer" Target="footer3.xml"/><Relationship Id="rId29" Type="http://schemas.openxmlformats.org/officeDocument/2006/relationships/hyperlink" Target="https://www.ilsag.info/evaluator-ntg-recommendations-for-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lsag.info/evaluator-ntg-recommendations-for-2024/"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yperlink" Target="https://www.ilsag.info/evaluator-ntg-recommendations-for-2024/" TargetMode="External"/><Relationship Id="rId28" Type="http://schemas.openxmlformats.org/officeDocument/2006/relationships/hyperlink" Target="https://www.ilsag.info/evaluator-ntg-recommendations-for-202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hyperlink" Target="https://www.ilsag.info/evaluator-ntg-recommendations-for-2024/" TargetMode="External"/><Relationship Id="rId30" Type="http://schemas.openxmlformats.org/officeDocument/2006/relationships/hyperlink" Target="http://www.ilsag.info/technical-reference-manual.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de2eb9d0-3061-4c18-9413-69418103d2db"/>
    <ds:schemaRef ds:uri="60393cac-1d2c-412a-a327-b4621e378482"/>
    <ds:schemaRef ds:uri="c7dbb18a-942d-48ab-becb-8e31551bea5d"/>
    <ds:schemaRef ds:uri="b2d023fd-748d-47fb-9def-a48ce366a9e6"/>
    <ds:schemaRef ds:uri="http://schemas.microsoft.com/sharepoint/v3"/>
  </ds:schemaRefs>
</ds:datastoreItem>
</file>

<file path=customXml/itemProps3.xml><?xml version="1.0" encoding="utf-8"?>
<ds:datastoreItem xmlns:ds="http://schemas.openxmlformats.org/officeDocument/2006/customXml" ds:itemID="{547B786C-D220-4995-8EDE-84EB6EDC0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2292</TotalTime>
  <Pages>22</Pages>
  <Words>5522</Words>
  <Characters>35365</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593</cp:revision>
  <cp:lastPrinted>2017-10-03T19:32:00Z</cp:lastPrinted>
  <dcterms:created xsi:type="dcterms:W3CDTF">2024-01-23T05:36:00Z</dcterms:created>
  <dcterms:modified xsi:type="dcterms:W3CDTF">2025-03-21T03:37:00Z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