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15E8" w14:textId="77777777" w:rsidR="00A1054C" w:rsidRPr="00B53186" w:rsidRDefault="00A1054C">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63BE2" w:rsidRPr="006C1252" w14:paraId="4A37E6DE" w14:textId="77777777" w:rsidTr="44ED0DB0">
        <w:trPr>
          <w:trHeight w:val="2114"/>
          <w:jc w:val="center"/>
        </w:trPr>
        <w:tc>
          <w:tcPr>
            <w:tcW w:w="9360" w:type="dxa"/>
            <w:gridSpan w:val="8"/>
          </w:tcPr>
          <w:p w14:paraId="0AD937A2" w14:textId="77777777" w:rsidR="00A1054C" w:rsidRPr="008F5FB2" w:rsidRDefault="00A1054C">
            <w:pPr>
              <w:pStyle w:val="Title"/>
            </w:pPr>
          </w:p>
        </w:tc>
      </w:tr>
      <w:tr w:rsidR="00A63BE2" w:rsidRPr="006C1252" w14:paraId="28A22F1C" w14:textId="77777777" w:rsidTr="44ED0DB0">
        <w:trPr>
          <w:trHeight w:val="2114"/>
          <w:jc w:val="center"/>
        </w:trPr>
        <w:tc>
          <w:tcPr>
            <w:tcW w:w="9360" w:type="dxa"/>
            <w:gridSpan w:val="8"/>
          </w:tcPr>
          <w:p w14:paraId="5DA0A225" w14:textId="737EEEA7" w:rsidR="00A1054C" w:rsidRDefault="665A8420">
            <w:pPr>
              <w:pStyle w:val="Title"/>
            </w:pPr>
            <w:bookmarkStart w:id="0" w:name="Title_Program_Name"/>
            <w:r>
              <w:t xml:space="preserve">Business </w:t>
            </w:r>
            <w:r w:rsidR="00A1054C">
              <w:t>New Construction</w:t>
            </w:r>
            <w:bookmarkEnd w:id="0"/>
            <w:r w:rsidR="00A1054C">
              <w:t xml:space="preserve"> Impact Evaluation Report</w:t>
            </w:r>
          </w:p>
          <w:p w14:paraId="76795AED" w14:textId="77777777" w:rsidR="00A1054C" w:rsidRPr="00E84648" w:rsidRDefault="00A1054C">
            <w:pPr>
              <w:pStyle w:val="Subtitle"/>
              <w:rPr>
                <w:b w:val="0"/>
                <w:bCs/>
              </w:rPr>
            </w:pPr>
            <w:r>
              <w:t xml:space="preserve">Energy Efficiency Plan: Program Year 2024 </w:t>
            </w:r>
            <w:r>
              <w:br/>
              <w:t>(1/1/2024-12/31/2024)</w:t>
            </w:r>
          </w:p>
        </w:tc>
      </w:tr>
      <w:tr w:rsidR="00A63BE2" w:rsidRPr="00C324C7" w14:paraId="4D935A92" w14:textId="77777777" w:rsidTr="44ED0DB0">
        <w:trPr>
          <w:trHeight w:val="2263"/>
          <w:jc w:val="center"/>
        </w:trPr>
        <w:tc>
          <w:tcPr>
            <w:tcW w:w="9360" w:type="dxa"/>
            <w:gridSpan w:val="8"/>
          </w:tcPr>
          <w:p w14:paraId="70F60622" w14:textId="77777777" w:rsidR="00A1054C" w:rsidRDefault="00A1054C">
            <w:pPr>
              <w:pStyle w:val="Preparedfor"/>
            </w:pPr>
            <w:r>
              <w:t>Prepared for:</w:t>
            </w:r>
            <w:r w:rsidRPr="009B6AE4">
              <w:rPr>
                <w:color w:val="FF0000"/>
              </w:rPr>
              <w:t xml:space="preserve"> </w:t>
            </w:r>
          </w:p>
          <w:p w14:paraId="295632B3" w14:textId="77777777" w:rsidR="00A1054C" w:rsidRDefault="00A1054C">
            <w:pPr>
              <w:pStyle w:val="Preparedfor"/>
            </w:pPr>
            <w:r>
              <w:t>Nicor Gas Company</w:t>
            </w:r>
          </w:p>
          <w:p w14:paraId="6AE3C9AD" w14:textId="77777777" w:rsidR="00A1054C" w:rsidRPr="004F0F97" w:rsidRDefault="00A1054C">
            <w:pPr>
              <w:pStyle w:val="CoverClientName0"/>
            </w:pPr>
            <w:r w:rsidRPr="004F0F97">
              <w:t>DRAFT</w:t>
            </w:r>
          </w:p>
          <w:p w14:paraId="3FBCEB15" w14:textId="71D743DB" w:rsidR="00A1054C" w:rsidRPr="00363D18" w:rsidRDefault="00302DE0">
            <w:pPr>
              <w:pStyle w:val="CoverClientName0"/>
              <w:spacing w:after="0"/>
            </w:pPr>
            <w:r>
              <w:t>March 1</w:t>
            </w:r>
            <w:r w:rsidR="00C179E2">
              <w:t>2</w:t>
            </w:r>
            <w:r>
              <w:t>, 2025</w:t>
            </w:r>
          </w:p>
        </w:tc>
      </w:tr>
      <w:tr w:rsidR="00A63BE2" w:rsidRPr="00A53568" w14:paraId="32FAF77B" w14:textId="77777777" w:rsidTr="44ED0DB0">
        <w:trPr>
          <w:trHeight w:val="419"/>
          <w:jc w:val="center"/>
        </w:trPr>
        <w:tc>
          <w:tcPr>
            <w:tcW w:w="6739" w:type="dxa"/>
            <w:gridSpan w:val="5"/>
          </w:tcPr>
          <w:p w14:paraId="290679FE" w14:textId="77777777" w:rsidR="00A1054C" w:rsidRDefault="00A1054C">
            <w:pPr>
              <w:pStyle w:val="BodyTextBold"/>
              <w:rPr>
                <w:rStyle w:val="CoverText"/>
              </w:rPr>
            </w:pPr>
          </w:p>
          <w:p w14:paraId="7882CEC6" w14:textId="057F1BA5" w:rsidR="00A1054C" w:rsidRDefault="00A1054C">
            <w:pPr>
              <w:pStyle w:val="BodyTextBold"/>
              <w:rPr>
                <w:rStyle w:val="CoverText"/>
              </w:rPr>
            </w:pPr>
            <w:r>
              <w:rPr>
                <w:rStyle w:val="CoverText"/>
              </w:rPr>
              <w:t xml:space="preserve">Prepared by: </w:t>
            </w:r>
          </w:p>
        </w:tc>
        <w:tc>
          <w:tcPr>
            <w:tcW w:w="2621" w:type="dxa"/>
            <w:gridSpan w:val="3"/>
          </w:tcPr>
          <w:p w14:paraId="4D438966" w14:textId="77777777" w:rsidR="00A1054C" w:rsidRDefault="00A1054C">
            <w:pPr>
              <w:pStyle w:val="BodyTextNoSpacingAfter"/>
              <w:rPr>
                <w:rStyle w:val="CoverText"/>
              </w:rPr>
            </w:pPr>
          </w:p>
        </w:tc>
      </w:tr>
      <w:tr w:rsidR="00302DE0" w:rsidRPr="00957EA9" w14:paraId="7992DDE2" w14:textId="77777777" w:rsidTr="44ED0DB0">
        <w:trPr>
          <w:trHeight w:val="900"/>
          <w:jc w:val="center"/>
        </w:trPr>
        <w:tc>
          <w:tcPr>
            <w:tcW w:w="3227" w:type="dxa"/>
          </w:tcPr>
          <w:p w14:paraId="28D6BBFD" w14:textId="55767A96" w:rsidR="00302DE0" w:rsidRPr="001226F2" w:rsidRDefault="00302DE0" w:rsidP="00302DE0">
            <w:pPr>
              <w:pStyle w:val="BodyTextNoSpacingAfter"/>
              <w:rPr>
                <w:rStyle w:val="CoverText"/>
              </w:rPr>
            </w:pPr>
            <w:r>
              <w:rPr>
                <w:rStyle w:val="CoverText"/>
              </w:rPr>
              <w:t>Jenna DeFrancisco</w:t>
            </w:r>
          </w:p>
          <w:p w14:paraId="3019B9EF" w14:textId="50F6B106" w:rsidR="00302DE0" w:rsidRPr="008B387B" w:rsidRDefault="00302DE0" w:rsidP="00302DE0">
            <w:pPr>
              <w:pStyle w:val="PresentedBy"/>
              <w:rPr>
                <w:bCs/>
                <w:color w:val="auto"/>
              </w:rPr>
            </w:pPr>
            <w:r w:rsidRPr="001226F2">
              <w:rPr>
                <w:rStyle w:val="CoverText"/>
              </w:rPr>
              <w:t>Opinion Dynamics</w:t>
            </w:r>
          </w:p>
        </w:tc>
        <w:tc>
          <w:tcPr>
            <w:tcW w:w="3489" w:type="dxa"/>
            <w:gridSpan w:val="3"/>
          </w:tcPr>
          <w:p w14:paraId="3E6B2224" w14:textId="77777777" w:rsidR="00302DE0" w:rsidRPr="001226F2" w:rsidRDefault="00302DE0" w:rsidP="00302DE0">
            <w:pPr>
              <w:pStyle w:val="BodyTextNoSpacingAfter"/>
              <w:rPr>
                <w:rStyle w:val="CoverText"/>
                <w:iCs w:val="0"/>
              </w:rPr>
            </w:pPr>
            <w:r>
              <w:rPr>
                <w:rStyle w:val="CoverText"/>
                <w:iCs w:val="0"/>
              </w:rPr>
              <w:t>N</w:t>
            </w:r>
            <w:r>
              <w:rPr>
                <w:rStyle w:val="CoverText"/>
              </w:rPr>
              <w:t>ick Plants</w:t>
            </w:r>
          </w:p>
          <w:p w14:paraId="7C47C067" w14:textId="2F0984B0" w:rsidR="00302DE0" w:rsidRPr="008B387B" w:rsidRDefault="00302DE0" w:rsidP="00302DE0">
            <w:pPr>
              <w:pStyle w:val="BodyTextNoSpacingAfter"/>
              <w:rPr>
                <w:rStyle w:val="CoverText"/>
                <w:bCs/>
              </w:rPr>
            </w:pPr>
            <w:r w:rsidRPr="001226F2">
              <w:rPr>
                <w:rStyle w:val="CoverText"/>
              </w:rPr>
              <w:t>Opinion Dynamics</w:t>
            </w:r>
          </w:p>
        </w:tc>
        <w:tc>
          <w:tcPr>
            <w:tcW w:w="2644" w:type="dxa"/>
            <w:gridSpan w:val="4"/>
          </w:tcPr>
          <w:p w14:paraId="38089855" w14:textId="77777777" w:rsidR="00302DE0" w:rsidRDefault="00302DE0" w:rsidP="00302DE0">
            <w:pPr>
              <w:pStyle w:val="PresentedBy"/>
              <w:rPr>
                <w:rStyle w:val="CoverText"/>
                <w:bCs/>
                <w:iCs/>
              </w:rPr>
            </w:pPr>
            <w:r>
              <w:rPr>
                <w:rStyle w:val="CoverText"/>
                <w:bCs/>
                <w:iCs/>
              </w:rPr>
              <w:t>Ryan Kroll</w:t>
            </w:r>
          </w:p>
          <w:p w14:paraId="67AD2C8C" w14:textId="61E1694F" w:rsidR="00302DE0" w:rsidRPr="00957EA9" w:rsidRDefault="00302DE0" w:rsidP="00302DE0">
            <w:pPr>
              <w:pStyle w:val="PresentedBy"/>
              <w:rPr>
                <w:rStyle w:val="CoverText"/>
                <w:bCs/>
                <w:iCs/>
              </w:rPr>
            </w:pPr>
            <w:r>
              <w:rPr>
                <w:rStyle w:val="CoverText"/>
                <w:bCs/>
                <w:iCs/>
              </w:rPr>
              <w:t>Driftless Energy</w:t>
            </w:r>
          </w:p>
        </w:tc>
      </w:tr>
      <w:tr w:rsidR="00A63BE2" w14:paraId="16299A90" w14:textId="77777777" w:rsidTr="44ED0DB0">
        <w:trPr>
          <w:jc w:val="center"/>
        </w:trPr>
        <w:tc>
          <w:tcPr>
            <w:tcW w:w="3227" w:type="dxa"/>
            <w:vAlign w:val="center"/>
          </w:tcPr>
          <w:p w14:paraId="12571DF1" w14:textId="77777777" w:rsidR="00A1054C" w:rsidRPr="00957EA9" w:rsidRDefault="00A1054C">
            <w:pPr>
              <w:pStyle w:val="PresentedBy"/>
              <w:jc w:val="center"/>
              <w:rPr>
                <w:b/>
                <w:color w:val="auto"/>
              </w:rPr>
            </w:pPr>
          </w:p>
        </w:tc>
        <w:tc>
          <w:tcPr>
            <w:tcW w:w="3489" w:type="dxa"/>
            <w:gridSpan w:val="3"/>
            <w:vAlign w:val="center"/>
          </w:tcPr>
          <w:p w14:paraId="33245D53" w14:textId="77777777" w:rsidR="00A1054C" w:rsidRPr="6BF7E7CA" w:rsidRDefault="00A1054C">
            <w:pPr>
              <w:pStyle w:val="PresentedBy"/>
              <w:jc w:val="center"/>
              <w:rPr>
                <w:b/>
                <w:bCs/>
                <w:color w:val="auto"/>
              </w:rPr>
            </w:pPr>
          </w:p>
        </w:tc>
        <w:tc>
          <w:tcPr>
            <w:tcW w:w="2644" w:type="dxa"/>
            <w:gridSpan w:val="4"/>
          </w:tcPr>
          <w:p w14:paraId="151D0A87" w14:textId="77777777" w:rsidR="00A1054C" w:rsidRDefault="00A1054C">
            <w:pPr>
              <w:pStyle w:val="PresentedBy"/>
              <w:rPr>
                <w:b/>
                <w:color w:val="auto"/>
              </w:rPr>
            </w:pPr>
          </w:p>
        </w:tc>
      </w:tr>
      <w:tr w:rsidR="00A63BE2" w:rsidRPr="00D8064B" w14:paraId="4CE57199" w14:textId="77777777" w:rsidTr="44ED0DB0">
        <w:trPr>
          <w:trHeight w:val="1135"/>
          <w:jc w:val="center"/>
        </w:trPr>
        <w:tc>
          <w:tcPr>
            <w:tcW w:w="3227" w:type="dxa"/>
            <w:vAlign w:val="center"/>
          </w:tcPr>
          <w:p w14:paraId="551B3EA8" w14:textId="77777777" w:rsidR="00A1054C" w:rsidRPr="00D8064B" w:rsidRDefault="00A1054C">
            <w:pPr>
              <w:pStyle w:val="TitlepageRestriction"/>
              <w:jc w:val="center"/>
              <w:rPr>
                <w:sz w:val="18"/>
                <w:szCs w:val="18"/>
              </w:rPr>
            </w:pPr>
          </w:p>
        </w:tc>
        <w:tc>
          <w:tcPr>
            <w:tcW w:w="3324" w:type="dxa"/>
            <w:vAlign w:val="center"/>
          </w:tcPr>
          <w:p w14:paraId="113FA3A7" w14:textId="77777777" w:rsidR="00A1054C" w:rsidRPr="00D8064B" w:rsidRDefault="00A1054C">
            <w:pPr>
              <w:pStyle w:val="TitlepageRestriction"/>
              <w:jc w:val="center"/>
              <w:rPr>
                <w:sz w:val="18"/>
                <w:szCs w:val="18"/>
              </w:rPr>
            </w:pPr>
          </w:p>
        </w:tc>
        <w:tc>
          <w:tcPr>
            <w:tcW w:w="2058" w:type="dxa"/>
            <w:gridSpan w:val="5"/>
            <w:vAlign w:val="center"/>
          </w:tcPr>
          <w:p w14:paraId="5175F15E" w14:textId="77777777" w:rsidR="00A1054C" w:rsidRPr="00D8064B" w:rsidRDefault="00A1054C">
            <w:pPr>
              <w:pStyle w:val="TitlepageRestriction"/>
              <w:jc w:val="center"/>
              <w:rPr>
                <w:sz w:val="18"/>
                <w:szCs w:val="18"/>
              </w:rPr>
            </w:pPr>
          </w:p>
        </w:tc>
        <w:tc>
          <w:tcPr>
            <w:tcW w:w="751" w:type="dxa"/>
          </w:tcPr>
          <w:p w14:paraId="34B989BA" w14:textId="77777777" w:rsidR="00A1054C" w:rsidRPr="00D8064B" w:rsidRDefault="00A1054C">
            <w:pPr>
              <w:pStyle w:val="TitlepageRestriction"/>
              <w:rPr>
                <w:sz w:val="18"/>
                <w:szCs w:val="18"/>
              </w:rPr>
            </w:pPr>
          </w:p>
        </w:tc>
      </w:tr>
      <w:tr w:rsidR="00A63BE2" w:rsidRPr="005D53EC" w14:paraId="4EB66736" w14:textId="77777777" w:rsidTr="44ED0DB0">
        <w:trPr>
          <w:trHeight w:val="495"/>
          <w:jc w:val="center"/>
        </w:trPr>
        <w:tc>
          <w:tcPr>
            <w:tcW w:w="3227" w:type="dxa"/>
            <w:vAlign w:val="center"/>
          </w:tcPr>
          <w:p w14:paraId="1943C9EF" w14:textId="77777777" w:rsidR="00A1054C" w:rsidRPr="00D8064B" w:rsidRDefault="00A1054C">
            <w:pPr>
              <w:pStyle w:val="TitlepageRestriction"/>
              <w:rPr>
                <w:sz w:val="18"/>
                <w:szCs w:val="18"/>
              </w:rPr>
            </w:pPr>
            <w:r w:rsidRPr="00D8064B">
              <w:rPr>
                <w:b/>
                <w:sz w:val="18"/>
                <w:szCs w:val="18"/>
              </w:rPr>
              <w:t>guidehouse.com</w:t>
            </w:r>
          </w:p>
        </w:tc>
        <w:tc>
          <w:tcPr>
            <w:tcW w:w="3482" w:type="dxa"/>
            <w:gridSpan w:val="2"/>
          </w:tcPr>
          <w:p w14:paraId="58A69703" w14:textId="77777777" w:rsidR="00A1054C" w:rsidRPr="00D8064B" w:rsidRDefault="00A1054C">
            <w:pPr>
              <w:pStyle w:val="TitlepageRestriction"/>
              <w:rPr>
                <w:sz w:val="18"/>
                <w:szCs w:val="18"/>
              </w:rPr>
            </w:pPr>
          </w:p>
        </w:tc>
        <w:tc>
          <w:tcPr>
            <w:tcW w:w="1541" w:type="dxa"/>
            <w:gridSpan w:val="3"/>
            <w:vAlign w:val="center"/>
          </w:tcPr>
          <w:p w14:paraId="09FC28FB" w14:textId="77777777" w:rsidR="00A1054C" w:rsidRPr="00D8064B" w:rsidRDefault="00A1054C">
            <w:pPr>
              <w:pStyle w:val="TitlepageRestriction"/>
              <w:rPr>
                <w:sz w:val="18"/>
                <w:szCs w:val="18"/>
              </w:rPr>
            </w:pPr>
          </w:p>
        </w:tc>
        <w:tc>
          <w:tcPr>
            <w:tcW w:w="1110" w:type="dxa"/>
            <w:gridSpan w:val="2"/>
          </w:tcPr>
          <w:p w14:paraId="29BCE553" w14:textId="77777777" w:rsidR="00A1054C" w:rsidRPr="00D8064B" w:rsidRDefault="00A1054C">
            <w:pPr>
              <w:pStyle w:val="TitlepageRestriction"/>
              <w:rPr>
                <w:sz w:val="18"/>
                <w:szCs w:val="18"/>
              </w:rPr>
            </w:pPr>
          </w:p>
        </w:tc>
      </w:tr>
    </w:tbl>
    <w:p w14:paraId="46A25616" w14:textId="77777777" w:rsidR="00A1054C" w:rsidRPr="004B7712" w:rsidRDefault="00A1054C">
      <w:pPr>
        <w:sectPr w:rsidR="00A1054C" w:rsidRPr="004B7712">
          <w:headerReference w:type="default" r:id="rId11"/>
          <w:footerReference w:type="even" r:id="rId12"/>
          <w:footerReference w:type="default" r:id="rId13"/>
          <w:headerReference w:type="first" r:id="rId14"/>
          <w:pgSz w:w="12240" w:h="15840" w:code="1"/>
          <w:pgMar w:top="432" w:right="1008" w:bottom="432" w:left="1008" w:header="720" w:footer="720" w:gutter="0"/>
          <w:cols w:space="720"/>
          <w:titlePg/>
          <w:docGrid w:linePitch="360"/>
        </w:sectPr>
      </w:pPr>
    </w:p>
    <w:p w14:paraId="5CCD712B" w14:textId="77777777" w:rsidR="00A1054C" w:rsidRPr="00CE09F1" w:rsidRDefault="00A1054C">
      <w:pPr>
        <w:pStyle w:val="Contactinfo"/>
      </w:pPr>
    </w:p>
    <w:p w14:paraId="507B5D08" w14:textId="77777777" w:rsidR="00A1054C" w:rsidRPr="00CE09F1" w:rsidRDefault="00A1054C">
      <w:pPr>
        <w:pStyle w:val="Contactinfo"/>
      </w:pPr>
    </w:p>
    <w:p w14:paraId="27ACD0A7" w14:textId="77777777" w:rsidR="00A1054C" w:rsidRPr="00CE09F1" w:rsidRDefault="00A1054C">
      <w:pPr>
        <w:pStyle w:val="Contactinfo"/>
      </w:pPr>
    </w:p>
    <w:p w14:paraId="2BCD5ADB" w14:textId="77777777" w:rsidR="00A1054C" w:rsidRPr="00CE09F1" w:rsidRDefault="00A1054C">
      <w:pPr>
        <w:pStyle w:val="Contactinfo"/>
      </w:pPr>
    </w:p>
    <w:p w14:paraId="00234247" w14:textId="77777777" w:rsidR="00A1054C" w:rsidRPr="00CE09F1" w:rsidRDefault="00A1054C">
      <w:pPr>
        <w:pStyle w:val="Contactinfo"/>
      </w:pPr>
    </w:p>
    <w:p w14:paraId="63B2528A" w14:textId="77777777" w:rsidR="00A1054C" w:rsidRPr="005621C7" w:rsidRDefault="00A1054C">
      <w:pPr>
        <w:pStyle w:val="Contactinfo"/>
        <w:rPr>
          <w:b/>
        </w:rPr>
      </w:pPr>
    </w:p>
    <w:p w14:paraId="4B15738A" w14:textId="77777777" w:rsidR="00A1054C" w:rsidRPr="005621C7" w:rsidRDefault="00A1054C">
      <w:pPr>
        <w:pStyle w:val="Contactinfo"/>
        <w:rPr>
          <w:b/>
        </w:rPr>
      </w:pPr>
      <w:r w:rsidRPr="005621C7">
        <w:rPr>
          <w:b/>
        </w:rPr>
        <w:t>Submitted to:</w:t>
      </w:r>
    </w:p>
    <w:p w14:paraId="10FE6395" w14:textId="77777777" w:rsidR="00A1054C" w:rsidRPr="005621C7" w:rsidRDefault="00A1054C">
      <w:pPr>
        <w:pStyle w:val="Contactinfo"/>
      </w:pPr>
    </w:p>
    <w:p w14:paraId="0A3EF491" w14:textId="77777777" w:rsidR="00A1054C" w:rsidRPr="000E3526" w:rsidRDefault="00A1054C">
      <w:pPr>
        <w:pStyle w:val="Contactinfo"/>
      </w:pPr>
      <w:r>
        <w:t>Nicor Gas Company</w:t>
      </w:r>
    </w:p>
    <w:p w14:paraId="2C392350" w14:textId="77777777" w:rsidR="00A1054C" w:rsidRPr="000E3526" w:rsidRDefault="00A1054C">
      <w:pPr>
        <w:pStyle w:val="Contactinfo"/>
      </w:pPr>
      <w:r>
        <w:t>1844 Ferry Road</w:t>
      </w:r>
    </w:p>
    <w:p w14:paraId="270C763A" w14:textId="77777777" w:rsidR="00A1054C" w:rsidRPr="000E3526" w:rsidRDefault="00A1054C">
      <w:pPr>
        <w:pStyle w:val="Contactinfo"/>
      </w:pPr>
      <w:r>
        <w:t>Naperville, IL 60563</w:t>
      </w:r>
    </w:p>
    <w:p w14:paraId="24205175" w14:textId="77777777" w:rsidR="00A1054C" w:rsidRPr="005621C7" w:rsidRDefault="00A1054C">
      <w:pPr>
        <w:pStyle w:val="Contactinfo"/>
      </w:pPr>
    </w:p>
    <w:p w14:paraId="06E1CCCD" w14:textId="77777777" w:rsidR="00A1054C" w:rsidRPr="005621C7" w:rsidRDefault="00A1054C">
      <w:pPr>
        <w:pStyle w:val="Contactinfo"/>
      </w:pPr>
    </w:p>
    <w:p w14:paraId="1F7A790A" w14:textId="77777777" w:rsidR="00A1054C" w:rsidRPr="005621C7" w:rsidRDefault="00A1054C">
      <w:pPr>
        <w:pStyle w:val="Contactinfo"/>
        <w:rPr>
          <w:b/>
        </w:rPr>
      </w:pPr>
      <w:r w:rsidRPr="005621C7">
        <w:rPr>
          <w:b/>
        </w:rPr>
        <w:t>Submitted by:</w:t>
      </w:r>
    </w:p>
    <w:p w14:paraId="388240B0" w14:textId="77777777" w:rsidR="00A1054C" w:rsidRPr="005621C7" w:rsidRDefault="00A1054C">
      <w:pPr>
        <w:pStyle w:val="Contactinfo"/>
      </w:pPr>
    </w:p>
    <w:p w14:paraId="77F8616C" w14:textId="77777777" w:rsidR="00A1054C" w:rsidRPr="005621C7" w:rsidRDefault="00A1054C">
      <w:pPr>
        <w:pStyle w:val="Contactinfo"/>
      </w:pPr>
      <w:r>
        <w:t>Guidehouse</w:t>
      </w:r>
    </w:p>
    <w:p w14:paraId="0EBE6300" w14:textId="77777777" w:rsidR="00A1054C" w:rsidRPr="005621C7" w:rsidRDefault="00A1054C">
      <w:pPr>
        <w:pStyle w:val="Contactinfo"/>
      </w:pPr>
      <w:r>
        <w:t>150 N. Riverside Plaza, Suite 2100</w:t>
      </w:r>
    </w:p>
    <w:p w14:paraId="38E8A6BB" w14:textId="77777777" w:rsidR="00A1054C" w:rsidRPr="005621C7" w:rsidRDefault="00A1054C">
      <w:pPr>
        <w:pStyle w:val="Contactinfo"/>
      </w:pPr>
      <w:r w:rsidRPr="005621C7">
        <w:t>Chicago, IL 60606</w:t>
      </w:r>
    </w:p>
    <w:p w14:paraId="50512275" w14:textId="77777777" w:rsidR="00A1054C" w:rsidRPr="005621C7" w:rsidRDefault="00A1054C">
      <w:pPr>
        <w:pStyle w:val="Contactinfo"/>
      </w:pPr>
    </w:p>
    <w:p w14:paraId="53A3CA21" w14:textId="77777777" w:rsidR="00A1054C" w:rsidRPr="005621C7" w:rsidRDefault="00A1054C">
      <w:pPr>
        <w:pStyle w:val="Contactinfo"/>
      </w:pPr>
    </w:p>
    <w:p w14:paraId="4D8E35D8" w14:textId="77777777" w:rsidR="00A1054C" w:rsidRPr="005621C7" w:rsidRDefault="00A1054C">
      <w:pPr>
        <w:pStyle w:val="Contactinfo"/>
      </w:pPr>
      <w:r w:rsidRPr="005621C7">
        <w:rPr>
          <w:b/>
        </w:rPr>
        <w:t>Contact:</w:t>
      </w:r>
    </w:p>
    <w:p w14:paraId="63B481D9" w14:textId="77777777" w:rsidR="00A1054C" w:rsidRPr="005621C7" w:rsidRDefault="00A1054C" w:rsidP="5C7EFA69">
      <w:pPr>
        <w:pStyle w:val="Contactinfo"/>
        <w:rPr>
          <w:sz w:val="18"/>
          <w:szCs w:val="18"/>
        </w:rPr>
      </w:pPr>
    </w:p>
    <w:tbl>
      <w:tblPr>
        <w:tblW w:w="10057" w:type="dxa"/>
        <w:tblInd w:w="-90" w:type="dxa"/>
        <w:tblLook w:val="00A0" w:firstRow="1" w:lastRow="0" w:firstColumn="1" w:lastColumn="0" w:noHBand="0" w:noVBand="0"/>
      </w:tblPr>
      <w:tblGrid>
        <w:gridCol w:w="3330"/>
        <w:gridCol w:w="3420"/>
        <w:gridCol w:w="3307"/>
      </w:tblGrid>
      <w:tr w:rsidR="00A63BE2" w:rsidRPr="007B32D7" w14:paraId="078E5D3E" w14:textId="77777777" w:rsidTr="5C7EFA69">
        <w:tc>
          <w:tcPr>
            <w:tcW w:w="3330" w:type="dxa"/>
          </w:tcPr>
          <w:p w14:paraId="1EE64EA1"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 xml:space="preserve">Ted Walker </w:t>
            </w:r>
          </w:p>
          <w:p w14:paraId="04634671"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Partner </w:t>
            </w:r>
          </w:p>
          <w:p w14:paraId="6F920942"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404.602.3463  </w:t>
            </w:r>
          </w:p>
          <w:p w14:paraId="507A0942"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b/>
                <w:bCs/>
                <w:sz w:val="17"/>
                <w:szCs w:val="17"/>
              </w:rPr>
            </w:pPr>
            <w:r w:rsidRPr="00C179E2">
              <w:rPr>
                <w:rFonts w:ascii="Arial" w:eastAsiaTheme="minorEastAsia" w:hAnsi="Arial" w:cstheme="minorBidi"/>
                <w:b/>
                <w:bCs/>
                <w:sz w:val="17"/>
                <w:szCs w:val="17"/>
              </w:rPr>
              <w:t xml:space="preserve">ted.walker@guidehouse.com  </w:t>
            </w:r>
          </w:p>
          <w:p w14:paraId="74C2128C" w14:textId="77777777" w:rsidR="00A1054C" w:rsidRPr="00C179E2" w:rsidRDefault="00A1054C" w:rsidP="44ED0DB0">
            <w:pPr>
              <w:pStyle w:val="paragraph"/>
              <w:spacing w:before="0" w:beforeAutospacing="0" w:after="0" w:afterAutospacing="0"/>
              <w:textAlignment w:val="baseline"/>
              <w:rPr>
                <w:sz w:val="17"/>
                <w:szCs w:val="17"/>
              </w:rPr>
            </w:pPr>
          </w:p>
          <w:p w14:paraId="544E8270" w14:textId="77777777" w:rsidR="00A1054C" w:rsidRPr="00C179E2" w:rsidRDefault="00A1054C" w:rsidP="44ED0DB0">
            <w:pPr>
              <w:pStyle w:val="Contactinfo"/>
              <w:rPr>
                <w:sz w:val="17"/>
                <w:szCs w:val="17"/>
              </w:rPr>
            </w:pPr>
            <w:r w:rsidRPr="00C179E2">
              <w:rPr>
                <w:sz w:val="17"/>
                <w:szCs w:val="17"/>
              </w:rPr>
              <w:t>Charles Ampong</w:t>
            </w:r>
            <w:r>
              <w:br/>
            </w:r>
            <w:r w:rsidRPr="00C179E2">
              <w:rPr>
                <w:sz w:val="17"/>
                <w:szCs w:val="17"/>
              </w:rPr>
              <w:t>Associate Director</w:t>
            </w:r>
          </w:p>
          <w:p w14:paraId="62EEED02" w14:textId="77777777" w:rsidR="00A1054C" w:rsidRPr="00C179E2" w:rsidRDefault="00A1054C" w:rsidP="44ED0DB0">
            <w:pPr>
              <w:pStyle w:val="Contactinfo"/>
              <w:rPr>
                <w:sz w:val="17"/>
                <w:szCs w:val="17"/>
              </w:rPr>
            </w:pPr>
            <w:r w:rsidRPr="00C179E2">
              <w:rPr>
                <w:sz w:val="17"/>
                <w:szCs w:val="17"/>
              </w:rPr>
              <w:t>608.446.3172</w:t>
            </w:r>
          </w:p>
          <w:p w14:paraId="03075C44" w14:textId="77777777" w:rsidR="00A1054C" w:rsidRPr="00C179E2" w:rsidRDefault="00A1054C" w:rsidP="44ED0DB0">
            <w:pPr>
              <w:pStyle w:val="Contactinfo"/>
              <w:rPr>
                <w:sz w:val="17"/>
                <w:szCs w:val="17"/>
              </w:rPr>
            </w:pPr>
            <w:r w:rsidRPr="00C179E2">
              <w:rPr>
                <w:b/>
                <w:bCs/>
                <w:sz w:val="17"/>
                <w:szCs w:val="17"/>
              </w:rPr>
              <w:t>charles.ampong@guidehouse.com</w:t>
            </w:r>
          </w:p>
          <w:p w14:paraId="4C6B5DD1" w14:textId="77777777" w:rsidR="00A1054C" w:rsidRPr="00C179E2" w:rsidRDefault="00A1054C" w:rsidP="44ED0DB0">
            <w:pPr>
              <w:pStyle w:val="Contactinfo"/>
              <w:rPr>
                <w:sz w:val="17"/>
                <w:szCs w:val="17"/>
              </w:rPr>
            </w:pPr>
          </w:p>
          <w:p w14:paraId="4DFAEED9" w14:textId="77777777" w:rsidR="00A1054C" w:rsidRPr="00C179E2" w:rsidRDefault="00A1054C" w:rsidP="44ED0DB0">
            <w:pPr>
              <w:pStyle w:val="Contactinfo"/>
              <w:rPr>
                <w:sz w:val="17"/>
                <w:szCs w:val="17"/>
              </w:rPr>
            </w:pPr>
          </w:p>
        </w:tc>
        <w:tc>
          <w:tcPr>
            <w:tcW w:w="3420" w:type="dxa"/>
          </w:tcPr>
          <w:p w14:paraId="2EA9D619"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 xml:space="preserve">Jeff Erickson </w:t>
            </w:r>
          </w:p>
          <w:p w14:paraId="448739B3"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Director </w:t>
            </w:r>
          </w:p>
          <w:p w14:paraId="12BD5FD9"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r w:rsidRPr="00C179E2">
              <w:rPr>
                <w:rFonts w:ascii="Arial" w:eastAsiaTheme="minorEastAsia" w:hAnsi="Arial" w:cstheme="minorBidi"/>
                <w:sz w:val="17"/>
                <w:szCs w:val="17"/>
              </w:rPr>
              <w:t>608.616.4962 </w:t>
            </w:r>
          </w:p>
          <w:p w14:paraId="0612B6D1" w14:textId="77777777" w:rsidR="00A1054C" w:rsidRPr="00C179E2" w:rsidRDefault="00A1054C" w:rsidP="44ED0DB0">
            <w:pPr>
              <w:pStyle w:val="paragraph"/>
              <w:spacing w:before="0" w:beforeAutospacing="0" w:after="0" w:afterAutospacing="0"/>
              <w:textAlignment w:val="baseline"/>
              <w:rPr>
                <w:rStyle w:val="Hyperlink"/>
                <w:rFonts w:eastAsiaTheme="minorEastAsia" w:cstheme="minorBidi"/>
                <w:sz w:val="17"/>
                <w:szCs w:val="17"/>
              </w:rPr>
            </w:pPr>
            <w:r w:rsidRPr="00C179E2">
              <w:rPr>
                <w:rFonts w:ascii="Arial" w:eastAsiaTheme="minorEastAsia" w:hAnsi="Arial" w:cstheme="minorBidi"/>
                <w:b/>
                <w:bCs/>
                <w:sz w:val="17"/>
                <w:szCs w:val="17"/>
              </w:rPr>
              <w:t>jeff.erickson@guidehouse.com</w:t>
            </w:r>
          </w:p>
          <w:p w14:paraId="16FC1F22" w14:textId="77777777" w:rsidR="00A1054C" w:rsidRPr="00C179E2" w:rsidRDefault="00A1054C" w:rsidP="44ED0DB0">
            <w:pPr>
              <w:pStyle w:val="paragraph"/>
              <w:spacing w:before="0" w:beforeAutospacing="0" w:after="0" w:afterAutospacing="0"/>
              <w:textAlignment w:val="baseline"/>
              <w:rPr>
                <w:rFonts w:ascii="Arial" w:eastAsiaTheme="minorEastAsia" w:hAnsi="Arial" w:cstheme="minorBidi"/>
                <w:sz w:val="17"/>
                <w:szCs w:val="17"/>
              </w:rPr>
            </w:pPr>
          </w:p>
          <w:p w14:paraId="61431F76" w14:textId="77777777" w:rsidR="00A1054C" w:rsidRPr="00C179E2" w:rsidRDefault="00A1054C" w:rsidP="44ED0DB0">
            <w:pPr>
              <w:pStyle w:val="Contactinfo"/>
              <w:rPr>
                <w:sz w:val="17"/>
                <w:szCs w:val="17"/>
              </w:rPr>
            </w:pPr>
          </w:p>
        </w:tc>
        <w:tc>
          <w:tcPr>
            <w:tcW w:w="3307" w:type="dxa"/>
          </w:tcPr>
          <w:p w14:paraId="671ACFFA" w14:textId="77777777" w:rsidR="00A1054C" w:rsidRPr="00C179E2" w:rsidRDefault="00A1054C" w:rsidP="44ED0DB0">
            <w:pPr>
              <w:pStyle w:val="Contactinfo"/>
              <w:rPr>
                <w:sz w:val="17"/>
                <w:szCs w:val="17"/>
              </w:rPr>
            </w:pPr>
            <w:r w:rsidRPr="00C179E2">
              <w:rPr>
                <w:sz w:val="17"/>
                <w:szCs w:val="17"/>
              </w:rPr>
              <w:t>Laura Agapay-Read</w:t>
            </w:r>
            <w:r>
              <w:br/>
            </w:r>
            <w:r w:rsidRPr="00C179E2">
              <w:rPr>
                <w:sz w:val="17"/>
                <w:szCs w:val="17"/>
              </w:rPr>
              <w:t>Associate Director</w:t>
            </w:r>
          </w:p>
          <w:p w14:paraId="0AA9890F" w14:textId="77777777" w:rsidR="00A1054C" w:rsidRPr="00C179E2" w:rsidRDefault="00A1054C" w:rsidP="44ED0DB0">
            <w:pPr>
              <w:pStyle w:val="Contactinfo"/>
              <w:rPr>
                <w:sz w:val="17"/>
                <w:szCs w:val="17"/>
              </w:rPr>
            </w:pPr>
            <w:r w:rsidRPr="00C179E2">
              <w:rPr>
                <w:sz w:val="17"/>
                <w:szCs w:val="17"/>
              </w:rPr>
              <w:t>312.583.4178</w:t>
            </w:r>
          </w:p>
          <w:p w14:paraId="24FBB2C2" w14:textId="77777777" w:rsidR="00A1054C" w:rsidRPr="00C179E2" w:rsidRDefault="00A1054C" w:rsidP="44ED0DB0">
            <w:pPr>
              <w:pStyle w:val="Contactinfo"/>
              <w:rPr>
                <w:sz w:val="17"/>
                <w:szCs w:val="17"/>
              </w:rPr>
            </w:pPr>
            <w:r w:rsidRPr="00C179E2">
              <w:rPr>
                <w:b/>
                <w:bCs/>
                <w:sz w:val="17"/>
                <w:szCs w:val="17"/>
              </w:rPr>
              <w:t>laura.agapay.read@guidehouse.com</w:t>
            </w:r>
          </w:p>
          <w:p w14:paraId="670579B1" w14:textId="77777777" w:rsidR="00A1054C" w:rsidRPr="00C179E2" w:rsidRDefault="00A1054C" w:rsidP="44ED0DB0">
            <w:pPr>
              <w:pStyle w:val="Contactinfo"/>
              <w:rPr>
                <w:color w:val="0070C0"/>
                <w:sz w:val="17"/>
                <w:szCs w:val="17"/>
              </w:rPr>
            </w:pPr>
          </w:p>
          <w:p w14:paraId="581A6480" w14:textId="77777777" w:rsidR="00A1054C" w:rsidRPr="00C179E2" w:rsidRDefault="00A1054C" w:rsidP="44ED0DB0">
            <w:pPr>
              <w:pStyle w:val="Contactinfo"/>
              <w:rPr>
                <w:sz w:val="17"/>
                <w:szCs w:val="17"/>
              </w:rPr>
            </w:pPr>
          </w:p>
        </w:tc>
      </w:tr>
    </w:tbl>
    <w:p w14:paraId="7B9BC5B9" w14:textId="77777777" w:rsidR="00A1054C" w:rsidRPr="005621C7" w:rsidRDefault="00A1054C">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21FD3EDF" w14:textId="77777777" w:rsidR="00A1054C" w:rsidRPr="005621C7" w:rsidRDefault="00A1054C">
      <w:pPr>
        <w:pStyle w:val="Contactinfo"/>
        <w:sectPr w:rsidR="00A1054C" w:rsidRPr="005621C7">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0B61C3D0" w14:textId="77777777" w:rsidR="00A1054C" w:rsidRPr="005621C7" w:rsidRDefault="00A1054C" w:rsidP="00302DE0">
      <w:pPr>
        <w:pStyle w:val="TOCHeading"/>
      </w:pPr>
      <w:r w:rsidRPr="005621C7">
        <w:lastRenderedPageBreak/>
        <w:t>Table of Contents</w:t>
      </w:r>
    </w:p>
    <w:p w14:paraId="40A1AB06" w14:textId="632EB75C" w:rsidR="00A1054C" w:rsidRDefault="00A1054C">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89833643" w:history="1">
        <w:r w:rsidRPr="009031B6">
          <w:rPr>
            <w:rStyle w:val="Hyperlink"/>
            <w:noProof/>
          </w:rPr>
          <w:t>Introduction</w:t>
        </w:r>
        <w:r>
          <w:rPr>
            <w:noProof/>
            <w:webHidden/>
          </w:rPr>
          <w:tab/>
        </w:r>
        <w:r>
          <w:rPr>
            <w:noProof/>
            <w:webHidden/>
          </w:rPr>
          <w:fldChar w:fldCharType="begin"/>
        </w:r>
        <w:r>
          <w:rPr>
            <w:noProof/>
            <w:webHidden/>
          </w:rPr>
          <w:instrText xml:space="preserve"> PAGEREF _Toc189833643 \h </w:instrText>
        </w:r>
        <w:r>
          <w:rPr>
            <w:noProof/>
            <w:webHidden/>
          </w:rPr>
        </w:r>
        <w:r>
          <w:rPr>
            <w:noProof/>
            <w:webHidden/>
          </w:rPr>
          <w:fldChar w:fldCharType="separate"/>
        </w:r>
        <w:r>
          <w:rPr>
            <w:noProof/>
            <w:webHidden/>
          </w:rPr>
          <w:t>2</w:t>
        </w:r>
        <w:r>
          <w:rPr>
            <w:noProof/>
            <w:webHidden/>
          </w:rPr>
          <w:fldChar w:fldCharType="end"/>
        </w:r>
      </w:hyperlink>
    </w:p>
    <w:p w14:paraId="152AE252"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44" w:history="1">
        <w:r w:rsidR="00A1054C" w:rsidRPr="009031B6">
          <w:rPr>
            <w:rStyle w:val="Hyperlink"/>
            <w:noProof/>
          </w:rPr>
          <w:t>Program Description</w:t>
        </w:r>
        <w:r w:rsidR="00A1054C">
          <w:rPr>
            <w:noProof/>
            <w:webHidden/>
          </w:rPr>
          <w:tab/>
        </w:r>
        <w:r w:rsidR="00A1054C">
          <w:rPr>
            <w:noProof/>
            <w:webHidden/>
          </w:rPr>
          <w:fldChar w:fldCharType="begin"/>
        </w:r>
        <w:r w:rsidR="00A1054C">
          <w:rPr>
            <w:noProof/>
            <w:webHidden/>
          </w:rPr>
          <w:instrText xml:space="preserve"> PAGEREF _Toc189833644 \h </w:instrText>
        </w:r>
        <w:r w:rsidR="00A1054C">
          <w:rPr>
            <w:noProof/>
            <w:webHidden/>
          </w:rPr>
        </w:r>
        <w:r w:rsidR="00A1054C">
          <w:rPr>
            <w:noProof/>
            <w:webHidden/>
          </w:rPr>
          <w:fldChar w:fldCharType="separate"/>
        </w:r>
        <w:r w:rsidR="00A1054C">
          <w:rPr>
            <w:noProof/>
            <w:webHidden/>
          </w:rPr>
          <w:t>2</w:t>
        </w:r>
        <w:r w:rsidR="00A1054C">
          <w:rPr>
            <w:noProof/>
            <w:webHidden/>
          </w:rPr>
          <w:fldChar w:fldCharType="end"/>
        </w:r>
      </w:hyperlink>
    </w:p>
    <w:p w14:paraId="29390ECD"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45" w:history="1">
        <w:r w:rsidR="00A1054C" w:rsidRPr="009031B6">
          <w:rPr>
            <w:rStyle w:val="Hyperlink"/>
            <w:noProof/>
          </w:rPr>
          <w:t>Program Savings Detail</w:t>
        </w:r>
        <w:r w:rsidR="00A1054C">
          <w:rPr>
            <w:noProof/>
            <w:webHidden/>
          </w:rPr>
          <w:tab/>
        </w:r>
        <w:r w:rsidR="00A1054C">
          <w:rPr>
            <w:noProof/>
            <w:webHidden/>
          </w:rPr>
          <w:fldChar w:fldCharType="begin"/>
        </w:r>
        <w:r w:rsidR="00A1054C">
          <w:rPr>
            <w:noProof/>
            <w:webHidden/>
          </w:rPr>
          <w:instrText xml:space="preserve"> PAGEREF _Toc189833645 \h </w:instrText>
        </w:r>
        <w:r w:rsidR="00A1054C">
          <w:rPr>
            <w:noProof/>
            <w:webHidden/>
          </w:rPr>
        </w:r>
        <w:r w:rsidR="00A1054C">
          <w:rPr>
            <w:noProof/>
            <w:webHidden/>
          </w:rPr>
          <w:fldChar w:fldCharType="separate"/>
        </w:r>
        <w:r w:rsidR="00A1054C">
          <w:rPr>
            <w:noProof/>
            <w:webHidden/>
          </w:rPr>
          <w:t>3</w:t>
        </w:r>
        <w:r w:rsidR="00A1054C">
          <w:rPr>
            <w:noProof/>
            <w:webHidden/>
          </w:rPr>
          <w:fldChar w:fldCharType="end"/>
        </w:r>
      </w:hyperlink>
    </w:p>
    <w:p w14:paraId="0CF98BFE"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46" w:history="1">
        <w:r w:rsidR="00A1054C" w:rsidRPr="009031B6">
          <w:rPr>
            <w:rStyle w:val="Hyperlink"/>
            <w:noProof/>
          </w:rPr>
          <w:t>Program Savings by Measure</w:t>
        </w:r>
        <w:r w:rsidR="00A1054C">
          <w:rPr>
            <w:noProof/>
            <w:webHidden/>
          </w:rPr>
          <w:tab/>
        </w:r>
        <w:r w:rsidR="00A1054C">
          <w:rPr>
            <w:noProof/>
            <w:webHidden/>
          </w:rPr>
          <w:fldChar w:fldCharType="begin"/>
        </w:r>
        <w:r w:rsidR="00A1054C">
          <w:rPr>
            <w:noProof/>
            <w:webHidden/>
          </w:rPr>
          <w:instrText xml:space="preserve"> PAGEREF _Toc189833646 \h </w:instrText>
        </w:r>
        <w:r w:rsidR="00A1054C">
          <w:rPr>
            <w:noProof/>
            <w:webHidden/>
          </w:rPr>
        </w:r>
        <w:r w:rsidR="00A1054C">
          <w:rPr>
            <w:noProof/>
            <w:webHidden/>
          </w:rPr>
          <w:fldChar w:fldCharType="separate"/>
        </w:r>
        <w:r w:rsidR="00A1054C">
          <w:rPr>
            <w:noProof/>
            <w:webHidden/>
          </w:rPr>
          <w:t>4</w:t>
        </w:r>
        <w:r w:rsidR="00A1054C">
          <w:rPr>
            <w:noProof/>
            <w:webHidden/>
          </w:rPr>
          <w:fldChar w:fldCharType="end"/>
        </w:r>
      </w:hyperlink>
    </w:p>
    <w:p w14:paraId="5C7C479E"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47" w:history="1">
        <w:r w:rsidR="00A1054C" w:rsidRPr="009031B6">
          <w:rPr>
            <w:rStyle w:val="Hyperlink"/>
            <w:noProof/>
          </w:rPr>
          <w:t>Impact Analysis Findings and Recommendations</w:t>
        </w:r>
        <w:r w:rsidR="00A1054C">
          <w:rPr>
            <w:noProof/>
            <w:webHidden/>
          </w:rPr>
          <w:tab/>
        </w:r>
        <w:r w:rsidR="00A1054C">
          <w:rPr>
            <w:noProof/>
            <w:webHidden/>
          </w:rPr>
          <w:fldChar w:fldCharType="begin"/>
        </w:r>
        <w:r w:rsidR="00A1054C">
          <w:rPr>
            <w:noProof/>
            <w:webHidden/>
          </w:rPr>
          <w:instrText xml:space="preserve"> PAGEREF _Toc189833647 \h </w:instrText>
        </w:r>
        <w:r w:rsidR="00A1054C">
          <w:rPr>
            <w:noProof/>
            <w:webHidden/>
          </w:rPr>
        </w:r>
        <w:r w:rsidR="00A1054C">
          <w:rPr>
            <w:noProof/>
            <w:webHidden/>
          </w:rPr>
          <w:fldChar w:fldCharType="separate"/>
        </w:r>
        <w:r w:rsidR="00A1054C">
          <w:rPr>
            <w:noProof/>
            <w:webHidden/>
          </w:rPr>
          <w:t>5</w:t>
        </w:r>
        <w:r w:rsidR="00A1054C">
          <w:rPr>
            <w:noProof/>
            <w:webHidden/>
          </w:rPr>
          <w:fldChar w:fldCharType="end"/>
        </w:r>
      </w:hyperlink>
    </w:p>
    <w:p w14:paraId="26D46904" w14:textId="77777777" w:rsidR="00A1054C" w:rsidRDefault="00004DF4">
      <w:pPr>
        <w:pStyle w:val="TOC2"/>
        <w:rPr>
          <w:rFonts w:asciiTheme="minorHAnsi" w:eastAsiaTheme="minorEastAsia" w:hAnsiTheme="minorHAnsi" w:cstheme="minorBidi"/>
          <w:noProof/>
          <w:kern w:val="2"/>
          <w:szCs w:val="22"/>
          <w14:ligatures w14:val="standardContextual"/>
        </w:rPr>
      </w:pPr>
      <w:hyperlink w:anchor="_Toc189833648" w:history="1">
        <w:r w:rsidR="00A1054C" w:rsidRPr="009031B6">
          <w:rPr>
            <w:rStyle w:val="Hyperlink"/>
            <w:noProof/>
          </w:rPr>
          <w:t>Impact Parameter Estimates</w:t>
        </w:r>
        <w:r w:rsidR="00A1054C">
          <w:rPr>
            <w:noProof/>
            <w:webHidden/>
          </w:rPr>
          <w:tab/>
        </w:r>
        <w:r w:rsidR="00A1054C">
          <w:rPr>
            <w:noProof/>
            <w:webHidden/>
          </w:rPr>
          <w:fldChar w:fldCharType="begin"/>
        </w:r>
        <w:r w:rsidR="00A1054C">
          <w:rPr>
            <w:noProof/>
            <w:webHidden/>
          </w:rPr>
          <w:instrText xml:space="preserve"> PAGEREF _Toc189833648 \h </w:instrText>
        </w:r>
        <w:r w:rsidR="00A1054C">
          <w:rPr>
            <w:noProof/>
            <w:webHidden/>
          </w:rPr>
        </w:r>
        <w:r w:rsidR="00A1054C">
          <w:rPr>
            <w:noProof/>
            <w:webHidden/>
          </w:rPr>
          <w:fldChar w:fldCharType="separate"/>
        </w:r>
        <w:r w:rsidR="00A1054C">
          <w:rPr>
            <w:noProof/>
            <w:webHidden/>
          </w:rPr>
          <w:t>6</w:t>
        </w:r>
        <w:r w:rsidR="00A1054C">
          <w:rPr>
            <w:noProof/>
            <w:webHidden/>
          </w:rPr>
          <w:fldChar w:fldCharType="end"/>
        </w:r>
      </w:hyperlink>
    </w:p>
    <w:p w14:paraId="3DCD9884" w14:textId="77777777" w:rsidR="00A1054C" w:rsidRDefault="00004DF4">
      <w:pPr>
        <w:pStyle w:val="TOC2"/>
        <w:rPr>
          <w:rFonts w:asciiTheme="minorHAnsi" w:eastAsiaTheme="minorEastAsia" w:hAnsiTheme="minorHAnsi" w:cstheme="minorBidi"/>
          <w:noProof/>
          <w:kern w:val="2"/>
          <w:szCs w:val="22"/>
          <w14:ligatures w14:val="standardContextual"/>
        </w:rPr>
      </w:pPr>
      <w:hyperlink w:anchor="_Toc189833649" w:history="1">
        <w:r w:rsidR="00A1054C" w:rsidRPr="009031B6">
          <w:rPr>
            <w:rStyle w:val="Hyperlink"/>
            <w:noProof/>
          </w:rPr>
          <w:t>Findings and Recommendations</w:t>
        </w:r>
        <w:r w:rsidR="00A1054C">
          <w:rPr>
            <w:noProof/>
            <w:webHidden/>
          </w:rPr>
          <w:tab/>
        </w:r>
        <w:r w:rsidR="00A1054C">
          <w:rPr>
            <w:noProof/>
            <w:webHidden/>
          </w:rPr>
          <w:fldChar w:fldCharType="begin"/>
        </w:r>
        <w:r w:rsidR="00A1054C">
          <w:rPr>
            <w:noProof/>
            <w:webHidden/>
          </w:rPr>
          <w:instrText xml:space="preserve"> PAGEREF _Toc189833649 \h </w:instrText>
        </w:r>
        <w:r w:rsidR="00A1054C">
          <w:rPr>
            <w:noProof/>
            <w:webHidden/>
          </w:rPr>
        </w:r>
        <w:r w:rsidR="00A1054C">
          <w:rPr>
            <w:noProof/>
            <w:webHidden/>
          </w:rPr>
          <w:fldChar w:fldCharType="separate"/>
        </w:r>
        <w:r w:rsidR="00A1054C">
          <w:rPr>
            <w:noProof/>
            <w:webHidden/>
          </w:rPr>
          <w:t>7</w:t>
        </w:r>
        <w:r w:rsidR="00A1054C">
          <w:rPr>
            <w:noProof/>
            <w:webHidden/>
          </w:rPr>
          <w:fldChar w:fldCharType="end"/>
        </w:r>
      </w:hyperlink>
    </w:p>
    <w:p w14:paraId="1360E688"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50" w:history="1">
        <w:r w:rsidR="00A1054C" w:rsidRPr="009031B6">
          <w:rPr>
            <w:rStyle w:val="Hyperlink"/>
            <w:noProof/>
          </w:rPr>
          <w:t>Appendix A. Impact Analysis Methodology</w:t>
        </w:r>
        <w:r w:rsidR="00A1054C">
          <w:rPr>
            <w:noProof/>
            <w:webHidden/>
          </w:rPr>
          <w:tab/>
        </w:r>
        <w:r w:rsidR="00A1054C">
          <w:rPr>
            <w:noProof/>
            <w:webHidden/>
          </w:rPr>
          <w:fldChar w:fldCharType="begin"/>
        </w:r>
        <w:r w:rsidR="00A1054C">
          <w:rPr>
            <w:noProof/>
            <w:webHidden/>
          </w:rPr>
          <w:instrText xml:space="preserve"> PAGEREF _Toc189833650 \h </w:instrText>
        </w:r>
        <w:r w:rsidR="00A1054C">
          <w:rPr>
            <w:noProof/>
            <w:webHidden/>
          </w:rPr>
        </w:r>
        <w:r w:rsidR="00A1054C">
          <w:rPr>
            <w:noProof/>
            <w:webHidden/>
          </w:rPr>
          <w:fldChar w:fldCharType="separate"/>
        </w:r>
        <w:r w:rsidR="00A1054C">
          <w:rPr>
            <w:noProof/>
            <w:webHidden/>
          </w:rPr>
          <w:t>8</w:t>
        </w:r>
        <w:r w:rsidR="00A1054C">
          <w:rPr>
            <w:noProof/>
            <w:webHidden/>
          </w:rPr>
          <w:fldChar w:fldCharType="end"/>
        </w:r>
      </w:hyperlink>
    </w:p>
    <w:p w14:paraId="0778BC70" w14:textId="77777777" w:rsidR="00A1054C" w:rsidRDefault="00004DF4">
      <w:pPr>
        <w:pStyle w:val="TOC1"/>
        <w:rPr>
          <w:rFonts w:asciiTheme="minorHAnsi" w:eastAsiaTheme="minorEastAsia" w:hAnsiTheme="minorHAnsi" w:cstheme="minorBidi"/>
          <w:b w:val="0"/>
          <w:noProof/>
          <w:kern w:val="2"/>
          <w:szCs w:val="22"/>
          <w14:ligatures w14:val="standardContextual"/>
        </w:rPr>
      </w:pPr>
      <w:hyperlink w:anchor="_Toc189833651" w:history="1">
        <w:r w:rsidR="00A1054C" w:rsidRPr="009031B6">
          <w:rPr>
            <w:rStyle w:val="Hyperlink"/>
            <w:noProof/>
          </w:rPr>
          <w:t>Appendix B. Program Specific Inputs for the Illinois TRC</w:t>
        </w:r>
        <w:r w:rsidR="00A1054C">
          <w:rPr>
            <w:noProof/>
            <w:webHidden/>
          </w:rPr>
          <w:tab/>
        </w:r>
        <w:r w:rsidR="00A1054C">
          <w:rPr>
            <w:noProof/>
            <w:webHidden/>
          </w:rPr>
          <w:fldChar w:fldCharType="begin"/>
        </w:r>
        <w:r w:rsidR="00A1054C">
          <w:rPr>
            <w:noProof/>
            <w:webHidden/>
          </w:rPr>
          <w:instrText xml:space="preserve"> PAGEREF _Toc189833651 \h </w:instrText>
        </w:r>
        <w:r w:rsidR="00A1054C">
          <w:rPr>
            <w:noProof/>
            <w:webHidden/>
          </w:rPr>
        </w:r>
        <w:r w:rsidR="00A1054C">
          <w:rPr>
            <w:noProof/>
            <w:webHidden/>
          </w:rPr>
          <w:fldChar w:fldCharType="separate"/>
        </w:r>
        <w:r w:rsidR="00A1054C">
          <w:rPr>
            <w:noProof/>
            <w:webHidden/>
          </w:rPr>
          <w:t>10</w:t>
        </w:r>
        <w:r w:rsidR="00A1054C">
          <w:rPr>
            <w:noProof/>
            <w:webHidden/>
          </w:rPr>
          <w:fldChar w:fldCharType="end"/>
        </w:r>
      </w:hyperlink>
    </w:p>
    <w:p w14:paraId="3DE1BDAC" w14:textId="77777777" w:rsidR="00A1054C" w:rsidRDefault="00A1054C">
      <w:pPr>
        <w:pStyle w:val="TableofFigures"/>
      </w:pPr>
      <w:r>
        <w:rPr>
          <w:rFonts w:eastAsia="Calibri"/>
          <w:noProof/>
          <w:sz w:val="20"/>
          <w:szCs w:val="22"/>
        </w:rPr>
        <w:fldChar w:fldCharType="end"/>
      </w:r>
    </w:p>
    <w:p w14:paraId="1836570A" w14:textId="77777777" w:rsidR="00A1054C" w:rsidRPr="005621C7" w:rsidRDefault="00A1054C" w:rsidP="00302DE0">
      <w:pPr>
        <w:pStyle w:val="TOCHeading"/>
      </w:pPr>
      <w:r w:rsidRPr="005621C7">
        <w:t>List of Tables</w:t>
      </w:r>
      <w:r>
        <w:t>,</w:t>
      </w:r>
      <w:r w:rsidRPr="005621C7">
        <w:t xml:space="preserve"> Figures</w:t>
      </w:r>
      <w:r>
        <w:t>, and Equations</w:t>
      </w:r>
    </w:p>
    <w:p w14:paraId="12EDE94E" w14:textId="21F8ABCC" w:rsidR="00DA384D" w:rsidRDefault="00A1054C">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2241351" w:history="1">
        <w:r w:rsidR="00DA384D" w:rsidRPr="0063222C">
          <w:rPr>
            <w:rStyle w:val="Hyperlink"/>
            <w:noProof/>
          </w:rPr>
          <w:t>Table 1. 2024 Volumetric Findings Detail</w:t>
        </w:r>
        <w:r w:rsidR="00DA384D">
          <w:rPr>
            <w:noProof/>
            <w:webHidden/>
          </w:rPr>
          <w:tab/>
        </w:r>
        <w:r w:rsidR="00DA384D">
          <w:rPr>
            <w:noProof/>
            <w:webHidden/>
          </w:rPr>
          <w:fldChar w:fldCharType="begin"/>
        </w:r>
        <w:r w:rsidR="00DA384D">
          <w:rPr>
            <w:noProof/>
            <w:webHidden/>
          </w:rPr>
          <w:instrText xml:space="preserve"> PAGEREF _Toc192241351 \h </w:instrText>
        </w:r>
        <w:r w:rsidR="00DA384D">
          <w:rPr>
            <w:noProof/>
            <w:webHidden/>
          </w:rPr>
        </w:r>
        <w:r w:rsidR="00DA384D">
          <w:rPr>
            <w:noProof/>
            <w:webHidden/>
          </w:rPr>
          <w:fldChar w:fldCharType="separate"/>
        </w:r>
        <w:r w:rsidR="00DA384D">
          <w:rPr>
            <w:noProof/>
            <w:webHidden/>
          </w:rPr>
          <w:t>2</w:t>
        </w:r>
        <w:r w:rsidR="00DA384D">
          <w:rPr>
            <w:noProof/>
            <w:webHidden/>
          </w:rPr>
          <w:fldChar w:fldCharType="end"/>
        </w:r>
      </w:hyperlink>
    </w:p>
    <w:p w14:paraId="4C1C0C7C" w14:textId="604BF32E" w:rsidR="00DA384D" w:rsidRDefault="00004DF4">
      <w:pPr>
        <w:pStyle w:val="TableofFigures"/>
        <w:rPr>
          <w:rFonts w:asciiTheme="minorHAnsi" w:eastAsiaTheme="minorEastAsia" w:hAnsiTheme="minorHAnsi" w:cstheme="minorBidi"/>
          <w:noProof/>
          <w:kern w:val="2"/>
          <w:sz w:val="24"/>
          <w14:ligatures w14:val="standardContextual"/>
        </w:rPr>
      </w:pPr>
      <w:hyperlink w:anchor="_Toc192241352" w:history="1">
        <w:r w:rsidR="00DA384D" w:rsidRPr="0063222C">
          <w:rPr>
            <w:rStyle w:val="Hyperlink"/>
            <w:noProof/>
          </w:rPr>
          <w:t>Table 3. 2024 Annual Energy Savings Summary</w:t>
        </w:r>
        <w:r w:rsidR="00DA384D">
          <w:rPr>
            <w:noProof/>
            <w:webHidden/>
          </w:rPr>
          <w:tab/>
        </w:r>
        <w:r w:rsidR="00DA384D">
          <w:rPr>
            <w:noProof/>
            <w:webHidden/>
          </w:rPr>
          <w:fldChar w:fldCharType="begin"/>
        </w:r>
        <w:r w:rsidR="00DA384D">
          <w:rPr>
            <w:noProof/>
            <w:webHidden/>
          </w:rPr>
          <w:instrText xml:space="preserve"> PAGEREF _Toc192241352 \h </w:instrText>
        </w:r>
        <w:r w:rsidR="00DA384D">
          <w:rPr>
            <w:noProof/>
            <w:webHidden/>
          </w:rPr>
        </w:r>
        <w:r w:rsidR="00DA384D">
          <w:rPr>
            <w:noProof/>
            <w:webHidden/>
          </w:rPr>
          <w:fldChar w:fldCharType="separate"/>
        </w:r>
        <w:r w:rsidR="00DA384D">
          <w:rPr>
            <w:noProof/>
            <w:webHidden/>
          </w:rPr>
          <w:t>3</w:t>
        </w:r>
        <w:r w:rsidR="00DA384D">
          <w:rPr>
            <w:noProof/>
            <w:webHidden/>
          </w:rPr>
          <w:fldChar w:fldCharType="end"/>
        </w:r>
      </w:hyperlink>
    </w:p>
    <w:p w14:paraId="6B17BEE5" w14:textId="04AB4D33" w:rsidR="00DA384D" w:rsidRDefault="00004DF4">
      <w:pPr>
        <w:pStyle w:val="TableofFigures"/>
        <w:rPr>
          <w:rFonts w:asciiTheme="minorHAnsi" w:eastAsiaTheme="minorEastAsia" w:hAnsiTheme="minorHAnsi" w:cstheme="minorBidi"/>
          <w:noProof/>
          <w:kern w:val="2"/>
          <w:sz w:val="24"/>
          <w14:ligatures w14:val="standardContextual"/>
        </w:rPr>
      </w:pPr>
      <w:hyperlink w:anchor="_Toc192241353" w:history="1">
        <w:r w:rsidR="00DA384D" w:rsidRPr="0063222C">
          <w:rPr>
            <w:rStyle w:val="Hyperlink"/>
            <w:noProof/>
          </w:rPr>
          <w:t>Table 5. Verified Gross Savings Parameters</w:t>
        </w:r>
        <w:r w:rsidR="00DA384D">
          <w:rPr>
            <w:noProof/>
            <w:webHidden/>
          </w:rPr>
          <w:tab/>
        </w:r>
        <w:r w:rsidR="00DA384D">
          <w:rPr>
            <w:noProof/>
            <w:webHidden/>
          </w:rPr>
          <w:fldChar w:fldCharType="begin"/>
        </w:r>
        <w:r w:rsidR="00DA384D">
          <w:rPr>
            <w:noProof/>
            <w:webHidden/>
          </w:rPr>
          <w:instrText xml:space="preserve"> PAGEREF _Toc192241353 \h </w:instrText>
        </w:r>
        <w:r w:rsidR="00DA384D">
          <w:rPr>
            <w:noProof/>
            <w:webHidden/>
          </w:rPr>
        </w:r>
        <w:r w:rsidR="00DA384D">
          <w:rPr>
            <w:noProof/>
            <w:webHidden/>
          </w:rPr>
          <w:fldChar w:fldCharType="separate"/>
        </w:r>
        <w:r w:rsidR="00DA384D">
          <w:rPr>
            <w:noProof/>
            <w:webHidden/>
          </w:rPr>
          <w:t>4</w:t>
        </w:r>
        <w:r w:rsidR="00DA384D">
          <w:rPr>
            <w:noProof/>
            <w:webHidden/>
          </w:rPr>
          <w:fldChar w:fldCharType="end"/>
        </w:r>
      </w:hyperlink>
    </w:p>
    <w:p w14:paraId="5CA7FD9E" w14:textId="09034CD5" w:rsidR="00A1054C" w:rsidRDefault="00A1054C">
      <w:pPr>
        <w:pStyle w:val="TableofFigures"/>
      </w:pPr>
      <w:r>
        <w:fldChar w:fldCharType="end"/>
      </w:r>
    </w:p>
    <w:p w14:paraId="5A418028" w14:textId="17A6E159" w:rsidR="000145F5" w:rsidRDefault="00A1054C">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2512594" w:history="1">
        <w:r w:rsidR="000145F5" w:rsidRPr="005038E6">
          <w:rPr>
            <w:rStyle w:val="Hyperlink"/>
            <w:noProof/>
          </w:rPr>
          <w:t>Table A</w:t>
        </w:r>
        <w:r w:rsidR="000145F5" w:rsidRPr="005038E6">
          <w:rPr>
            <w:rStyle w:val="Hyperlink"/>
            <w:noProof/>
          </w:rPr>
          <w:noBreakHyphen/>
          <w:t>1. 2024 BNC Program Profile of Gross Impact Sample for Projects (MMBtu)</w:t>
        </w:r>
        <w:r w:rsidR="000145F5">
          <w:rPr>
            <w:noProof/>
            <w:webHidden/>
          </w:rPr>
          <w:tab/>
        </w:r>
        <w:r w:rsidR="000145F5">
          <w:rPr>
            <w:noProof/>
            <w:webHidden/>
          </w:rPr>
          <w:fldChar w:fldCharType="begin"/>
        </w:r>
        <w:r w:rsidR="000145F5">
          <w:rPr>
            <w:noProof/>
            <w:webHidden/>
          </w:rPr>
          <w:instrText xml:space="preserve"> PAGEREF _Toc192512594 \h </w:instrText>
        </w:r>
        <w:r w:rsidR="000145F5">
          <w:rPr>
            <w:noProof/>
            <w:webHidden/>
          </w:rPr>
        </w:r>
        <w:r w:rsidR="000145F5">
          <w:rPr>
            <w:noProof/>
            <w:webHidden/>
          </w:rPr>
          <w:fldChar w:fldCharType="separate"/>
        </w:r>
        <w:r w:rsidR="000145F5">
          <w:rPr>
            <w:noProof/>
            <w:webHidden/>
          </w:rPr>
          <w:t>7</w:t>
        </w:r>
        <w:r w:rsidR="000145F5">
          <w:rPr>
            <w:noProof/>
            <w:webHidden/>
          </w:rPr>
          <w:fldChar w:fldCharType="end"/>
        </w:r>
      </w:hyperlink>
    </w:p>
    <w:p w14:paraId="1DDE7200" w14:textId="6E51E4B5" w:rsidR="000145F5" w:rsidRDefault="00004DF4">
      <w:pPr>
        <w:pStyle w:val="TableofFigures"/>
        <w:rPr>
          <w:rFonts w:asciiTheme="minorHAnsi" w:eastAsiaTheme="minorEastAsia" w:hAnsiTheme="minorHAnsi" w:cstheme="minorBidi"/>
          <w:noProof/>
          <w:kern w:val="2"/>
          <w:szCs w:val="22"/>
          <w14:ligatures w14:val="standardContextual"/>
        </w:rPr>
      </w:pPr>
      <w:hyperlink w:anchor="_Toc192512595" w:history="1">
        <w:r w:rsidR="000145F5" w:rsidRPr="005038E6">
          <w:rPr>
            <w:rStyle w:val="Hyperlink"/>
            <w:noProof/>
          </w:rPr>
          <w:t>Table A</w:t>
        </w:r>
        <w:r w:rsidR="000145F5" w:rsidRPr="005038E6">
          <w:rPr>
            <w:rStyle w:val="Hyperlink"/>
            <w:noProof/>
          </w:rPr>
          <w:noBreakHyphen/>
          <w:t>2. 2024 BNC Program Profile of Gross Impact Sample for Projects and Realization Rate</w:t>
        </w:r>
        <w:r w:rsidR="000145F5">
          <w:rPr>
            <w:noProof/>
            <w:webHidden/>
          </w:rPr>
          <w:tab/>
        </w:r>
        <w:r w:rsidR="000145F5">
          <w:rPr>
            <w:noProof/>
            <w:webHidden/>
          </w:rPr>
          <w:fldChar w:fldCharType="begin"/>
        </w:r>
        <w:r w:rsidR="000145F5">
          <w:rPr>
            <w:noProof/>
            <w:webHidden/>
          </w:rPr>
          <w:instrText xml:space="preserve"> PAGEREF _Toc192512595 \h </w:instrText>
        </w:r>
        <w:r w:rsidR="000145F5">
          <w:rPr>
            <w:noProof/>
            <w:webHidden/>
          </w:rPr>
        </w:r>
        <w:r w:rsidR="000145F5">
          <w:rPr>
            <w:noProof/>
            <w:webHidden/>
          </w:rPr>
          <w:fldChar w:fldCharType="separate"/>
        </w:r>
        <w:r w:rsidR="000145F5">
          <w:rPr>
            <w:noProof/>
            <w:webHidden/>
          </w:rPr>
          <w:t>7</w:t>
        </w:r>
        <w:r w:rsidR="000145F5">
          <w:rPr>
            <w:noProof/>
            <w:webHidden/>
          </w:rPr>
          <w:fldChar w:fldCharType="end"/>
        </w:r>
      </w:hyperlink>
    </w:p>
    <w:p w14:paraId="79C819F3" w14:textId="6B49BAF0" w:rsidR="000145F5" w:rsidRDefault="00004DF4">
      <w:pPr>
        <w:pStyle w:val="TableofFigures"/>
        <w:rPr>
          <w:rFonts w:asciiTheme="minorHAnsi" w:eastAsiaTheme="minorEastAsia" w:hAnsiTheme="minorHAnsi" w:cstheme="minorBidi"/>
          <w:noProof/>
          <w:kern w:val="2"/>
          <w:szCs w:val="22"/>
          <w14:ligatures w14:val="standardContextual"/>
        </w:rPr>
      </w:pPr>
      <w:hyperlink w:anchor="_Toc192512596" w:history="1">
        <w:r w:rsidR="000145F5" w:rsidRPr="005038E6">
          <w:rPr>
            <w:rStyle w:val="Hyperlink"/>
            <w:noProof/>
          </w:rPr>
          <w:t>Table A</w:t>
        </w:r>
        <w:r w:rsidR="000145F5" w:rsidRPr="005038E6">
          <w:rPr>
            <w:rStyle w:val="Hyperlink"/>
            <w:noProof/>
          </w:rPr>
          <w:noBreakHyphen/>
          <w:t>3. 2024 BNC Program Researched Gross Savings for Sampled Projects</w:t>
        </w:r>
        <w:r w:rsidR="000145F5">
          <w:rPr>
            <w:noProof/>
            <w:webHidden/>
          </w:rPr>
          <w:tab/>
        </w:r>
        <w:r w:rsidR="000145F5">
          <w:rPr>
            <w:noProof/>
            <w:webHidden/>
          </w:rPr>
          <w:fldChar w:fldCharType="begin"/>
        </w:r>
        <w:r w:rsidR="000145F5">
          <w:rPr>
            <w:noProof/>
            <w:webHidden/>
          </w:rPr>
          <w:instrText xml:space="preserve"> PAGEREF _Toc192512596 \h </w:instrText>
        </w:r>
        <w:r w:rsidR="000145F5">
          <w:rPr>
            <w:noProof/>
            <w:webHidden/>
          </w:rPr>
        </w:r>
        <w:r w:rsidR="000145F5">
          <w:rPr>
            <w:noProof/>
            <w:webHidden/>
          </w:rPr>
          <w:fldChar w:fldCharType="separate"/>
        </w:r>
        <w:r w:rsidR="000145F5">
          <w:rPr>
            <w:noProof/>
            <w:webHidden/>
          </w:rPr>
          <w:t>8</w:t>
        </w:r>
        <w:r w:rsidR="000145F5">
          <w:rPr>
            <w:noProof/>
            <w:webHidden/>
          </w:rPr>
          <w:fldChar w:fldCharType="end"/>
        </w:r>
      </w:hyperlink>
    </w:p>
    <w:p w14:paraId="0C988913" w14:textId="562C046E" w:rsidR="000145F5" w:rsidRDefault="00004DF4">
      <w:pPr>
        <w:pStyle w:val="TableofFigures"/>
        <w:rPr>
          <w:rFonts w:asciiTheme="minorHAnsi" w:eastAsiaTheme="minorEastAsia" w:hAnsiTheme="minorHAnsi" w:cstheme="minorBidi"/>
          <w:noProof/>
          <w:kern w:val="2"/>
          <w:szCs w:val="22"/>
          <w14:ligatures w14:val="standardContextual"/>
        </w:rPr>
      </w:pPr>
      <w:hyperlink w:anchor="_Toc192512597" w:history="1">
        <w:r w:rsidR="000145F5" w:rsidRPr="005038E6">
          <w:rPr>
            <w:rStyle w:val="Hyperlink"/>
            <w:noProof/>
          </w:rPr>
          <w:t>Table B</w:t>
        </w:r>
        <w:r w:rsidR="000145F5" w:rsidRPr="005038E6">
          <w:rPr>
            <w:rStyle w:val="Hyperlink"/>
            <w:noProof/>
          </w:rPr>
          <w:noBreakHyphen/>
          <w:t>1. Verified Cost Effectiveness Inputs</w:t>
        </w:r>
        <w:r w:rsidR="000145F5">
          <w:rPr>
            <w:noProof/>
            <w:webHidden/>
          </w:rPr>
          <w:tab/>
        </w:r>
        <w:r w:rsidR="000145F5">
          <w:rPr>
            <w:noProof/>
            <w:webHidden/>
          </w:rPr>
          <w:fldChar w:fldCharType="begin"/>
        </w:r>
        <w:r w:rsidR="000145F5">
          <w:rPr>
            <w:noProof/>
            <w:webHidden/>
          </w:rPr>
          <w:instrText xml:space="preserve"> PAGEREF _Toc192512597 \h </w:instrText>
        </w:r>
        <w:r w:rsidR="000145F5">
          <w:rPr>
            <w:noProof/>
            <w:webHidden/>
          </w:rPr>
        </w:r>
        <w:r w:rsidR="000145F5">
          <w:rPr>
            <w:noProof/>
            <w:webHidden/>
          </w:rPr>
          <w:fldChar w:fldCharType="separate"/>
        </w:r>
        <w:r w:rsidR="000145F5">
          <w:rPr>
            <w:noProof/>
            <w:webHidden/>
          </w:rPr>
          <w:t>10</w:t>
        </w:r>
        <w:r w:rsidR="000145F5">
          <w:rPr>
            <w:noProof/>
            <w:webHidden/>
          </w:rPr>
          <w:fldChar w:fldCharType="end"/>
        </w:r>
      </w:hyperlink>
    </w:p>
    <w:p w14:paraId="7E199533" w14:textId="77DEB3A0" w:rsidR="00A1054C" w:rsidRPr="005618B1" w:rsidRDefault="00A1054C">
      <w:pPr>
        <w:sectPr w:rsidR="00A1054C" w:rsidRPr="005618B1">
          <w:footerReference w:type="default" r:id="rId17"/>
          <w:pgSz w:w="12240" w:h="15840" w:code="1"/>
          <w:pgMar w:top="1440" w:right="1440" w:bottom="1440" w:left="1440" w:header="720" w:footer="720" w:gutter="0"/>
          <w:pgNumType w:fmt="lowerRoman" w:start="1"/>
          <w:cols w:space="720"/>
          <w:docGrid w:linePitch="360"/>
        </w:sectPr>
      </w:pPr>
      <w:r>
        <w:fldChar w:fldCharType="end"/>
      </w:r>
    </w:p>
    <w:p w14:paraId="367DC714" w14:textId="77777777" w:rsidR="00A1054C" w:rsidRDefault="00A1054C" w:rsidP="00302DE0">
      <w:pPr>
        <w:pStyle w:val="Heading10"/>
      </w:pPr>
      <w:bookmarkStart w:id="1" w:name="_Toc189833643"/>
      <w:r>
        <w:lastRenderedPageBreak/>
        <w:t>Introduction</w:t>
      </w:r>
      <w:bookmarkEnd w:id="1"/>
    </w:p>
    <w:p w14:paraId="124B265B" w14:textId="21404916" w:rsidR="00A1054C" w:rsidRPr="00A324A4" w:rsidRDefault="00302DE0">
      <w:pPr>
        <w:pStyle w:val="GHBodytext"/>
      </w:pPr>
      <w:r>
        <w:t xml:space="preserve">This report presents the results of the impact evaluation of the Nicor Gas 2024 Business New Construction (BNC) program. The appendices present the impact analysis methodology, detailed engineering desk review results, and Illinois total resource cost (TRC) inputs. Program year 2024 </w:t>
      </w:r>
      <w:r w:rsidR="00004DF4">
        <w:t xml:space="preserve">(PY2024) </w:t>
      </w:r>
      <w:r>
        <w:t>covers January 1, 2024, through December 31, 2024.</w:t>
      </w:r>
    </w:p>
    <w:p w14:paraId="680B2D99" w14:textId="77777777" w:rsidR="00A1054C" w:rsidRDefault="00A1054C" w:rsidP="00302DE0">
      <w:pPr>
        <w:pStyle w:val="Heading10"/>
      </w:pPr>
      <w:bookmarkStart w:id="2" w:name="_Toc189833644"/>
      <w:bookmarkStart w:id="3" w:name="_Toc241481251"/>
      <w:bookmarkStart w:id="4" w:name="_Toc255776003"/>
      <w:r>
        <w:t>Program Description</w:t>
      </w:r>
      <w:bookmarkEnd w:id="2"/>
    </w:p>
    <w:p w14:paraId="56D2E603" w14:textId="2CB71D70" w:rsidR="00302DE0" w:rsidRPr="00302DE0" w:rsidRDefault="00302DE0" w:rsidP="00302DE0">
      <w:pPr>
        <w:rPr>
          <w:rStyle w:val="CoverText"/>
          <w:bCs/>
          <w:iCs/>
          <w:noProof/>
          <w:szCs w:val="16"/>
        </w:rPr>
      </w:pPr>
      <w:bookmarkStart w:id="5" w:name="_Hlk500573405"/>
      <w:bookmarkStart w:id="6" w:name="_Ref38883149"/>
      <w:bookmarkStart w:id="7" w:name="_Toc38883092"/>
      <w:r w:rsidRPr="00302DE0">
        <w:rPr>
          <w:rStyle w:val="CoverText"/>
          <w:bCs/>
          <w:iCs/>
          <w:noProof/>
          <w:szCs w:val="16"/>
        </w:rPr>
        <w:t xml:space="preserve">The BNC program is offered jointly to commercial and industrial (C&amp;I) and public sector (PS) customers served by ComEd, Nicor Gas, Peoples Gas, and North Shore Gas. The program aims to capture immediate and long-term energy efficiency opportunities available during the design and construction of </w:t>
      </w:r>
      <w:r w:rsidR="00DA384D">
        <w:rPr>
          <w:rStyle w:val="CoverText"/>
          <w:bCs/>
          <w:iCs/>
          <w:noProof/>
          <w:szCs w:val="16"/>
        </w:rPr>
        <w:t>non-residential</w:t>
      </w:r>
      <w:r w:rsidRPr="00302DE0">
        <w:rPr>
          <w:rStyle w:val="CoverText"/>
          <w:bCs/>
          <w:iCs/>
          <w:noProof/>
          <w:szCs w:val="16"/>
        </w:rPr>
        <w:t xml:space="preserve"> and multifamily buildings. The program covers new buildings, additions, and major renovations. </w:t>
      </w:r>
    </w:p>
    <w:p w14:paraId="390780D7" w14:textId="77777777" w:rsidR="00302DE0" w:rsidRPr="00302DE0" w:rsidRDefault="00302DE0" w:rsidP="00302DE0">
      <w:pPr>
        <w:rPr>
          <w:rStyle w:val="CoverText"/>
          <w:bCs/>
          <w:iCs/>
          <w:noProof/>
          <w:szCs w:val="16"/>
        </w:rPr>
      </w:pPr>
      <w:r w:rsidRPr="00302DE0">
        <w:rPr>
          <w:rStyle w:val="CoverText"/>
          <w:bCs/>
          <w:iCs/>
          <w:noProof/>
          <w:szCs w:val="16"/>
        </w:rPr>
        <w:t>Slipstream (formerly Seventhwave) implements the program by reaching out to design professionals, commercial real estate developers, and customers at the beginning of the design process. The implementation team provides technical assistance in building design to reduce energy use beyond what is required by existing building codes and standards. The Nicor Gas BNC program coordinates with ComEd where their service areas overlap. Nicor Gas purchases therms savings from the program using a dollar per therm payment model on a project-by-project basis.</w:t>
      </w:r>
    </w:p>
    <w:p w14:paraId="5CC60D31" w14:textId="482B2F27" w:rsidR="00A1054C" w:rsidRDefault="00302DE0">
      <w:r>
        <w:t xml:space="preserve">Overall, the program had 42 participants in </w:t>
      </w:r>
      <w:r w:rsidR="00004DF4">
        <w:t>PY</w:t>
      </w:r>
      <w:r>
        <w:t xml:space="preserve">2024 and completed 42 projects. Of these projects, 33 included gas savings, 16 of which were served jointly by ComEd and Nicor Gas. However, the savings detailed in this report exclude three projects completed in 2024 that Nicor will claim in </w:t>
      </w:r>
      <w:r w:rsidR="00004DF4">
        <w:t>PY2025,</w:t>
      </w:r>
      <w:r>
        <w:t xml:space="preserve"> and seven projects completed in </w:t>
      </w:r>
      <w:r w:rsidR="00004DF4">
        <w:t>PY</w:t>
      </w:r>
      <w:r>
        <w:t xml:space="preserve">2023 that Nicor is claiming in </w:t>
      </w:r>
      <w:r w:rsidR="00004DF4">
        <w:t>PY</w:t>
      </w:r>
      <w:r>
        <w:t>2024, as seen in</w:t>
      </w:r>
      <w:r w:rsidR="14A16C79">
        <w:t xml:space="preserve"> </w:t>
      </w:r>
      <w:r>
        <w:fldChar w:fldCharType="begin"/>
      </w:r>
      <w:r>
        <w:instrText xml:space="preserve"> REF _Ref192241667 \h </w:instrText>
      </w:r>
      <w:r>
        <w:fldChar w:fldCharType="separate"/>
      </w:r>
      <w:r w:rsidR="00DA384D">
        <w:t xml:space="preserve">Table </w:t>
      </w:r>
      <w:r w:rsidR="00DA384D" w:rsidRPr="6892D285">
        <w:rPr>
          <w:noProof/>
        </w:rPr>
        <w:t>1</w:t>
      </w:r>
      <w:r>
        <w:fldChar w:fldCharType="end"/>
      </w:r>
      <w:r>
        <w:t xml:space="preserve">. </w:t>
      </w:r>
    </w:p>
    <w:p w14:paraId="6C36EB48" w14:textId="77777777" w:rsidR="007D52F0" w:rsidRDefault="007D52F0">
      <w:pPr>
        <w:pStyle w:val="Caption"/>
      </w:pPr>
      <w:bookmarkStart w:id="8" w:name="_Ref192241667"/>
      <w:bookmarkStart w:id="9" w:name="_Toc192241351"/>
      <w:bookmarkEnd w:id="5"/>
      <w:bookmarkEnd w:id="6"/>
    </w:p>
    <w:p w14:paraId="05C37694" w14:textId="77777777" w:rsidR="007D52F0" w:rsidRDefault="007D52F0">
      <w:pPr>
        <w:pStyle w:val="Caption"/>
      </w:pPr>
    </w:p>
    <w:p w14:paraId="0FA25AAB" w14:textId="77777777" w:rsidR="007D52F0" w:rsidRDefault="007D52F0">
      <w:pPr>
        <w:pStyle w:val="Caption"/>
      </w:pPr>
    </w:p>
    <w:p w14:paraId="08F0CC6A" w14:textId="77777777" w:rsidR="007D52F0" w:rsidRDefault="007D52F0">
      <w:pPr>
        <w:pStyle w:val="Caption"/>
      </w:pPr>
    </w:p>
    <w:p w14:paraId="58CAF1B0" w14:textId="77777777" w:rsidR="007D52F0" w:rsidRDefault="007D52F0">
      <w:pPr>
        <w:pStyle w:val="Caption"/>
      </w:pPr>
    </w:p>
    <w:p w14:paraId="29BEAC05" w14:textId="77777777" w:rsidR="007D52F0" w:rsidRDefault="007D52F0">
      <w:pPr>
        <w:pStyle w:val="Caption"/>
      </w:pPr>
    </w:p>
    <w:p w14:paraId="433F1C85" w14:textId="77777777" w:rsidR="007D52F0" w:rsidRDefault="007D52F0">
      <w:pPr>
        <w:pStyle w:val="Caption"/>
      </w:pPr>
    </w:p>
    <w:p w14:paraId="43EA7EAB" w14:textId="77777777" w:rsidR="007D52F0" w:rsidRDefault="007D52F0">
      <w:pPr>
        <w:pStyle w:val="Caption"/>
      </w:pPr>
    </w:p>
    <w:p w14:paraId="370A4D1D" w14:textId="77777777" w:rsidR="007D52F0" w:rsidRDefault="007D52F0">
      <w:pPr>
        <w:pStyle w:val="Caption"/>
      </w:pPr>
    </w:p>
    <w:p w14:paraId="1D01467A" w14:textId="77777777" w:rsidR="007D52F0" w:rsidRDefault="007D52F0">
      <w:pPr>
        <w:pStyle w:val="Caption"/>
      </w:pPr>
    </w:p>
    <w:p w14:paraId="72ABE435" w14:textId="77777777" w:rsidR="007D52F0" w:rsidRDefault="007D52F0">
      <w:pPr>
        <w:pStyle w:val="Caption"/>
      </w:pPr>
    </w:p>
    <w:p w14:paraId="3C444C05" w14:textId="77777777" w:rsidR="007D52F0" w:rsidRDefault="007D52F0" w:rsidP="007D52F0"/>
    <w:p w14:paraId="4D63AD42" w14:textId="77777777" w:rsidR="007D52F0" w:rsidRDefault="007D52F0" w:rsidP="007D52F0"/>
    <w:p w14:paraId="74D58031" w14:textId="77777777" w:rsidR="007D52F0" w:rsidRPr="007D52F0" w:rsidRDefault="007D52F0" w:rsidP="00C179E2"/>
    <w:p w14:paraId="3694BC51" w14:textId="55171C77" w:rsidR="00A1054C" w:rsidRDefault="00A1054C">
      <w:pPr>
        <w:pStyle w:val="Caption"/>
      </w:pPr>
      <w:r>
        <w:lastRenderedPageBreak/>
        <w:t xml:space="preserve">Table </w:t>
      </w:r>
      <w:r>
        <w:fldChar w:fldCharType="begin"/>
      </w:r>
      <w:r>
        <w:instrText>SEQ Table \* ARABIC</w:instrText>
      </w:r>
      <w:r>
        <w:fldChar w:fldCharType="separate"/>
      </w:r>
      <w:r>
        <w:rPr>
          <w:noProof/>
        </w:rPr>
        <w:t>1</w:t>
      </w:r>
      <w:r>
        <w:fldChar w:fldCharType="end"/>
      </w:r>
      <w:bookmarkEnd w:id="8"/>
      <w:r w:rsidRPr="00F7087A">
        <w:t>.</w:t>
      </w:r>
      <w:r>
        <w:t xml:space="preserve"> 2024 </w:t>
      </w:r>
      <w:r w:rsidRPr="005C2837">
        <w:t>Volumetric</w:t>
      </w:r>
      <w:r>
        <w:t xml:space="preserve"> Findings Detail</w:t>
      </w:r>
      <w:bookmarkStart w:id="10" w:name="Table_1"/>
      <w:bookmarkEnd w:id="7"/>
      <w:bookmarkEnd w:id="9"/>
      <w:bookmarkEnd w:id="10"/>
    </w:p>
    <w:tbl>
      <w:tblPr>
        <w:tblW w:w="0" w:type="auto"/>
        <w:jc w:val="center"/>
        <w:tblLayout w:type="fixed"/>
        <w:tblLook w:val="0420" w:firstRow="1" w:lastRow="0" w:firstColumn="0" w:lastColumn="0" w:noHBand="0" w:noVBand="1"/>
      </w:tblPr>
      <w:tblGrid>
        <w:gridCol w:w="2880"/>
        <w:gridCol w:w="2160"/>
        <w:gridCol w:w="2160"/>
        <w:gridCol w:w="2160"/>
      </w:tblGrid>
      <w:tr w:rsidR="00A95EEE" w14:paraId="0FF2DDD7" w14:textId="77777777" w:rsidTr="5C7EFA69">
        <w:trPr>
          <w:tblHeader/>
          <w:jc w:val="center"/>
        </w:trPr>
        <w:tc>
          <w:tcPr>
            <w:tcW w:w="28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3092F58"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b/>
                <w:bCs/>
                <w:color w:val="FFFFFF"/>
                <w:sz w:val="20"/>
                <w:szCs w:val="20"/>
              </w:rPr>
            </w:pPr>
            <w:r w:rsidRPr="5C7EFA69">
              <w:rPr>
                <w:rFonts w:eastAsia="DejaVu Sans" w:hAnsi="DejaVu Sans" w:cs="DejaVu Sans"/>
                <w:b/>
                <w:bCs/>
                <w:color w:val="FFFFFF" w:themeColor="background1"/>
                <w:sz w:val="20"/>
                <w:szCs w:val="20"/>
              </w:rPr>
              <w:t>Participation</w:t>
            </w:r>
          </w:p>
        </w:tc>
        <w:tc>
          <w:tcPr>
            <w:tcW w:w="21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269F420"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FFFFFF"/>
                <w:sz w:val="20"/>
                <w:szCs w:val="20"/>
              </w:rPr>
            </w:pPr>
            <w:r w:rsidRPr="5C7EFA69">
              <w:rPr>
                <w:rFonts w:eastAsia="DejaVu Sans" w:hAnsi="DejaVu Sans" w:cs="DejaVu Sans"/>
                <w:b/>
                <w:bCs/>
                <w:color w:val="FFFFFF" w:themeColor="background1"/>
                <w:sz w:val="20"/>
                <w:szCs w:val="20"/>
              </w:rPr>
              <w:t>ComEd (Overall with Gas Utilities)</w:t>
            </w:r>
          </w:p>
        </w:tc>
        <w:tc>
          <w:tcPr>
            <w:tcW w:w="21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5C7291A" w14:textId="0E1FD968"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FFFFFF"/>
                <w:sz w:val="20"/>
                <w:szCs w:val="20"/>
              </w:rPr>
            </w:pPr>
            <w:r w:rsidRPr="5C7EFA69">
              <w:rPr>
                <w:rFonts w:eastAsia="DejaVu Sans" w:hAnsi="DejaVu Sans" w:cs="DejaVu Sans"/>
                <w:b/>
                <w:bCs/>
                <w:color w:val="FFFFFF" w:themeColor="background1"/>
                <w:sz w:val="20"/>
                <w:szCs w:val="20"/>
              </w:rPr>
              <w:t>Nicor Gas</w:t>
            </w:r>
            <w:r w:rsidR="0B2A832A" w:rsidRPr="225217AD">
              <w:rPr>
                <w:rFonts w:eastAsia="DejaVu Sans" w:hAnsi="DejaVu Sans" w:cs="DejaVu Sans"/>
                <w:b/>
                <w:bCs/>
                <w:color w:val="FFFFFF" w:themeColor="background1"/>
                <w:sz w:val="20"/>
                <w:szCs w:val="20"/>
              </w:rPr>
              <w:t xml:space="preserve"> </w:t>
            </w:r>
            <w:r w:rsidR="0B2A832A" w:rsidRPr="225217AD">
              <w:rPr>
                <w:rFonts w:eastAsia="DejaVu Sans" w:hAnsi="DejaVu Sans" w:cs="DejaVu Sans"/>
                <w:b/>
                <w:bCs/>
                <w:color w:val="FFFFFF" w:themeColor="background1"/>
                <w:sz w:val="20"/>
                <w:szCs w:val="20"/>
              </w:rPr>
              <w:t>§</w:t>
            </w:r>
          </w:p>
        </w:tc>
        <w:tc>
          <w:tcPr>
            <w:tcW w:w="21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4807AC6"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b/>
                <w:bCs/>
                <w:color w:val="FFFFFF"/>
                <w:sz w:val="20"/>
                <w:szCs w:val="20"/>
              </w:rPr>
            </w:pPr>
            <w:r w:rsidRPr="5C7EFA69">
              <w:rPr>
                <w:rFonts w:eastAsia="DejaVu Sans" w:hAnsi="DejaVu Sans" w:cs="DejaVu Sans"/>
                <w:b/>
                <w:bCs/>
                <w:color w:val="FFFFFF" w:themeColor="background1"/>
                <w:sz w:val="20"/>
                <w:szCs w:val="20"/>
              </w:rPr>
              <w:t>Total</w:t>
            </w:r>
          </w:p>
        </w:tc>
      </w:tr>
      <w:tr w:rsidR="00A95EEE" w14:paraId="697061BC" w14:textId="77777777" w:rsidTr="5C7EFA69">
        <w:trPr>
          <w:jc w:val="center"/>
        </w:trPr>
        <w:tc>
          <w:tcPr>
            <w:tcW w:w="288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3547C3"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Private Sector</w:t>
            </w:r>
          </w:p>
        </w:tc>
        <w:tc>
          <w:tcPr>
            <w:tcW w:w="21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0EE8B1"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01BB05"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709E29"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r w:rsidR="00A95EEE" w14:paraId="6830D2CB"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625725"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Participants *</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B5E4DC"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27</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198B2A"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16</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FC896B"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6C39B64E"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139894"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Installed Projects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D12FA4"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27</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1DAA86"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16</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23D1F1"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3690B416"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13D188"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Measure Types Installed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5A50B4"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D704CD"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DFE63E"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r w:rsidR="00A95EEE" w14:paraId="7DB363F2"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59887B"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Public Sector</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D5C461"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DB9415"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CCB11D"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r w:rsidR="00A95EEE" w14:paraId="7F1FB91E"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0E46E1"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Participants *</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C20B44"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6</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370E43"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4</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2B0306"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7454230E"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0DC016"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Installed Projects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8F0680"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6</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F935BE"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4</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8F7A50"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3857AAA5"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D1D8AE"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Measure Types Installed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726A25"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5EEC9A"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A79DA6"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r w:rsidR="00A95EEE" w14:paraId="077153DB"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3A3E68"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Program 2024 Total</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78D3AD"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5D8104"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2B693E"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r w:rsidR="00A95EEE" w14:paraId="053FC302"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AAB45B"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Participants *</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D5B896"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33</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172ECE"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20</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6B6648"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56D8D85C" w14:textId="77777777" w:rsidTr="5C7EFA69">
        <w:trPr>
          <w:jc w:val="center"/>
        </w:trPr>
        <w:tc>
          <w:tcPr>
            <w:tcW w:w="28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28D819"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Installed Projects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F73604"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33</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DFDF8B"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20</w:t>
            </w:r>
          </w:p>
        </w:tc>
        <w:tc>
          <w:tcPr>
            <w:tcW w:w="2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8F91CB"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N/A</w:t>
            </w:r>
          </w:p>
        </w:tc>
      </w:tr>
      <w:tr w:rsidR="00A95EEE" w14:paraId="127F38B2" w14:textId="77777777" w:rsidTr="5C7EFA69">
        <w:trPr>
          <w:jc w:val="center"/>
        </w:trPr>
        <w:tc>
          <w:tcPr>
            <w:tcW w:w="28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7F1236D"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rPr>
                <w:rFonts w:eastAsia="DejaVu Sans" w:hAnsi="DejaVu Sans" w:cs="DejaVu Sans"/>
                <w:color w:val="000000"/>
                <w:sz w:val="20"/>
                <w:szCs w:val="20"/>
              </w:rPr>
            </w:pPr>
            <w:r w:rsidRPr="5C7EFA69">
              <w:rPr>
                <w:rFonts w:eastAsia="DejaVu Sans" w:hAnsi="DejaVu Sans" w:cs="DejaVu Sans"/>
                <w:color w:val="000000" w:themeColor="text1"/>
                <w:sz w:val="20"/>
                <w:szCs w:val="20"/>
              </w:rPr>
              <w:t xml:space="preserve">Measure Types Installed </w:t>
            </w:r>
            <w:r w:rsidRPr="5C7EFA69">
              <w:rPr>
                <w:rFonts w:eastAsia="DejaVu Sans" w:hAnsi="DejaVu Sans" w:cs="DejaVu Sans"/>
                <w:color w:val="000000" w:themeColor="text1"/>
                <w:sz w:val="20"/>
                <w:szCs w:val="20"/>
              </w:rPr>
              <w:t>‡</w:t>
            </w:r>
          </w:p>
        </w:tc>
        <w:tc>
          <w:tcPr>
            <w:tcW w:w="21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8E8FCEA"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D3B818F" w14:textId="77777777" w:rsidR="00A95EEE" w:rsidRDefault="00A1054C"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r w:rsidRPr="5C7EFA69">
              <w:rPr>
                <w:rFonts w:eastAsia="DejaVu Sans" w:hAnsi="DejaVu Sans" w:cs="DejaVu Sans"/>
                <w:color w:val="000000" w:themeColor="text1"/>
                <w:sz w:val="20"/>
                <w:szCs w:val="20"/>
              </w:rPr>
              <w:t>Whole Building</w:t>
            </w:r>
          </w:p>
        </w:tc>
        <w:tc>
          <w:tcPr>
            <w:tcW w:w="21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EE64202" w14:textId="77777777" w:rsidR="00A95EEE" w:rsidRDefault="00A95EEE" w:rsidP="5C7EFA69">
            <w:pPr>
              <w:pBdr>
                <w:top w:val="none" w:sz="0" w:space="0" w:color="000000"/>
                <w:left w:val="none" w:sz="0" w:space="0" w:color="000000"/>
                <w:bottom w:val="none" w:sz="0" w:space="0" w:color="000000"/>
                <w:right w:val="none" w:sz="0" w:space="0" w:color="000000"/>
              </w:pBdr>
              <w:spacing w:before="3" w:after="3"/>
              <w:ind w:left="3" w:right="3"/>
              <w:jc w:val="right"/>
              <w:rPr>
                <w:rFonts w:eastAsia="DejaVu Sans" w:hAnsi="DejaVu Sans" w:cs="DejaVu Sans"/>
                <w:color w:val="000000"/>
                <w:sz w:val="20"/>
                <w:szCs w:val="20"/>
              </w:rPr>
            </w:pPr>
          </w:p>
        </w:tc>
      </w:tr>
    </w:tbl>
    <w:p w14:paraId="56F4557C" w14:textId="77777777" w:rsidR="00302DE0" w:rsidRPr="00302DE0" w:rsidRDefault="00302DE0" w:rsidP="00302DE0">
      <w:pPr>
        <w:pStyle w:val="StyleSourceFirstline106"/>
        <w:keepNext/>
        <w:keepLines/>
        <w:spacing w:before="0" w:after="0"/>
        <w:ind w:firstLine="0"/>
        <w:rPr>
          <w:rFonts w:ascii="Arial Narrow" w:hAnsi="Arial Narrow"/>
          <w:i w:val="0"/>
          <w:iCs w:val="0"/>
          <w:color w:val="auto"/>
          <w:sz w:val="18"/>
        </w:rPr>
      </w:pPr>
      <w:r w:rsidRPr="00302DE0">
        <w:rPr>
          <w:rFonts w:ascii="Arial Narrow" w:hAnsi="Arial Narrow"/>
          <w:i w:val="0"/>
          <w:iCs w:val="0"/>
          <w:color w:val="auto"/>
          <w:sz w:val="18"/>
        </w:rPr>
        <w:t>* Participants are the distinct count of addresses</w:t>
      </w:r>
    </w:p>
    <w:p w14:paraId="76806B62" w14:textId="77777777" w:rsidR="00302DE0" w:rsidRPr="00302DE0" w:rsidRDefault="00302DE0" w:rsidP="00302DE0">
      <w:pPr>
        <w:pStyle w:val="StyleSourceFirstline106"/>
        <w:keepNext/>
        <w:keepLines/>
        <w:spacing w:before="0" w:after="0"/>
        <w:ind w:firstLine="0"/>
        <w:rPr>
          <w:rFonts w:ascii="Arial Narrow" w:hAnsi="Arial Narrow"/>
          <w:i w:val="0"/>
          <w:iCs w:val="0"/>
          <w:color w:val="auto"/>
          <w:sz w:val="18"/>
        </w:rPr>
      </w:pPr>
      <w:r w:rsidRPr="44ED0DB0">
        <w:rPr>
          <w:rFonts w:ascii="Arial Narrow" w:hAnsi="Arial Narrow"/>
          <w:i w:val="0"/>
          <w:iCs w:val="0"/>
          <w:color w:val="auto"/>
          <w:sz w:val="18"/>
          <w:szCs w:val="18"/>
        </w:rPr>
        <w:t>† Installed Projects are the distinct count of project ID</w:t>
      </w:r>
    </w:p>
    <w:p w14:paraId="72296F99" w14:textId="77777777" w:rsidR="00302DE0" w:rsidRDefault="00302DE0" w:rsidP="00302DE0">
      <w:pPr>
        <w:pStyle w:val="StyleSourceFirstline106"/>
        <w:keepNext/>
        <w:keepLines/>
        <w:spacing w:before="0" w:after="0"/>
        <w:ind w:firstLine="0"/>
        <w:rPr>
          <w:rFonts w:ascii="Arial Narrow" w:hAnsi="Arial Narrow"/>
          <w:i w:val="0"/>
          <w:color w:val="auto"/>
          <w:sz w:val="18"/>
          <w:szCs w:val="18"/>
        </w:rPr>
      </w:pPr>
      <w:r w:rsidRPr="225217AD">
        <w:rPr>
          <w:rFonts w:ascii="Arial Narrow" w:hAnsi="Arial Narrow"/>
          <w:i w:val="0"/>
          <w:color w:val="auto"/>
          <w:sz w:val="18"/>
          <w:szCs w:val="18"/>
        </w:rPr>
        <w:t>‡ Measure Types Installed are the distinct count of Nicor measure names</w:t>
      </w:r>
    </w:p>
    <w:p w14:paraId="36345FCF" w14:textId="1EB2518F" w:rsidR="4A490099" w:rsidRDefault="4A490099" w:rsidP="225217AD">
      <w:pPr>
        <w:pStyle w:val="StyleSourceFirstline106"/>
        <w:keepNext/>
        <w:keepLines/>
        <w:spacing w:before="0" w:after="0"/>
        <w:ind w:firstLine="0"/>
        <w:rPr>
          <w:rFonts w:ascii="Arial Narrow" w:hAnsi="Arial Narrow"/>
          <w:i w:val="0"/>
          <w:iCs w:val="0"/>
          <w:color w:val="auto"/>
          <w:sz w:val="18"/>
          <w:szCs w:val="18"/>
        </w:rPr>
      </w:pPr>
      <w:r w:rsidRPr="225217AD">
        <w:rPr>
          <w:rFonts w:ascii="Arial Narrow" w:hAnsi="Arial Narrow"/>
          <w:i w:val="0"/>
          <w:iCs w:val="0"/>
          <w:color w:val="auto"/>
          <w:sz w:val="18"/>
          <w:szCs w:val="18"/>
        </w:rPr>
        <w:t xml:space="preserve">§ </w:t>
      </w:r>
      <w:r w:rsidR="36088C84" w:rsidRPr="225217AD">
        <w:rPr>
          <w:rFonts w:ascii="Arial Narrow" w:hAnsi="Arial Narrow"/>
          <w:i w:val="0"/>
          <w:iCs w:val="0"/>
          <w:color w:val="auto"/>
          <w:sz w:val="18"/>
          <w:szCs w:val="18"/>
        </w:rPr>
        <w:t>Nicor Gas’ participant and project counts exclude three projects completed in 2024 that Nicor has elected to claim in 2025</w:t>
      </w:r>
      <w:r w:rsidR="22DEE159" w:rsidRPr="225217AD">
        <w:rPr>
          <w:rFonts w:ascii="Arial Narrow" w:hAnsi="Arial Narrow"/>
          <w:i w:val="0"/>
          <w:iCs w:val="0"/>
          <w:color w:val="auto"/>
          <w:sz w:val="18"/>
          <w:szCs w:val="18"/>
        </w:rPr>
        <w:t xml:space="preserve"> (CINC-1609, CINC-1365, CINC-1529)</w:t>
      </w:r>
      <w:r w:rsidR="60DE0367" w:rsidRPr="225217AD">
        <w:rPr>
          <w:rFonts w:ascii="Arial Narrow" w:hAnsi="Arial Narrow"/>
          <w:i w:val="0"/>
          <w:iCs w:val="0"/>
          <w:color w:val="auto"/>
          <w:sz w:val="18"/>
          <w:szCs w:val="18"/>
        </w:rPr>
        <w:t xml:space="preserve"> and include seven projects completed that Nicor elected to claim in 2024 (CINC-1190, CINC-1229, CINC-1231, CINC-1320, CINC-1357, CINC-1464, CINC-1473</w:t>
      </w:r>
      <w:r w:rsidR="773652EB" w:rsidRPr="225217AD">
        <w:rPr>
          <w:rFonts w:ascii="Arial Narrow" w:hAnsi="Arial Narrow"/>
          <w:i w:val="0"/>
          <w:iCs w:val="0"/>
          <w:color w:val="auto"/>
          <w:sz w:val="18"/>
          <w:szCs w:val="18"/>
        </w:rPr>
        <w:t>).</w:t>
      </w:r>
    </w:p>
    <w:p w14:paraId="3BE0719D" w14:textId="1395BABC" w:rsidR="00A1054C" w:rsidRDefault="00A1054C" w:rsidP="00302DE0">
      <w:pPr>
        <w:pStyle w:val="StyleSourceFirstline106"/>
        <w:keepNext/>
        <w:keepLines/>
        <w:spacing w:before="0" w:after="0"/>
        <w:ind w:firstLine="0"/>
      </w:pPr>
      <w:r w:rsidRPr="00E47345">
        <w:t xml:space="preserve">Source: </w:t>
      </w:r>
      <w:r>
        <w:t xml:space="preserve">Nicor Gas tracking data and evaluation team </w:t>
      </w:r>
      <w:r w:rsidRPr="00651E3A">
        <w:t>analysis</w:t>
      </w:r>
      <w:r w:rsidRPr="00E47345">
        <w:t>.</w:t>
      </w:r>
    </w:p>
    <w:p w14:paraId="02B170A3" w14:textId="77777777" w:rsidR="00A1054C" w:rsidRDefault="00A1054C" w:rsidP="00302DE0">
      <w:pPr>
        <w:pStyle w:val="Heading10"/>
      </w:pPr>
      <w:bookmarkStart w:id="11" w:name="_Toc189833645"/>
      <w:r>
        <w:t>Program Savings Detail</w:t>
      </w:r>
      <w:bookmarkEnd w:id="11"/>
    </w:p>
    <w:p w14:paraId="2024B78E" w14:textId="3C164D07" w:rsidR="00A1054C" w:rsidRDefault="00A1054C">
      <w:r>
        <w:fldChar w:fldCharType="begin"/>
      </w:r>
      <w:r>
        <w:instrText xml:space="preserve"> REF _Ref500500894 \h </w:instrText>
      </w:r>
      <w:r>
        <w:fldChar w:fldCharType="separate"/>
      </w:r>
      <w:r w:rsidR="002F3F82">
        <w:t xml:space="preserve">Table </w:t>
      </w:r>
      <w:r w:rsidR="002F3F82">
        <w:rPr>
          <w:noProof/>
        </w:rPr>
        <w:t>2</w:t>
      </w:r>
      <w:r>
        <w:fldChar w:fldCharType="end"/>
      </w:r>
      <w:r>
        <w:t xml:space="preserve"> </w:t>
      </w:r>
      <w:r w:rsidRPr="00A90B62">
        <w:t>summarize</w:t>
      </w:r>
      <w:r>
        <w:t>s</w:t>
      </w:r>
      <w:r w:rsidRPr="00A90B62">
        <w:t xml:space="preserve"> the </w:t>
      </w:r>
      <w:r>
        <w:t xml:space="preserve">energy </w:t>
      </w:r>
      <w:r w:rsidRPr="00A90B62">
        <w:t xml:space="preserve">savings the </w:t>
      </w:r>
      <w:r w:rsidR="00302DE0" w:rsidRPr="00302DE0">
        <w:t xml:space="preserve">Nicor Gas BNC </w:t>
      </w:r>
      <w:r>
        <w:t>P</w:t>
      </w:r>
      <w:r w:rsidRPr="00A90B62">
        <w:t>rogram</w:t>
      </w:r>
      <w:r>
        <w:t xml:space="preserve"> achieved in 2024.</w:t>
      </w:r>
    </w:p>
    <w:p w14:paraId="3BA27756" w14:textId="45498770" w:rsidR="00A1054C" w:rsidRDefault="00A1054C">
      <w:pPr>
        <w:pStyle w:val="Caption"/>
        <w:keepLines/>
      </w:pPr>
      <w:bookmarkStart w:id="12" w:name="_Ref500500894"/>
      <w:bookmarkStart w:id="13" w:name="_Toc397011684"/>
      <w:bookmarkStart w:id="14" w:name="_Toc397011694"/>
      <w:bookmarkStart w:id="15" w:name="_Toc398541809"/>
      <w:bookmarkStart w:id="16" w:name="_Toc398541922"/>
      <w:bookmarkStart w:id="17" w:name="_Toc398546654"/>
      <w:bookmarkStart w:id="18" w:name="_Toc423009516"/>
      <w:bookmarkStart w:id="19" w:name="_Toc426278634"/>
      <w:bookmarkStart w:id="20" w:name="_Toc61360847"/>
      <w:bookmarkStart w:id="21" w:name="_Toc192241352"/>
      <w:r>
        <w:t xml:space="preserve">Table </w:t>
      </w:r>
      <w:r>
        <w:fldChar w:fldCharType="begin"/>
      </w:r>
      <w:r>
        <w:instrText>SEQ Table \* ARABIC</w:instrText>
      </w:r>
      <w:r>
        <w:fldChar w:fldCharType="separate"/>
      </w:r>
      <w:r w:rsidR="009751B3" w:rsidRPr="44ED0DB0">
        <w:rPr>
          <w:noProof/>
        </w:rPr>
        <w:t>2</w:t>
      </w:r>
      <w:r>
        <w:fldChar w:fldCharType="end"/>
      </w:r>
      <w:bookmarkEnd w:id="12"/>
      <w:r>
        <w:t>. 2024 Annual Energy Savings Summary</w:t>
      </w:r>
      <w:bookmarkEnd w:id="13"/>
      <w:bookmarkEnd w:id="14"/>
      <w:bookmarkEnd w:id="15"/>
      <w:bookmarkEnd w:id="16"/>
      <w:bookmarkEnd w:id="17"/>
      <w:bookmarkEnd w:id="18"/>
      <w:bookmarkEnd w:id="19"/>
      <w:bookmarkEnd w:id="20"/>
      <w:bookmarkEnd w:id="21"/>
    </w:p>
    <w:tbl>
      <w:tblPr>
        <w:tblW w:w="0" w:type="auto"/>
        <w:jc w:val="center"/>
        <w:tblLayout w:type="fixed"/>
        <w:tblLook w:val="0420" w:firstRow="1" w:lastRow="0" w:firstColumn="0" w:lastColumn="0" w:noHBand="0" w:noVBand="1"/>
      </w:tblPr>
      <w:tblGrid>
        <w:gridCol w:w="1170"/>
        <w:gridCol w:w="1170"/>
        <w:gridCol w:w="1170"/>
        <w:gridCol w:w="1170"/>
        <w:gridCol w:w="1170"/>
        <w:gridCol w:w="1170"/>
        <w:gridCol w:w="1170"/>
        <w:gridCol w:w="1170"/>
      </w:tblGrid>
      <w:tr w:rsidR="00A95EEE" w:rsidRPr="00CF7272" w14:paraId="2F60E281" w14:textId="77777777" w:rsidTr="225217AD">
        <w:trPr>
          <w:tblHeader/>
          <w:jc w:val="center"/>
        </w:trPr>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C8F349"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Program Category</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22A1794"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Program Path</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3D75D5C"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Ex Ante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8256F08"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Verified Gross RR*</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F217339"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Verified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14E526F"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NTG†</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4BD488F" w14:textId="3E95E4ED"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NSPO</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C9586CB" w14:textId="77777777" w:rsidR="00A95EEE" w:rsidRPr="00CF727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F7272">
              <w:rPr>
                <w:rFonts w:ascii="Arial Narrow" w:eastAsia="DejaVu Sans" w:hAnsi="Arial Narrow" w:cs="DejaVu Sans"/>
                <w:b/>
                <w:bCs/>
                <w:color w:val="FFFFFF"/>
                <w:sz w:val="20"/>
                <w:szCs w:val="20"/>
              </w:rPr>
              <w:t>Verified Net Savings (Therms)</w:t>
            </w:r>
          </w:p>
        </w:tc>
      </w:tr>
      <w:tr w:rsidR="00A95EEE" w:rsidRPr="008413F9" w14:paraId="7F463885" w14:textId="77777777" w:rsidTr="225217AD">
        <w:trPr>
          <w:jc w:val="center"/>
        </w:trPr>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DE30A7"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Private, Non-Disadvantaged Communities</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FD3C94"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Whole Building</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09BF4C"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227,282</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FCB607"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1.01</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E00835"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229,058</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A78EAE"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0.43</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19703F" w14:textId="48682CC4" w:rsidR="00A95EEE" w:rsidRPr="008413F9" w:rsidRDefault="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N/A</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F3DBDB" w14:textId="77777777" w:rsidR="00A95EEE" w:rsidRPr="008413F9"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98,495</w:t>
            </w:r>
          </w:p>
        </w:tc>
      </w:tr>
      <w:tr w:rsidR="00302DE0" w:rsidRPr="008413F9" w14:paraId="55901D98" w14:textId="77777777" w:rsidTr="225217AD">
        <w:trPr>
          <w:jc w:val="center"/>
        </w:trPr>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F34FF6"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Private, Non-DAC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4F5DC4"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CD1A65"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227,282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7A67A4"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1.01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E6B4FA"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229,058</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B9AFB7"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0.43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96D199" w14:textId="7A5677AE"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F3DDC7"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98,495</w:t>
            </w:r>
          </w:p>
        </w:tc>
      </w:tr>
      <w:tr w:rsidR="00302DE0" w:rsidRPr="008413F9" w14:paraId="1BBDFE0C" w14:textId="77777777" w:rsidTr="225217AD">
        <w:trPr>
          <w:jc w:val="center"/>
        </w:trPr>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CDF100"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Public, Non-Disadvantaged Communities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A36F9B"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Whole Building</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FD68A6"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75,472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A46BE5"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1.01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CBDD86"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76,062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FE3366"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0.43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06A21A" w14:textId="45DE6EDB"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59551"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32,707</w:t>
            </w:r>
          </w:p>
        </w:tc>
      </w:tr>
      <w:tr w:rsidR="00302DE0" w:rsidRPr="008413F9" w14:paraId="7DE22E61" w14:textId="77777777" w:rsidTr="225217AD">
        <w:trPr>
          <w:jc w:val="center"/>
        </w:trPr>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C7DFFC"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Public, Non-DAC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E8A748"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663BBE"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75,472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0E9F8B"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1.01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0B8830"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76,062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7488DC"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0.43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B31738" w14:textId="538B1594"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8E9B21"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8413F9">
              <w:rPr>
                <w:rFonts w:ascii="Arial Narrow" w:eastAsia="DejaVu Sans" w:hAnsi="Arial Narrow" w:cs="DejaVu Sans"/>
                <w:color w:val="000000"/>
                <w:sz w:val="20"/>
                <w:szCs w:val="20"/>
              </w:rPr>
              <w:t>32,707</w:t>
            </w:r>
          </w:p>
        </w:tc>
      </w:tr>
      <w:tr w:rsidR="00302DE0" w:rsidRPr="008413F9" w14:paraId="23990930" w14:textId="77777777" w:rsidTr="225217AD">
        <w:trPr>
          <w:jc w:val="center"/>
        </w:trPr>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BB7D216"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8413F9">
              <w:rPr>
                <w:rFonts w:ascii="Arial Narrow" w:eastAsia="DejaVu Sans" w:hAnsi="Arial Narrow" w:cs="DejaVu Sans"/>
                <w:b/>
                <w:color w:val="000000"/>
                <w:sz w:val="20"/>
                <w:szCs w:val="20"/>
              </w:rPr>
              <w:t>Total or Weighted Average</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6036C9D"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C6A759D" w14:textId="49DE5E89"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225217AD">
              <w:rPr>
                <w:rFonts w:ascii="Arial Narrow" w:eastAsia="DejaVu Sans" w:hAnsi="Arial Narrow" w:cs="DejaVu Sans"/>
                <w:b/>
                <w:color w:val="000000" w:themeColor="text1"/>
                <w:sz w:val="20"/>
                <w:szCs w:val="20"/>
              </w:rPr>
              <w:t>302,754</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B2ED2D0"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8413F9">
              <w:rPr>
                <w:rFonts w:ascii="Arial Narrow" w:eastAsia="DejaVu Sans" w:hAnsi="Arial Narrow" w:cs="DejaVu Sans"/>
                <w:b/>
                <w:color w:val="000000"/>
                <w:sz w:val="20"/>
                <w:szCs w:val="20"/>
              </w:rPr>
              <w:t>1.01</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E5A5A0B"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8413F9">
              <w:rPr>
                <w:rFonts w:ascii="Arial Narrow" w:eastAsia="DejaVu Sans" w:hAnsi="Arial Narrow" w:cs="DejaVu Sans"/>
                <w:b/>
                <w:color w:val="000000"/>
                <w:sz w:val="20"/>
                <w:szCs w:val="20"/>
              </w:rPr>
              <w:t>305,119</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B3D21BA" w14:textId="1F53AEA2"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8413F9">
              <w:rPr>
                <w:rFonts w:ascii="Arial Narrow" w:eastAsia="DejaVu Sans" w:hAnsi="Arial Narrow" w:cs="DejaVu Sans"/>
                <w:b/>
                <w:color w:val="000000"/>
                <w:sz w:val="20"/>
                <w:szCs w:val="20"/>
              </w:rPr>
              <w:t>0.43</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343AC38" w14:textId="16B0D7C6"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8413F9">
              <w:rPr>
                <w:rFonts w:ascii="Arial Narrow" w:eastAsia="DejaVu Sans" w:hAnsi="Arial Narrow" w:cs="DejaVu Sans"/>
                <w:b/>
                <w:bCs/>
                <w:color w:val="000000"/>
                <w:sz w:val="20"/>
                <w:szCs w:val="20"/>
              </w:rPr>
              <w:t>N/A</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632BD68" w14:textId="77777777" w:rsidR="00302DE0" w:rsidRPr="008413F9" w:rsidRDefault="00302DE0" w:rsidP="00302DE0">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8413F9">
              <w:rPr>
                <w:rFonts w:ascii="Arial Narrow" w:eastAsia="DejaVu Sans" w:hAnsi="Arial Narrow" w:cs="DejaVu Sans"/>
                <w:b/>
                <w:color w:val="000000"/>
                <w:sz w:val="20"/>
                <w:szCs w:val="20"/>
              </w:rPr>
              <w:t>131,201</w:t>
            </w:r>
          </w:p>
        </w:tc>
      </w:tr>
    </w:tbl>
    <w:p w14:paraId="255F16BA" w14:textId="77777777" w:rsidR="00302DE0" w:rsidRPr="00302DE0" w:rsidRDefault="00302DE0" w:rsidP="00302DE0">
      <w:pPr>
        <w:pStyle w:val="Source"/>
        <w:spacing w:before="0" w:after="0"/>
        <w:rPr>
          <w:rFonts w:ascii="Arial Narrow" w:hAnsi="Arial Narrow"/>
          <w:i w:val="0"/>
          <w:color w:val="auto"/>
          <w:sz w:val="18"/>
        </w:rPr>
      </w:pPr>
      <w:r w:rsidRPr="00302DE0">
        <w:rPr>
          <w:rFonts w:ascii="Arial Narrow" w:hAnsi="Arial Narrow"/>
          <w:i w:val="0"/>
          <w:color w:val="auto"/>
          <w:sz w:val="18"/>
        </w:rPr>
        <w:t xml:space="preserve">* Verified Gross RR, the realization rate (RR) is the ratio of Verified Gross Savings to Ex Ante Savings </w:t>
      </w:r>
    </w:p>
    <w:p w14:paraId="6BFA8C54" w14:textId="23E92F0E" w:rsidR="00004DF4" w:rsidRDefault="00302DE0" w:rsidP="28A164A4">
      <w:pPr>
        <w:pStyle w:val="Source"/>
        <w:spacing w:before="0" w:after="0"/>
        <w:rPr>
          <w:rFonts w:ascii="Arial Narrow" w:hAnsi="Arial Narrow"/>
          <w:i w:val="0"/>
          <w:color w:val="auto"/>
          <w:sz w:val="18"/>
        </w:rPr>
      </w:pPr>
      <w:r w:rsidRPr="00302DE0">
        <w:rPr>
          <w:rFonts w:ascii="Arial Narrow" w:hAnsi="Arial Narrow"/>
          <w:i w:val="0"/>
          <w:color w:val="auto"/>
          <w:sz w:val="18"/>
        </w:rPr>
        <w:t xml:space="preserve">† NTG, Net to Gross is the deemed value available on the SAG website: </w:t>
      </w:r>
      <w:hyperlink r:id="rId18" w:history="1">
        <w:r w:rsidR="00004DF4" w:rsidRPr="006801A4">
          <w:rPr>
            <w:rStyle w:val="Hyperlink"/>
            <w:rFonts w:ascii="Arial Narrow" w:hAnsi="Arial Narrow"/>
            <w:i w:val="0"/>
            <w:sz w:val="18"/>
          </w:rPr>
          <w:t>https://www.ilsag.info/evaluator-ntg-recommendations-for-2024/</w:t>
        </w:r>
      </w:hyperlink>
      <w:r w:rsidRPr="00302DE0">
        <w:rPr>
          <w:rFonts w:ascii="Arial Narrow" w:hAnsi="Arial Narrow"/>
          <w:i w:val="0"/>
          <w:color w:val="auto"/>
          <w:sz w:val="18"/>
        </w:rPr>
        <w:t xml:space="preserve">. </w:t>
      </w:r>
    </w:p>
    <w:p w14:paraId="55BC8A32" w14:textId="077699E5" w:rsidR="00302DE0" w:rsidRDefault="00302DE0" w:rsidP="28A164A4">
      <w:pPr>
        <w:pStyle w:val="Source"/>
        <w:spacing w:before="0" w:after="0"/>
        <w:rPr>
          <w:rFonts w:ascii="Arial Narrow" w:hAnsi="Arial Narrow"/>
          <w:i w:val="0"/>
          <w:color w:val="auto"/>
          <w:sz w:val="18"/>
          <w:szCs w:val="18"/>
        </w:rPr>
      </w:pPr>
      <w:r w:rsidRPr="28A164A4">
        <w:rPr>
          <w:rFonts w:ascii="Arial Narrow" w:hAnsi="Arial Narrow"/>
          <w:i w:val="0"/>
          <w:color w:val="auto"/>
          <w:sz w:val="18"/>
          <w:szCs w:val="18"/>
        </w:rPr>
        <w:t xml:space="preserve">‡ </w:t>
      </w:r>
      <w:r w:rsidR="301E8894" w:rsidRPr="28A164A4">
        <w:rPr>
          <w:rFonts w:ascii="Arial Narrow" w:hAnsi="Arial Narrow"/>
          <w:i w:val="0"/>
          <w:color w:val="auto"/>
          <w:sz w:val="18"/>
          <w:szCs w:val="18"/>
        </w:rPr>
        <w:t xml:space="preserve">The market rate </w:t>
      </w:r>
      <w:r w:rsidRPr="28A164A4">
        <w:rPr>
          <w:rFonts w:ascii="Arial Narrow" w:hAnsi="Arial Narrow"/>
          <w:i w:val="0"/>
          <w:color w:val="auto"/>
          <w:sz w:val="18"/>
          <w:szCs w:val="18"/>
        </w:rPr>
        <w:t xml:space="preserve">residential non-participant spillover (NPSO) factor of 1.048 </w:t>
      </w:r>
      <w:r w:rsidR="4C05F93B" w:rsidRPr="225217AD">
        <w:rPr>
          <w:rFonts w:ascii="Arial Narrow" w:hAnsi="Arial Narrow"/>
          <w:i w:val="0"/>
          <w:color w:val="auto"/>
          <w:sz w:val="18"/>
          <w:szCs w:val="18"/>
        </w:rPr>
        <w:t>does</w:t>
      </w:r>
      <w:r w:rsidRPr="225217AD">
        <w:rPr>
          <w:rFonts w:ascii="Arial Narrow" w:hAnsi="Arial Narrow"/>
          <w:i w:val="0"/>
          <w:color w:val="auto"/>
          <w:sz w:val="18"/>
          <w:szCs w:val="18"/>
        </w:rPr>
        <w:t xml:space="preserve"> </w:t>
      </w:r>
      <w:r w:rsidR="1DCB2D3F" w:rsidRPr="28A164A4">
        <w:rPr>
          <w:rFonts w:ascii="Arial Narrow" w:hAnsi="Arial Narrow"/>
          <w:i w:val="0"/>
          <w:color w:val="auto"/>
          <w:sz w:val="18"/>
          <w:szCs w:val="18"/>
        </w:rPr>
        <w:t>not apply to this program.</w:t>
      </w:r>
    </w:p>
    <w:p w14:paraId="26B911D5" w14:textId="47226BDC" w:rsidR="00953B34" w:rsidRDefault="00953B34" w:rsidP="28A164A4">
      <w:pPr>
        <w:pStyle w:val="Source"/>
        <w:spacing w:before="0" w:after="0"/>
        <w:rPr>
          <w:rFonts w:ascii="Arial Narrow" w:hAnsi="Arial Narrow"/>
          <w:i w:val="0"/>
          <w:color w:val="auto"/>
          <w:sz w:val="18"/>
          <w:szCs w:val="18"/>
        </w:rPr>
      </w:pPr>
      <w:r>
        <w:rPr>
          <w:rFonts w:ascii="Arial Narrow" w:hAnsi="Arial Narrow"/>
          <w:i w:val="0"/>
          <w:color w:val="auto"/>
          <w:sz w:val="18"/>
          <w:szCs w:val="18"/>
        </w:rPr>
        <w:t>Note: As of March 12, 2025</w:t>
      </w:r>
      <w:r w:rsidR="00977823">
        <w:rPr>
          <w:rFonts w:ascii="Arial Narrow" w:hAnsi="Arial Narrow"/>
          <w:i w:val="0"/>
          <w:color w:val="auto"/>
          <w:sz w:val="18"/>
          <w:szCs w:val="18"/>
        </w:rPr>
        <w:t>,</w:t>
      </w:r>
      <w:r>
        <w:rPr>
          <w:rFonts w:ascii="Arial Narrow" w:hAnsi="Arial Narrow"/>
          <w:i w:val="0"/>
          <w:color w:val="auto"/>
          <w:sz w:val="18"/>
          <w:szCs w:val="18"/>
        </w:rPr>
        <w:t xml:space="preserve"> </w:t>
      </w:r>
      <w:r w:rsidR="001B118D">
        <w:rPr>
          <w:rFonts w:ascii="Arial Narrow" w:hAnsi="Arial Narrow"/>
          <w:i w:val="0"/>
          <w:color w:val="auto"/>
          <w:sz w:val="18"/>
          <w:szCs w:val="18"/>
        </w:rPr>
        <w:t>the evaluation team is still finalizing the application of the</w:t>
      </w:r>
      <w:r w:rsidR="00AD2CEE">
        <w:rPr>
          <w:rFonts w:ascii="Arial Narrow" w:hAnsi="Arial Narrow"/>
          <w:i w:val="0"/>
          <w:color w:val="auto"/>
          <w:sz w:val="18"/>
          <w:szCs w:val="18"/>
        </w:rPr>
        <w:t xml:space="preserve"> </w:t>
      </w:r>
      <w:r w:rsidR="004D51ED" w:rsidRPr="004D51ED">
        <w:rPr>
          <w:rFonts w:ascii="Arial Narrow" w:hAnsi="Arial Narrow"/>
          <w:i w:val="0"/>
          <w:color w:val="auto"/>
          <w:sz w:val="18"/>
          <w:szCs w:val="18"/>
        </w:rPr>
        <w:t>Net to Gross Policy for Disadvantaged Areas</w:t>
      </w:r>
      <w:r w:rsidR="00AD2CEE">
        <w:rPr>
          <w:rFonts w:ascii="Arial Narrow" w:hAnsi="Arial Narrow"/>
          <w:i w:val="0"/>
          <w:color w:val="auto"/>
          <w:sz w:val="18"/>
          <w:szCs w:val="18"/>
        </w:rPr>
        <w:t>.</w:t>
      </w:r>
      <w:r w:rsidR="007075D9">
        <w:rPr>
          <w:rFonts w:ascii="Arial Narrow" w:hAnsi="Arial Narrow"/>
          <w:i w:val="0"/>
          <w:color w:val="auto"/>
          <w:sz w:val="18"/>
          <w:szCs w:val="18"/>
        </w:rPr>
        <w:t xml:space="preserve"> The evaluation team applied a NTG ratio of 1.0 to the verified gross savings estimates of eligible projects, which</w:t>
      </w:r>
      <w:r w:rsidR="004808ED">
        <w:rPr>
          <w:rFonts w:ascii="Arial Narrow" w:hAnsi="Arial Narrow"/>
          <w:i w:val="0"/>
          <w:color w:val="auto"/>
          <w:sz w:val="18"/>
          <w:szCs w:val="18"/>
        </w:rPr>
        <w:t>,</w:t>
      </w:r>
      <w:r w:rsidR="007075D9">
        <w:rPr>
          <w:rFonts w:ascii="Arial Narrow" w:hAnsi="Arial Narrow"/>
          <w:i w:val="0"/>
          <w:color w:val="auto"/>
          <w:sz w:val="18"/>
          <w:szCs w:val="18"/>
        </w:rPr>
        <w:t xml:space="preserve"> as of this time</w:t>
      </w:r>
      <w:r w:rsidR="004808ED">
        <w:rPr>
          <w:rFonts w:ascii="Arial Narrow" w:hAnsi="Arial Narrow"/>
          <w:i w:val="0"/>
          <w:color w:val="auto"/>
          <w:sz w:val="18"/>
          <w:szCs w:val="18"/>
        </w:rPr>
        <w:t>,</w:t>
      </w:r>
      <w:r w:rsidR="007075D9">
        <w:rPr>
          <w:rFonts w:ascii="Arial Narrow" w:hAnsi="Arial Narrow"/>
          <w:i w:val="0"/>
          <w:color w:val="auto"/>
          <w:sz w:val="18"/>
          <w:szCs w:val="18"/>
        </w:rPr>
        <w:t xml:space="preserve"> included public and private projects in</w:t>
      </w:r>
      <w:r w:rsidR="005664F2">
        <w:rPr>
          <w:rFonts w:ascii="Arial Narrow" w:hAnsi="Arial Narrow"/>
          <w:i w:val="0"/>
          <w:color w:val="auto"/>
          <w:sz w:val="18"/>
          <w:szCs w:val="18"/>
        </w:rPr>
        <w:t xml:space="preserve"> disadvantaged communit</w:t>
      </w:r>
      <w:r w:rsidR="007075D9">
        <w:rPr>
          <w:rFonts w:ascii="Arial Narrow" w:hAnsi="Arial Narrow"/>
          <w:i w:val="0"/>
          <w:color w:val="auto"/>
          <w:sz w:val="18"/>
          <w:szCs w:val="18"/>
        </w:rPr>
        <w:t>ies</w:t>
      </w:r>
      <w:r w:rsidR="005664F2">
        <w:rPr>
          <w:rFonts w:ascii="Arial Narrow" w:hAnsi="Arial Narrow"/>
          <w:i w:val="0"/>
          <w:color w:val="auto"/>
          <w:sz w:val="18"/>
          <w:szCs w:val="18"/>
        </w:rPr>
        <w:t xml:space="preserve"> (ZIP code</w:t>
      </w:r>
      <w:r w:rsidR="007075D9">
        <w:rPr>
          <w:rFonts w:ascii="Arial Narrow" w:hAnsi="Arial Narrow"/>
          <w:i w:val="0"/>
          <w:color w:val="auto"/>
          <w:sz w:val="18"/>
          <w:szCs w:val="18"/>
        </w:rPr>
        <w:t>s</w:t>
      </w:r>
      <w:r w:rsidR="005664F2">
        <w:rPr>
          <w:rFonts w:ascii="Arial Narrow" w:hAnsi="Arial Narrow"/>
          <w:i w:val="0"/>
          <w:color w:val="auto"/>
          <w:sz w:val="18"/>
          <w:szCs w:val="18"/>
        </w:rPr>
        <w:t xml:space="preserve">) </w:t>
      </w:r>
      <w:r w:rsidR="007075D9">
        <w:rPr>
          <w:rFonts w:ascii="Arial Narrow" w:hAnsi="Arial Narrow"/>
          <w:i w:val="0"/>
          <w:color w:val="auto"/>
          <w:sz w:val="18"/>
          <w:szCs w:val="18"/>
        </w:rPr>
        <w:t>with square footage values</w:t>
      </w:r>
      <w:r w:rsidR="00741DCB">
        <w:rPr>
          <w:rFonts w:ascii="Arial Narrow" w:hAnsi="Arial Narrow"/>
          <w:i w:val="0"/>
          <w:color w:val="auto"/>
          <w:sz w:val="18"/>
          <w:szCs w:val="18"/>
        </w:rPr>
        <w:t xml:space="preserve"> under the area threshold for eligibility based on building type. The area threshold criteri</w:t>
      </w:r>
      <w:r w:rsidR="00D1421F">
        <w:rPr>
          <w:rFonts w:ascii="Arial Narrow" w:hAnsi="Arial Narrow"/>
          <w:i w:val="0"/>
          <w:color w:val="auto"/>
          <w:sz w:val="18"/>
          <w:szCs w:val="18"/>
        </w:rPr>
        <w:t>a</w:t>
      </w:r>
      <w:r w:rsidR="00741DCB">
        <w:rPr>
          <w:rFonts w:ascii="Arial Narrow" w:hAnsi="Arial Narrow"/>
          <w:i w:val="0"/>
          <w:color w:val="auto"/>
          <w:sz w:val="18"/>
          <w:szCs w:val="18"/>
        </w:rPr>
        <w:t xml:space="preserve"> </w:t>
      </w:r>
      <w:proofErr w:type="gramStart"/>
      <w:r w:rsidR="00741DCB">
        <w:rPr>
          <w:rFonts w:ascii="Arial Narrow" w:hAnsi="Arial Narrow"/>
          <w:i w:val="0"/>
          <w:color w:val="auto"/>
          <w:sz w:val="18"/>
          <w:szCs w:val="18"/>
        </w:rPr>
        <w:t>acts</w:t>
      </w:r>
      <w:proofErr w:type="gramEnd"/>
      <w:r w:rsidR="00741DCB">
        <w:rPr>
          <w:rFonts w:ascii="Arial Narrow" w:hAnsi="Arial Narrow"/>
          <w:i w:val="0"/>
          <w:color w:val="auto"/>
          <w:sz w:val="18"/>
          <w:szCs w:val="18"/>
        </w:rPr>
        <w:t xml:space="preserve"> as a </w:t>
      </w:r>
      <w:r w:rsidR="006C5343">
        <w:rPr>
          <w:rFonts w:ascii="Arial Narrow" w:hAnsi="Arial Narrow"/>
          <w:i w:val="0"/>
          <w:color w:val="auto"/>
          <w:sz w:val="18"/>
          <w:szCs w:val="18"/>
        </w:rPr>
        <w:t xml:space="preserve">proxy in the absence of reliable electric rate and annual gas consumption data. </w:t>
      </w:r>
      <w:r w:rsidR="00BF312E">
        <w:rPr>
          <w:rFonts w:ascii="Arial Narrow" w:hAnsi="Arial Narrow"/>
          <w:i w:val="0"/>
          <w:color w:val="auto"/>
          <w:sz w:val="18"/>
          <w:szCs w:val="18"/>
        </w:rPr>
        <w:t xml:space="preserve">The second half of this policy, which assigns public sector projects in DAC </w:t>
      </w:r>
      <w:r w:rsidR="00D1421F">
        <w:rPr>
          <w:rFonts w:ascii="Arial Narrow" w:hAnsi="Arial Narrow"/>
          <w:i w:val="0"/>
          <w:color w:val="auto"/>
          <w:sz w:val="18"/>
          <w:szCs w:val="18"/>
        </w:rPr>
        <w:t>municipalit</w:t>
      </w:r>
      <w:r w:rsidR="00035AEF">
        <w:rPr>
          <w:rFonts w:ascii="Arial Narrow" w:hAnsi="Arial Narrow"/>
          <w:i w:val="0"/>
          <w:color w:val="auto"/>
          <w:sz w:val="18"/>
          <w:szCs w:val="18"/>
        </w:rPr>
        <w:t>ies</w:t>
      </w:r>
      <w:r w:rsidR="00BF312E">
        <w:rPr>
          <w:rFonts w:ascii="Arial Narrow" w:hAnsi="Arial Narrow"/>
          <w:i w:val="0"/>
          <w:color w:val="auto"/>
          <w:sz w:val="18"/>
          <w:szCs w:val="18"/>
        </w:rPr>
        <w:t xml:space="preserve"> qualified as </w:t>
      </w:r>
      <w:r w:rsidR="00121062">
        <w:rPr>
          <w:rFonts w:ascii="Arial Narrow" w:hAnsi="Arial Narrow"/>
          <w:i w:val="0"/>
          <w:color w:val="auto"/>
          <w:sz w:val="18"/>
          <w:szCs w:val="18"/>
        </w:rPr>
        <w:t>general delivery service munic</w:t>
      </w:r>
      <w:r w:rsidR="00D1421F">
        <w:rPr>
          <w:rFonts w:ascii="Arial Narrow" w:hAnsi="Arial Narrow"/>
          <w:i w:val="0"/>
          <w:color w:val="auto"/>
          <w:sz w:val="18"/>
          <w:szCs w:val="18"/>
        </w:rPr>
        <w:t>ipal,</w:t>
      </w:r>
      <w:r w:rsidR="006C5343">
        <w:rPr>
          <w:rFonts w:ascii="Arial Narrow" w:hAnsi="Arial Narrow"/>
          <w:i w:val="0"/>
          <w:color w:val="auto"/>
          <w:sz w:val="18"/>
          <w:szCs w:val="18"/>
        </w:rPr>
        <w:t xml:space="preserve"> </w:t>
      </w:r>
      <w:r w:rsidR="00D1421F">
        <w:rPr>
          <w:rFonts w:ascii="Arial Narrow" w:hAnsi="Arial Narrow"/>
          <w:i w:val="0"/>
          <w:color w:val="auto"/>
          <w:sz w:val="18"/>
          <w:szCs w:val="18"/>
        </w:rPr>
        <w:t>public school, or local government</w:t>
      </w:r>
      <w:r w:rsidR="00035AEF">
        <w:rPr>
          <w:rFonts w:ascii="Arial Narrow" w:hAnsi="Arial Narrow"/>
          <w:i w:val="0"/>
          <w:color w:val="auto"/>
          <w:sz w:val="18"/>
          <w:szCs w:val="18"/>
        </w:rPr>
        <w:t xml:space="preserve"> projects</w:t>
      </w:r>
      <w:r w:rsidR="00666C42">
        <w:rPr>
          <w:rFonts w:ascii="Arial Narrow" w:hAnsi="Arial Narrow"/>
          <w:i w:val="0"/>
          <w:color w:val="auto"/>
          <w:sz w:val="18"/>
          <w:szCs w:val="18"/>
        </w:rPr>
        <w:t xml:space="preserve"> a NTG of 1.0</w:t>
      </w:r>
      <w:r w:rsidR="00D1421F">
        <w:rPr>
          <w:rFonts w:ascii="Arial Narrow" w:hAnsi="Arial Narrow"/>
          <w:i w:val="0"/>
          <w:color w:val="auto"/>
          <w:sz w:val="18"/>
          <w:szCs w:val="18"/>
        </w:rPr>
        <w:t xml:space="preserve"> was not applied </w:t>
      </w:r>
      <w:r w:rsidR="00666C42">
        <w:rPr>
          <w:rFonts w:ascii="Arial Narrow" w:hAnsi="Arial Narrow"/>
          <w:i w:val="0"/>
          <w:color w:val="auto"/>
          <w:sz w:val="18"/>
          <w:szCs w:val="18"/>
        </w:rPr>
        <w:t>in the first draft but will be applied in subsequent drafts.</w:t>
      </w:r>
    </w:p>
    <w:p w14:paraId="18F4AD7B" w14:textId="6B77106D" w:rsidR="00A1054C" w:rsidRPr="00302DE0" w:rsidRDefault="00A1054C" w:rsidP="00302DE0">
      <w:pPr>
        <w:pStyle w:val="Source"/>
        <w:spacing w:before="0" w:after="0"/>
      </w:pPr>
      <w:r>
        <w:t>Source:</w:t>
      </w:r>
      <w:r w:rsidR="008E7B1D">
        <w:t xml:space="preserve"> Nicor Gas tracking data and</w:t>
      </w:r>
      <w:r>
        <w:t xml:space="preserve"> </w:t>
      </w:r>
      <w:r w:rsidR="008E7B1D">
        <w:t>e</w:t>
      </w:r>
      <w:r>
        <w:t>valuation team analysis.</w:t>
      </w:r>
    </w:p>
    <w:p w14:paraId="7DAFFFF4" w14:textId="77777777" w:rsidR="00A1054C" w:rsidRDefault="00A1054C" w:rsidP="00302DE0">
      <w:pPr>
        <w:pStyle w:val="Heading10"/>
      </w:pPr>
      <w:bookmarkStart w:id="22" w:name="_Toc189833646"/>
      <w:r>
        <w:lastRenderedPageBreak/>
        <w:t>Program Savings by Measure</w:t>
      </w:r>
      <w:bookmarkEnd w:id="22"/>
    </w:p>
    <w:p w14:paraId="6E345189" w14:textId="1E72F215" w:rsidR="00A1054C" w:rsidRDefault="00302DE0" w:rsidP="00302DE0">
      <w:pPr>
        <w:pStyle w:val="BodyText"/>
      </w:pPr>
      <w:bookmarkStart w:id="23" w:name="_Hlk29910940"/>
      <w:bookmarkEnd w:id="3"/>
      <w:bookmarkEnd w:id="4"/>
      <w:r w:rsidRPr="00302DE0">
        <w:t xml:space="preserve">The BNC program claims savings at the whole building level, so this report does not present measure-level savings. Evaluation-verified savings for the program are based on a random sample of projects and reported at the project level (whole building analysis). </w:t>
      </w:r>
      <w:r w:rsidR="00DA384D">
        <w:rPr>
          <w:highlight w:val="yellow"/>
        </w:rPr>
        <w:fldChar w:fldCharType="begin"/>
      </w:r>
      <w:r w:rsidR="00DA384D">
        <w:rPr>
          <w:highlight w:val="yellow"/>
        </w:rPr>
        <w:instrText xml:space="preserve"> REF _Ref192241760 \h </w:instrText>
      </w:r>
      <w:r w:rsidR="00DA384D">
        <w:rPr>
          <w:highlight w:val="yellow"/>
        </w:rPr>
      </w:r>
      <w:r w:rsidR="00DA384D">
        <w:rPr>
          <w:highlight w:val="yellow"/>
        </w:rPr>
        <w:fldChar w:fldCharType="separate"/>
      </w:r>
      <w:r w:rsidR="00DA384D">
        <w:t>Appendix B</w:t>
      </w:r>
      <w:r w:rsidR="00DA384D">
        <w:rPr>
          <w:highlight w:val="yellow"/>
        </w:rPr>
        <w:fldChar w:fldCharType="end"/>
      </w:r>
      <w:r w:rsidR="00DA384D">
        <w:t xml:space="preserve"> </w:t>
      </w:r>
      <w:r w:rsidRPr="00302DE0">
        <w:t>provides more information about sampled project-level savings.</w:t>
      </w:r>
    </w:p>
    <w:p w14:paraId="6828D859" w14:textId="77777777" w:rsidR="00A1054C" w:rsidRPr="00C179E2" w:rsidRDefault="00A1054C" w:rsidP="00302DE0">
      <w:pPr>
        <w:pStyle w:val="Heading10"/>
        <w:rPr>
          <w:sz w:val="40"/>
          <w:szCs w:val="40"/>
        </w:rPr>
      </w:pPr>
      <w:bookmarkStart w:id="24" w:name="_Toc398546640"/>
      <w:bookmarkStart w:id="25" w:name="_Toc423009489"/>
      <w:bookmarkStart w:id="26" w:name="_Toc459627231"/>
      <w:bookmarkStart w:id="27" w:name="_Toc61360800"/>
      <w:bookmarkStart w:id="28" w:name="_Toc189833647"/>
      <w:bookmarkEnd w:id="23"/>
      <w:r w:rsidRPr="00C179E2">
        <w:rPr>
          <w:sz w:val="40"/>
          <w:szCs w:val="40"/>
        </w:rPr>
        <w:t>Impact Analysis Findings and Recommendations</w:t>
      </w:r>
      <w:bookmarkEnd w:id="24"/>
      <w:bookmarkEnd w:id="25"/>
      <w:bookmarkEnd w:id="26"/>
      <w:bookmarkEnd w:id="27"/>
      <w:bookmarkEnd w:id="28"/>
    </w:p>
    <w:p w14:paraId="373F853C" w14:textId="77777777" w:rsidR="00A1054C" w:rsidRPr="00162769" w:rsidRDefault="00A1054C" w:rsidP="00302DE0">
      <w:pPr>
        <w:pStyle w:val="Heading2"/>
      </w:pPr>
      <w:bookmarkStart w:id="29" w:name="_Toc501649913"/>
      <w:bookmarkStart w:id="30" w:name="_Toc61360801"/>
      <w:bookmarkStart w:id="31" w:name="_Toc189833648"/>
      <w:r w:rsidRPr="00162769">
        <w:t>Impact Parameter Estimates</w:t>
      </w:r>
      <w:bookmarkEnd w:id="29"/>
      <w:bookmarkEnd w:id="30"/>
      <w:bookmarkEnd w:id="31"/>
    </w:p>
    <w:p w14:paraId="6D358EDD" w14:textId="267B5B3C" w:rsidR="00302DE0" w:rsidRPr="00302DE0" w:rsidRDefault="00302DE0" w:rsidP="00302DE0">
      <w:pPr>
        <w:pStyle w:val="Instructions"/>
        <w:rPr>
          <w:color w:val="000000" w:themeColor="text1"/>
        </w:rPr>
      </w:pPr>
      <w:r w:rsidRPr="00302DE0">
        <w:rPr>
          <w:color w:val="000000" w:themeColor="text1"/>
        </w:rPr>
        <w:t xml:space="preserve">BNC program participants completed </w:t>
      </w:r>
      <w:r>
        <w:rPr>
          <w:color w:val="000000" w:themeColor="text1"/>
        </w:rPr>
        <w:t>42</w:t>
      </w:r>
      <w:r w:rsidRPr="00302DE0">
        <w:rPr>
          <w:color w:val="000000" w:themeColor="text1"/>
        </w:rPr>
        <w:t xml:space="preserve"> projects (</w:t>
      </w:r>
      <w:r>
        <w:rPr>
          <w:color w:val="000000" w:themeColor="text1"/>
        </w:rPr>
        <w:t>33</w:t>
      </w:r>
      <w:r w:rsidRPr="00302DE0">
        <w:rPr>
          <w:color w:val="000000" w:themeColor="text1"/>
        </w:rPr>
        <w:t xml:space="preserve"> with gas savings) in 202</w:t>
      </w:r>
      <w:r>
        <w:rPr>
          <w:color w:val="000000" w:themeColor="text1"/>
        </w:rPr>
        <w:t>4</w:t>
      </w:r>
      <w:r w:rsidRPr="00302DE0">
        <w:rPr>
          <w:color w:val="000000" w:themeColor="text1"/>
        </w:rPr>
        <w:t>. The evaluation team used a stratified random sampling approach to select 30 projects to receive an engineering desk review. Of the 30 sampled projects, 2</w:t>
      </w:r>
      <w:r>
        <w:rPr>
          <w:color w:val="000000" w:themeColor="text1"/>
        </w:rPr>
        <w:t>6</w:t>
      </w:r>
      <w:r w:rsidRPr="00302DE0">
        <w:rPr>
          <w:color w:val="000000" w:themeColor="text1"/>
        </w:rPr>
        <w:t xml:space="preserve"> projects had gas savings. Of the 2</w:t>
      </w:r>
      <w:r>
        <w:rPr>
          <w:color w:val="000000" w:themeColor="text1"/>
        </w:rPr>
        <w:t>6</w:t>
      </w:r>
      <w:r w:rsidRPr="00302DE0">
        <w:rPr>
          <w:color w:val="000000" w:themeColor="text1"/>
        </w:rPr>
        <w:t xml:space="preserve"> projects with gas savings, 1</w:t>
      </w:r>
      <w:r>
        <w:rPr>
          <w:color w:val="000000" w:themeColor="text1"/>
        </w:rPr>
        <w:t>3</w:t>
      </w:r>
      <w:r w:rsidRPr="00302DE0">
        <w:rPr>
          <w:color w:val="000000" w:themeColor="text1"/>
        </w:rPr>
        <w:t xml:space="preserve"> were served jointly by ComEd and Nicor Gas (see </w:t>
      </w:r>
      <w:r w:rsidR="00DA384D" w:rsidRPr="00DA384D">
        <w:rPr>
          <w:color w:val="auto"/>
          <w:highlight w:val="yellow"/>
        </w:rPr>
        <w:fldChar w:fldCharType="begin"/>
      </w:r>
      <w:r w:rsidR="00DA384D" w:rsidRPr="00DA384D">
        <w:rPr>
          <w:color w:val="auto"/>
        </w:rPr>
        <w:instrText xml:space="preserve"> REF _Ref65052649 \h </w:instrText>
      </w:r>
      <w:r w:rsidR="00DA384D" w:rsidRPr="00DA384D">
        <w:rPr>
          <w:color w:val="auto"/>
          <w:highlight w:val="yellow"/>
        </w:rPr>
      </w:r>
      <w:r w:rsidR="00DA384D" w:rsidRPr="00DA384D">
        <w:rPr>
          <w:color w:val="auto"/>
          <w:highlight w:val="yellow"/>
        </w:rPr>
        <w:fldChar w:fldCharType="separate"/>
      </w:r>
      <w:r w:rsidR="00DA384D" w:rsidRPr="00DA384D">
        <w:rPr>
          <w:color w:val="auto"/>
        </w:rPr>
        <w:t>Appendix A</w:t>
      </w:r>
      <w:r w:rsidR="00DA384D" w:rsidRPr="00DA384D">
        <w:rPr>
          <w:color w:val="auto"/>
          <w:highlight w:val="yellow"/>
        </w:rPr>
        <w:fldChar w:fldCharType="end"/>
      </w:r>
      <w:r w:rsidR="00DA384D" w:rsidRPr="00DA384D">
        <w:rPr>
          <w:color w:val="auto"/>
        </w:rPr>
        <w:t xml:space="preserve"> </w:t>
      </w:r>
      <w:r w:rsidRPr="00DA384D">
        <w:rPr>
          <w:color w:val="auto"/>
        </w:rPr>
        <w:t xml:space="preserve">for </w:t>
      </w:r>
      <w:r w:rsidRPr="00302DE0">
        <w:rPr>
          <w:color w:val="000000" w:themeColor="text1"/>
        </w:rPr>
        <w:t xml:space="preserve">more detail on the sampling approach). For </w:t>
      </w:r>
      <w:r w:rsidR="00A1054C">
        <w:rPr>
          <w:color w:val="000000" w:themeColor="text1"/>
        </w:rPr>
        <w:t>nine</w:t>
      </w:r>
      <w:r>
        <w:rPr>
          <w:color w:val="000000" w:themeColor="text1"/>
        </w:rPr>
        <w:t xml:space="preserve"> of the 13</w:t>
      </w:r>
      <w:r w:rsidRPr="00302DE0">
        <w:rPr>
          <w:color w:val="000000" w:themeColor="text1"/>
        </w:rPr>
        <w:t xml:space="preserve"> Nicor Gas projects, the desk reviews resulted in realization rates (RR) of 1.0 and</w:t>
      </w:r>
      <w:r w:rsidR="00A1054C">
        <w:rPr>
          <w:color w:val="000000" w:themeColor="text1"/>
        </w:rPr>
        <w:t>, therefore, independently confirmed the ex-ante</w:t>
      </w:r>
      <w:r w:rsidRPr="00302DE0">
        <w:rPr>
          <w:color w:val="000000" w:themeColor="text1"/>
        </w:rPr>
        <w:t xml:space="preserve"> savings and required no adjustments.</w:t>
      </w:r>
    </w:p>
    <w:p w14:paraId="3AB6B563" w14:textId="65F38C0D" w:rsidR="00302DE0" w:rsidRPr="00302DE0" w:rsidRDefault="00302DE0" w:rsidP="00302DE0">
      <w:pPr>
        <w:pStyle w:val="Instructions"/>
        <w:rPr>
          <w:color w:val="000000" w:themeColor="text1"/>
        </w:rPr>
      </w:pPr>
      <w:r w:rsidRPr="00302DE0">
        <w:rPr>
          <w:color w:val="000000" w:themeColor="text1"/>
        </w:rPr>
        <w:t xml:space="preserve">The evaluation team calculated RRs with and without interactive effects (see </w:t>
      </w:r>
      <w:r w:rsidR="00DA384D" w:rsidRPr="00DA384D">
        <w:rPr>
          <w:color w:val="auto"/>
          <w:highlight w:val="yellow"/>
        </w:rPr>
        <w:fldChar w:fldCharType="begin"/>
      </w:r>
      <w:r w:rsidR="00DA384D" w:rsidRPr="00DA384D">
        <w:rPr>
          <w:color w:val="auto"/>
        </w:rPr>
        <w:instrText xml:space="preserve"> REF _Ref65052649 \h </w:instrText>
      </w:r>
      <w:r w:rsidR="00DA384D" w:rsidRPr="00DA384D">
        <w:rPr>
          <w:color w:val="auto"/>
          <w:highlight w:val="yellow"/>
        </w:rPr>
      </w:r>
      <w:r w:rsidR="00DA384D" w:rsidRPr="00DA384D">
        <w:rPr>
          <w:color w:val="auto"/>
          <w:highlight w:val="yellow"/>
        </w:rPr>
        <w:fldChar w:fldCharType="separate"/>
      </w:r>
      <w:r w:rsidR="00DA384D" w:rsidRPr="00DA384D">
        <w:rPr>
          <w:color w:val="auto"/>
        </w:rPr>
        <w:t>Appendix A</w:t>
      </w:r>
      <w:r w:rsidR="00DA384D" w:rsidRPr="00DA384D">
        <w:rPr>
          <w:color w:val="auto"/>
          <w:highlight w:val="yellow"/>
        </w:rPr>
        <w:fldChar w:fldCharType="end"/>
      </w:r>
      <w:r w:rsidR="00DA384D">
        <w:rPr>
          <w:color w:val="auto"/>
        </w:rPr>
        <w:t xml:space="preserve"> </w:t>
      </w:r>
      <w:r w:rsidRPr="00302DE0">
        <w:rPr>
          <w:color w:val="000000" w:themeColor="text1"/>
        </w:rPr>
        <w:t xml:space="preserve">for more detail on interactive effects). The final RRs for projects with gas savings was </w:t>
      </w:r>
      <w:r>
        <w:rPr>
          <w:color w:val="000000" w:themeColor="text1"/>
        </w:rPr>
        <w:t>101</w:t>
      </w:r>
      <w:r w:rsidRPr="00302DE0">
        <w:rPr>
          <w:color w:val="000000" w:themeColor="text1"/>
        </w:rPr>
        <w:t xml:space="preserve">% for therms without interactive effects and </w:t>
      </w:r>
      <w:r>
        <w:rPr>
          <w:color w:val="000000" w:themeColor="text1"/>
        </w:rPr>
        <w:t>107</w:t>
      </w:r>
      <w:r w:rsidRPr="00302DE0">
        <w:rPr>
          <w:color w:val="000000" w:themeColor="text1"/>
        </w:rPr>
        <w:t xml:space="preserve">% for therms with interactive effects. </w:t>
      </w:r>
    </w:p>
    <w:p w14:paraId="0E596F9C" w14:textId="77777777" w:rsidR="00302DE0" w:rsidRPr="00302DE0" w:rsidRDefault="00302DE0" w:rsidP="00302DE0">
      <w:pPr>
        <w:pStyle w:val="Instructions"/>
        <w:rPr>
          <w:color w:val="000000" w:themeColor="text1"/>
        </w:rPr>
      </w:pPr>
      <w:r w:rsidRPr="00302DE0">
        <w:rPr>
          <w:color w:val="000000" w:themeColor="text1"/>
        </w:rPr>
        <w:t xml:space="preserve">The evaluation team calculated verified gross and net energy savings using participant specific whole-building energy models developed by the implementation team for baseline and projected design scenarios. For each participant, the design energy model estimates the proposed building’s annual whole-building energy consumption based on architecture; building envelope; heating, ventilation, and air conditioning (HVAC); lighting; and other parameters from the building design plans. The baseline energy model for a project estimates the counterfactual annual energy consumption the building would be expected to consume if it were built to meet the baseline energy performance standards. The estimated first-year savings are the difference in annual electric and gas consumption between the two models. Most of the models were developed in the </w:t>
      </w:r>
      <w:proofErr w:type="spellStart"/>
      <w:r w:rsidRPr="00302DE0">
        <w:rPr>
          <w:color w:val="000000" w:themeColor="text1"/>
        </w:rPr>
        <w:t>Sketchbox</w:t>
      </w:r>
      <w:proofErr w:type="spellEnd"/>
      <w:r w:rsidRPr="00302DE0">
        <w:rPr>
          <w:color w:val="000000" w:themeColor="text1"/>
        </w:rPr>
        <w:t xml:space="preserve"> program, which utilizes the DOE2.2 engine. The evaluation team reviewed the models using </w:t>
      </w:r>
      <w:proofErr w:type="spellStart"/>
      <w:r w:rsidRPr="00302DE0">
        <w:rPr>
          <w:color w:val="000000" w:themeColor="text1"/>
        </w:rPr>
        <w:t>Sketchbox</w:t>
      </w:r>
      <w:proofErr w:type="spellEnd"/>
      <w:r w:rsidRPr="00302DE0">
        <w:rPr>
          <w:color w:val="000000" w:themeColor="text1"/>
        </w:rPr>
        <w:t xml:space="preserve"> or </w:t>
      </w:r>
      <w:proofErr w:type="spellStart"/>
      <w:r w:rsidRPr="00302DE0">
        <w:rPr>
          <w:color w:val="000000" w:themeColor="text1"/>
        </w:rPr>
        <w:t>eQuest</w:t>
      </w:r>
      <w:proofErr w:type="spellEnd"/>
      <w:r w:rsidRPr="00302DE0">
        <w:rPr>
          <w:color w:val="000000" w:themeColor="text1"/>
        </w:rPr>
        <w:t>, which also utilizes the DOE2.2 engine.</w:t>
      </w:r>
    </w:p>
    <w:p w14:paraId="36AF49A9" w14:textId="1173DD90" w:rsidR="001959B0" w:rsidRDefault="00302DE0" w:rsidP="00302DE0">
      <w:pPr>
        <w:pStyle w:val="Instructions"/>
        <w:rPr>
          <w:color w:val="000000" w:themeColor="text1"/>
        </w:rPr>
      </w:pPr>
      <w:r w:rsidRPr="00A1054C">
        <w:rPr>
          <w:color w:val="auto"/>
        </w:rPr>
        <w:fldChar w:fldCharType="begin"/>
      </w:r>
      <w:r w:rsidRPr="00A1054C">
        <w:rPr>
          <w:color w:val="auto"/>
        </w:rPr>
        <w:instrText xml:space="preserve"> REF _Ref503449693 \h </w:instrText>
      </w:r>
      <w:r w:rsidRPr="00A1054C">
        <w:rPr>
          <w:color w:val="auto"/>
        </w:rPr>
      </w:r>
      <w:r w:rsidRPr="00A1054C">
        <w:rPr>
          <w:color w:val="auto"/>
        </w:rPr>
        <w:fldChar w:fldCharType="separate"/>
      </w:r>
      <w:r w:rsidR="00DF428B" w:rsidRPr="00C179E2">
        <w:rPr>
          <w:color w:val="auto"/>
        </w:rPr>
        <w:t xml:space="preserve">Table </w:t>
      </w:r>
      <w:r w:rsidR="00DF428B" w:rsidRPr="00C179E2">
        <w:rPr>
          <w:noProof/>
          <w:color w:val="auto"/>
        </w:rPr>
        <w:t>3</w:t>
      </w:r>
      <w:r w:rsidRPr="00A1054C">
        <w:rPr>
          <w:color w:val="auto"/>
        </w:rPr>
        <w:fldChar w:fldCharType="end"/>
      </w:r>
      <w:r w:rsidRPr="00A1054C">
        <w:rPr>
          <w:color w:val="auto"/>
        </w:rPr>
        <w:t xml:space="preserve"> shows the parameters used in the verified gross and net savings calculations and indicates which were calculated through evaluation activities and which were deemed. </w:t>
      </w:r>
      <w:r w:rsidR="00DA384D">
        <w:rPr>
          <w:color w:val="auto"/>
        </w:rPr>
        <w:t>The following section</w:t>
      </w:r>
      <w:r w:rsidRPr="00302DE0">
        <w:rPr>
          <w:color w:val="000000" w:themeColor="text1"/>
        </w:rPr>
        <w:t xml:space="preserve"> provides findings and recommendations, including </w:t>
      </w:r>
      <w:r w:rsidR="00DA384D">
        <w:rPr>
          <w:color w:val="000000" w:themeColor="text1"/>
        </w:rPr>
        <w:t xml:space="preserve">a </w:t>
      </w:r>
      <w:r w:rsidRPr="00302DE0">
        <w:rPr>
          <w:color w:val="000000" w:themeColor="text1"/>
        </w:rPr>
        <w:t xml:space="preserve">discussion of all measures with RRs above or below 100%. </w:t>
      </w:r>
      <w:r w:rsidR="00DA384D" w:rsidRPr="00004DF4">
        <w:rPr>
          <w:color w:val="000000" w:themeColor="text1"/>
        </w:rPr>
        <w:fldChar w:fldCharType="begin"/>
      </w:r>
      <w:r w:rsidR="00DA384D" w:rsidRPr="00004DF4">
        <w:rPr>
          <w:color w:val="000000" w:themeColor="text1"/>
        </w:rPr>
        <w:instrText xml:space="preserve"> REF _Ref65052649 \h </w:instrText>
      </w:r>
      <w:r w:rsidR="00DA384D" w:rsidRPr="00004DF4">
        <w:rPr>
          <w:color w:val="000000" w:themeColor="text1"/>
        </w:rPr>
      </w:r>
      <w:r w:rsidR="00004DF4">
        <w:rPr>
          <w:color w:val="000000" w:themeColor="text1"/>
        </w:rPr>
        <w:instrText xml:space="preserve"> \* MERGEFORMAT </w:instrText>
      </w:r>
      <w:r w:rsidR="00DA384D" w:rsidRPr="00004DF4">
        <w:rPr>
          <w:color w:val="000000" w:themeColor="text1"/>
        </w:rPr>
        <w:fldChar w:fldCharType="separate"/>
      </w:r>
      <w:r w:rsidR="00DF428B" w:rsidRPr="00004DF4">
        <w:rPr>
          <w:color w:val="000000" w:themeColor="text1"/>
        </w:rPr>
        <w:t>Appendix A</w:t>
      </w:r>
      <w:r w:rsidR="00DA384D" w:rsidRPr="00004DF4">
        <w:rPr>
          <w:color w:val="000000" w:themeColor="text1"/>
        </w:rPr>
        <w:fldChar w:fldCharType="end"/>
      </w:r>
      <w:r w:rsidR="00DA384D">
        <w:rPr>
          <w:color w:val="auto"/>
        </w:rPr>
        <w:t xml:space="preserve"> </w:t>
      </w:r>
      <w:r w:rsidRPr="00302DE0">
        <w:rPr>
          <w:color w:val="000000" w:themeColor="text1"/>
        </w:rPr>
        <w:t>provides a description of the impact analysis methodology.</w:t>
      </w:r>
    </w:p>
    <w:p w14:paraId="3BA8A0F3" w14:textId="30C60778" w:rsidR="00A1054C" w:rsidRPr="001959B0" w:rsidRDefault="001959B0" w:rsidP="00C179E2">
      <w:pPr>
        <w:suppressAutoHyphens w:val="0"/>
        <w:autoSpaceDN/>
        <w:spacing w:before="0" w:after="0"/>
        <w:rPr>
          <w:color w:val="000000" w:themeColor="text1"/>
        </w:rPr>
      </w:pPr>
      <w:r>
        <w:rPr>
          <w:color w:val="000000" w:themeColor="text1"/>
        </w:rPr>
        <w:br w:type="page"/>
      </w:r>
    </w:p>
    <w:p w14:paraId="7EE5D5FF" w14:textId="50AFCFE6" w:rsidR="00A1054C" w:rsidRPr="00E8651B" w:rsidRDefault="00A1054C">
      <w:pPr>
        <w:pStyle w:val="Caption"/>
        <w:keepLines/>
      </w:pPr>
      <w:bookmarkStart w:id="32" w:name="_Ref503449693"/>
      <w:bookmarkStart w:id="33" w:name="_Toc61360849"/>
      <w:bookmarkStart w:id="34" w:name="_Toc192241353"/>
      <w:r>
        <w:lastRenderedPageBreak/>
        <w:t xml:space="preserve">Table </w:t>
      </w:r>
      <w:r>
        <w:fldChar w:fldCharType="begin"/>
      </w:r>
      <w:r>
        <w:instrText>SEQ Table \* ARABIC</w:instrText>
      </w:r>
      <w:r>
        <w:fldChar w:fldCharType="separate"/>
      </w:r>
      <w:r w:rsidR="00DF428B">
        <w:rPr>
          <w:noProof/>
        </w:rPr>
        <w:t>3</w:t>
      </w:r>
      <w:r>
        <w:fldChar w:fldCharType="end"/>
      </w:r>
      <w:bookmarkEnd w:id="32"/>
      <w:r>
        <w:t xml:space="preserve">. </w:t>
      </w:r>
      <w:r w:rsidRPr="00E8651B">
        <w:t>Verified Gross Savings Parameters</w:t>
      </w:r>
      <w:bookmarkStart w:id="35" w:name="Table_5"/>
      <w:bookmarkEnd w:id="33"/>
      <w:bookmarkEnd w:id="34"/>
      <w:bookmarkEnd w:id="35"/>
    </w:p>
    <w:tbl>
      <w:tblPr>
        <w:tblW w:w="5000" w:type="pct"/>
        <w:jc w:val="center"/>
        <w:tblLook w:val="0420" w:firstRow="1" w:lastRow="0" w:firstColumn="0" w:lastColumn="0" w:noHBand="0" w:noVBand="1"/>
      </w:tblPr>
      <w:tblGrid>
        <w:gridCol w:w="1910"/>
        <w:gridCol w:w="1909"/>
        <w:gridCol w:w="5541"/>
      </w:tblGrid>
      <w:tr w:rsidR="00302DE0" w:rsidRPr="00E063FB" w14:paraId="406A3930" w14:textId="77777777" w:rsidTr="225217AD">
        <w:trPr>
          <w:tblHeader/>
          <w:jc w:val="center"/>
        </w:trPr>
        <w:tc>
          <w:tcPr>
            <w:tcW w:w="102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24F8BC6" w14:textId="77777777" w:rsidR="00302DE0" w:rsidRPr="00C179E2" w:rsidRDefault="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179E2">
              <w:rPr>
                <w:rFonts w:ascii="Arial Narrow" w:eastAsia="DejaVu Sans" w:hAnsi="Arial Narrow" w:cs="DejaVu Sans"/>
                <w:color w:val="FFFFFF"/>
                <w:sz w:val="20"/>
                <w:szCs w:val="20"/>
              </w:rPr>
              <w:t>Gross Savings Input Parameters</w:t>
            </w:r>
          </w:p>
        </w:tc>
        <w:tc>
          <w:tcPr>
            <w:tcW w:w="102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0B219BF"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179E2">
              <w:rPr>
                <w:rFonts w:ascii="Arial Narrow" w:eastAsia="DejaVu Sans" w:hAnsi="Arial Narrow" w:cs="DejaVu Sans"/>
                <w:color w:val="FFFFFF"/>
                <w:sz w:val="20"/>
                <w:szCs w:val="20"/>
              </w:rPr>
              <w:t xml:space="preserve">Deemed or </w:t>
            </w:r>
            <w:proofErr w:type="gramStart"/>
            <w:r w:rsidRPr="00C179E2">
              <w:rPr>
                <w:rFonts w:ascii="Arial Narrow" w:eastAsia="DejaVu Sans" w:hAnsi="Arial Narrow" w:cs="DejaVu Sans"/>
                <w:color w:val="FFFFFF"/>
                <w:sz w:val="20"/>
                <w:szCs w:val="20"/>
              </w:rPr>
              <w:t>Evaluated</w:t>
            </w:r>
            <w:proofErr w:type="gramEnd"/>
            <w:r w:rsidRPr="00C179E2">
              <w:rPr>
                <w:rFonts w:ascii="Arial Narrow" w:eastAsia="DejaVu Sans" w:hAnsi="Arial Narrow" w:cs="DejaVu Sans"/>
                <w:color w:val="FFFFFF"/>
                <w:sz w:val="20"/>
                <w:szCs w:val="20"/>
              </w:rPr>
              <w:t>?</w:t>
            </w:r>
          </w:p>
        </w:tc>
        <w:tc>
          <w:tcPr>
            <w:tcW w:w="296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B92A707"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179E2">
              <w:rPr>
                <w:rFonts w:ascii="Arial Narrow" w:eastAsia="DejaVu Sans" w:hAnsi="Arial Narrow" w:cs="DejaVu Sans"/>
                <w:color w:val="FFFFFF"/>
                <w:sz w:val="20"/>
                <w:szCs w:val="20"/>
              </w:rPr>
              <w:t>Source*</w:t>
            </w:r>
          </w:p>
        </w:tc>
      </w:tr>
      <w:tr w:rsidR="00302DE0" w:rsidRPr="00E063FB" w14:paraId="096F4408" w14:textId="77777777" w:rsidTr="225217AD">
        <w:trPr>
          <w:jc w:val="center"/>
        </w:trPr>
        <w:tc>
          <w:tcPr>
            <w:tcW w:w="102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20BABB"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Program Model Inputs</w:t>
            </w:r>
          </w:p>
        </w:tc>
        <w:tc>
          <w:tcPr>
            <w:tcW w:w="102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A87F08"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Evaluated</w:t>
            </w:r>
          </w:p>
        </w:tc>
        <w:tc>
          <w:tcPr>
            <w:tcW w:w="2961"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1E53B7" w14:textId="71A587FA"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 xml:space="preserve"> Program-supplied building models and savings calculation spreadsheet </w:t>
            </w:r>
          </w:p>
        </w:tc>
      </w:tr>
      <w:tr w:rsidR="00302DE0" w:rsidRPr="00E063FB" w14:paraId="53E8752C" w14:textId="77777777" w:rsidTr="225217AD">
        <w:trPr>
          <w:jc w:val="center"/>
        </w:trPr>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91972A"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Evaluation Model Inputs</w:t>
            </w:r>
          </w:p>
        </w:tc>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60D8D6"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Mixture</w:t>
            </w:r>
          </w:p>
        </w:tc>
        <w:tc>
          <w:tcPr>
            <w:tcW w:w="296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6B5485" w14:textId="2DFC5395"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themeColor="text1"/>
                <w:sz w:val="20"/>
                <w:szCs w:val="20"/>
              </w:rPr>
              <w:t xml:space="preserve"> Desk review of project documentation; </w:t>
            </w:r>
            <w:r w:rsidR="0D535FC3" w:rsidRPr="225217AD">
              <w:rPr>
                <w:rFonts w:ascii="Arial Narrow" w:eastAsia="DejaVu Sans" w:hAnsi="Arial Narrow" w:cs="DejaVu Sans"/>
                <w:color w:val="000000" w:themeColor="text1"/>
                <w:sz w:val="20"/>
                <w:szCs w:val="20"/>
              </w:rPr>
              <w:t>IL-</w:t>
            </w:r>
            <w:r w:rsidRPr="00C179E2">
              <w:rPr>
                <w:rFonts w:ascii="Arial Narrow" w:eastAsia="DejaVu Sans" w:hAnsi="Arial Narrow" w:cs="DejaVu Sans"/>
                <w:color w:val="000000" w:themeColor="text1"/>
                <w:sz w:val="20"/>
                <w:szCs w:val="20"/>
              </w:rPr>
              <w:t xml:space="preserve">TRM v12.0 </w:t>
            </w:r>
          </w:p>
        </w:tc>
      </w:tr>
      <w:tr w:rsidR="00302DE0" w:rsidRPr="00E063FB" w14:paraId="7D5AB1E5" w14:textId="77777777" w:rsidTr="225217AD">
        <w:trPr>
          <w:jc w:val="center"/>
        </w:trPr>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E409C1"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Evaluation Model Results</w:t>
            </w:r>
          </w:p>
        </w:tc>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56F2C1"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Evaluated</w:t>
            </w:r>
          </w:p>
        </w:tc>
        <w:tc>
          <w:tcPr>
            <w:tcW w:w="296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AB8E15" w14:textId="22B7919E"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 xml:space="preserve"> </w:t>
            </w:r>
            <w:proofErr w:type="spellStart"/>
            <w:r w:rsidRPr="00C179E2">
              <w:rPr>
                <w:rFonts w:ascii="Arial Narrow" w:eastAsia="DejaVu Sans" w:hAnsi="Arial Narrow" w:cs="DejaVu Sans"/>
                <w:color w:val="000000"/>
                <w:sz w:val="20"/>
                <w:szCs w:val="20"/>
              </w:rPr>
              <w:t>eQuest</w:t>
            </w:r>
            <w:proofErr w:type="spellEnd"/>
            <w:r w:rsidRPr="00C179E2">
              <w:rPr>
                <w:rFonts w:ascii="Arial Narrow" w:eastAsia="DejaVu Sans" w:hAnsi="Arial Narrow" w:cs="DejaVu Sans"/>
                <w:color w:val="000000"/>
                <w:sz w:val="20"/>
                <w:szCs w:val="20"/>
              </w:rPr>
              <w:t xml:space="preserve">/DOE2.2/DOE2.1E/Project Calculations </w:t>
            </w:r>
          </w:p>
        </w:tc>
      </w:tr>
      <w:tr w:rsidR="00302DE0" w:rsidRPr="00E063FB" w14:paraId="6E1EC391" w14:textId="77777777" w:rsidTr="225217AD">
        <w:trPr>
          <w:jc w:val="center"/>
        </w:trPr>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678898"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Realization Rate - All Projects</w:t>
            </w:r>
          </w:p>
        </w:tc>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EFDFFF"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Evaluated</w:t>
            </w:r>
          </w:p>
        </w:tc>
        <w:tc>
          <w:tcPr>
            <w:tcW w:w="296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711CFE" w14:textId="775A0F12"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 xml:space="preserve"> Program savings and evaluated savings </w:t>
            </w:r>
          </w:p>
        </w:tc>
      </w:tr>
      <w:tr w:rsidR="00302DE0" w:rsidRPr="00E063FB" w14:paraId="30991E32" w14:textId="77777777" w:rsidTr="225217AD">
        <w:trPr>
          <w:jc w:val="center"/>
        </w:trPr>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4174CF"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NTG - Electric and Gas</w:t>
            </w:r>
          </w:p>
        </w:tc>
        <w:tc>
          <w:tcPr>
            <w:tcW w:w="102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2AE8AA"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Deemed</w:t>
            </w:r>
          </w:p>
        </w:tc>
        <w:tc>
          <w:tcPr>
            <w:tcW w:w="296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2C95D3" w14:textId="550119FA"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 xml:space="preserve"> Illinois SAG Consensus </w:t>
            </w:r>
          </w:p>
        </w:tc>
      </w:tr>
      <w:tr w:rsidR="00302DE0" w:rsidRPr="00E063FB" w14:paraId="26E89515" w14:textId="77777777" w:rsidTr="225217AD">
        <w:trPr>
          <w:jc w:val="center"/>
        </w:trPr>
        <w:tc>
          <w:tcPr>
            <w:tcW w:w="102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D283E00"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EUL</w:t>
            </w:r>
          </w:p>
        </w:tc>
        <w:tc>
          <w:tcPr>
            <w:tcW w:w="102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BDF7E0A" w14:textId="77777777" w:rsidR="00302DE0" w:rsidRPr="00C179E2" w:rsidRDefault="00302DE0"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Mixture</w:t>
            </w:r>
          </w:p>
        </w:tc>
        <w:tc>
          <w:tcPr>
            <w:tcW w:w="296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7F2F8D0" w14:textId="25C57B14" w:rsidR="00302DE0" w:rsidRPr="00C179E2" w:rsidRDefault="05B95818" w:rsidP="00302DE0">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225217AD">
              <w:rPr>
                <w:rFonts w:ascii="Arial Narrow" w:eastAsia="DejaVu Sans" w:hAnsi="Arial Narrow" w:cs="DejaVu Sans"/>
                <w:color w:val="000000" w:themeColor="text1"/>
                <w:sz w:val="20"/>
                <w:szCs w:val="20"/>
              </w:rPr>
              <w:t>IL-</w:t>
            </w:r>
            <w:r w:rsidR="00302DE0" w:rsidRPr="00C179E2">
              <w:rPr>
                <w:rFonts w:ascii="Arial Narrow" w:eastAsia="DejaVu Sans" w:hAnsi="Arial Narrow" w:cs="DejaVu Sans"/>
                <w:color w:val="000000" w:themeColor="text1"/>
                <w:sz w:val="20"/>
                <w:szCs w:val="20"/>
              </w:rPr>
              <w:t>TRM v12.0 – Volume 4 Attachment B</w:t>
            </w:r>
          </w:p>
        </w:tc>
      </w:tr>
    </w:tbl>
    <w:p w14:paraId="6661ECE5" w14:textId="1F6136B5" w:rsidR="00A1054C" w:rsidRDefault="00A1054C" w:rsidP="00C179E2">
      <w:pPr>
        <w:spacing w:before="0" w:after="0"/>
        <w:rPr>
          <w:rFonts w:ascii="Arial Narrow" w:hAnsi="Arial Narrow"/>
          <w:sz w:val="18"/>
          <w:szCs w:val="18"/>
        </w:rPr>
      </w:pPr>
      <w:r w:rsidRPr="225217AD">
        <w:rPr>
          <w:rFonts w:ascii="Arial Narrow" w:hAnsi="Arial Narrow"/>
          <w:sz w:val="18"/>
          <w:szCs w:val="18"/>
        </w:rPr>
        <w:t>*TRM is the Illinois Technical Reference Manual version 12.0</w:t>
      </w:r>
      <w:r w:rsidR="3160DF8E" w:rsidRPr="225217AD">
        <w:rPr>
          <w:rFonts w:ascii="Arial Narrow" w:hAnsi="Arial Narrow"/>
          <w:sz w:val="18"/>
          <w:szCs w:val="18"/>
        </w:rPr>
        <w:t xml:space="preserve"> (IL-TRM v12.0)</w:t>
      </w:r>
      <w:r w:rsidRPr="225217AD">
        <w:rPr>
          <w:rFonts w:ascii="Arial Narrow" w:hAnsi="Arial Narrow"/>
          <w:sz w:val="18"/>
          <w:szCs w:val="18"/>
        </w:rPr>
        <w:t xml:space="preserve">: https://www.ilsag.info/illinois-statewide-technical-reference-manual-version-12-0/. The net-to-gross (NTG) values can be found on the Illinois Stakeholder Advisory Group (SAG) website: </w:t>
      </w:r>
      <w:hyperlink r:id="rId19" w:history="1">
        <w:r w:rsidRPr="225217AD">
          <w:rPr>
            <w:rStyle w:val="Hyperlink"/>
            <w:rFonts w:ascii="Arial Narrow" w:hAnsi="Arial Narrow"/>
            <w:sz w:val="18"/>
            <w:szCs w:val="18"/>
          </w:rPr>
          <w:t>https://www.ilsag.info/evaluator-ntg-recommendations-for-2024/</w:t>
        </w:r>
      </w:hyperlink>
      <w:r w:rsidRPr="225217AD">
        <w:rPr>
          <w:rFonts w:ascii="Arial Narrow" w:hAnsi="Arial Narrow"/>
          <w:sz w:val="18"/>
          <w:szCs w:val="18"/>
        </w:rPr>
        <w:t>.</w:t>
      </w:r>
    </w:p>
    <w:p w14:paraId="0CF75895" w14:textId="24F03388" w:rsidR="62D4FC37" w:rsidRPr="00C179E2" w:rsidRDefault="62D4FC37" w:rsidP="225217AD">
      <w:pPr>
        <w:spacing w:before="0"/>
        <w:rPr>
          <w:rFonts w:ascii="Arial Narrow" w:hAnsi="Arial Narrow"/>
          <w:i/>
          <w:iCs/>
          <w:sz w:val="18"/>
          <w:szCs w:val="18"/>
        </w:rPr>
      </w:pPr>
      <w:r w:rsidRPr="00C179E2">
        <w:rPr>
          <w:rFonts w:ascii="Arial Narrow" w:hAnsi="Arial Narrow"/>
          <w:i/>
          <w:iCs/>
          <w:sz w:val="18"/>
          <w:szCs w:val="18"/>
        </w:rPr>
        <w:t>Source: Evaluation team analysis.</w:t>
      </w:r>
    </w:p>
    <w:p w14:paraId="596F6572" w14:textId="44E50247" w:rsidR="00A1054C" w:rsidRDefault="00A1054C" w:rsidP="00A1054C">
      <w:pPr>
        <w:pStyle w:val="Heading2"/>
      </w:pPr>
      <w:bookmarkStart w:id="36" w:name="_Toc61360802"/>
      <w:bookmarkStart w:id="37" w:name="_Toc189833649"/>
      <w:r>
        <w:t>Findings and Recommendations</w:t>
      </w:r>
      <w:bookmarkEnd w:id="36"/>
      <w:bookmarkEnd w:id="37"/>
    </w:p>
    <w:p w14:paraId="0547322A" w14:textId="77777777" w:rsidR="00A1054C" w:rsidRDefault="00A1054C" w:rsidP="00A1054C">
      <w:pPr>
        <w:spacing w:line="264" w:lineRule="auto"/>
      </w:pPr>
      <w:r w:rsidRPr="00A1054C">
        <w:t>The factors that had the largest effect on adjusting ex ante gross savings were inconsistencies between installed equipment specifications and performance characteristics</w:t>
      </w:r>
      <w:r>
        <w:t xml:space="preserve"> and</w:t>
      </w:r>
      <w:r w:rsidRPr="00A1054C">
        <w:t xml:space="preserve"> incorrect application of code requirements or baselines</w:t>
      </w:r>
      <w:r>
        <w:t>.</w:t>
      </w:r>
    </w:p>
    <w:p w14:paraId="64DA18FD" w14:textId="72215F05" w:rsidR="00A1054C" w:rsidRPr="005E3FD2" w:rsidRDefault="00A1054C" w:rsidP="00A1054C">
      <w:pPr>
        <w:spacing w:line="264" w:lineRule="auto"/>
      </w:pPr>
      <w:r>
        <w:rPr>
          <w:b/>
        </w:rPr>
        <w:t xml:space="preserve">Finding 1. </w:t>
      </w:r>
      <w:r>
        <w:t xml:space="preserve">The </w:t>
      </w:r>
      <w:proofErr w:type="spellStart"/>
      <w:proofErr w:type="gramStart"/>
      <w:r>
        <w:t>ex ante</w:t>
      </w:r>
      <w:proofErr w:type="spellEnd"/>
      <w:proofErr w:type="gramEnd"/>
      <w:r>
        <w:t xml:space="preserve"> savings for several projects were different from the verified savings due to installed equipment quantities or specifications being inconsistent with performance characteristics included in the building models or calculations. Adjustments included:</w:t>
      </w:r>
    </w:p>
    <w:p w14:paraId="2144BDA1" w14:textId="1F479BD0" w:rsidR="00A1054C" w:rsidRDefault="00A1054C" w:rsidP="00A1054C">
      <w:pPr>
        <w:numPr>
          <w:ilvl w:val="0"/>
          <w:numId w:val="57"/>
        </w:numPr>
        <w:suppressAutoHyphens w:val="0"/>
        <w:autoSpaceDN/>
        <w:spacing w:before="0" w:after="160" w:line="256" w:lineRule="auto"/>
      </w:pPr>
      <w:r>
        <w:t xml:space="preserve">Project </w:t>
      </w:r>
      <w:r w:rsidR="00A1099C">
        <w:t>CINC-</w:t>
      </w:r>
      <w:r>
        <w:t>1430</w:t>
      </w:r>
      <w:r w:rsidR="06EE8980">
        <w:t>.</w:t>
      </w:r>
      <w:r>
        <w:t xml:space="preserve"> Window solar heat gain coefficient values</w:t>
      </w:r>
    </w:p>
    <w:p w14:paraId="652B9730" w14:textId="12D6583C" w:rsidR="00A1054C" w:rsidRDefault="00A1054C" w:rsidP="00A1054C">
      <w:pPr>
        <w:numPr>
          <w:ilvl w:val="0"/>
          <w:numId w:val="58"/>
        </w:numPr>
        <w:suppressAutoHyphens w:val="0"/>
        <w:autoSpaceDN/>
        <w:spacing w:before="0" w:after="160" w:line="256" w:lineRule="auto"/>
      </w:pPr>
      <w:r>
        <w:t xml:space="preserve">Project </w:t>
      </w:r>
      <w:r w:rsidR="00A1099C">
        <w:t>CINC-</w:t>
      </w:r>
      <w:r>
        <w:t>1451</w:t>
      </w:r>
      <w:r w:rsidR="006D4DF5">
        <w:t>.</w:t>
      </w:r>
      <w:r>
        <w:t xml:space="preserve"> Lighting power density </w:t>
      </w:r>
      <w:r w:rsidR="45F144E8">
        <w:t>(LPD)</w:t>
      </w:r>
      <w:r>
        <w:t xml:space="preserve"> and window u-values</w:t>
      </w:r>
    </w:p>
    <w:p w14:paraId="5F924B64" w14:textId="1DF3252E" w:rsidR="00A1054C" w:rsidRDefault="00A1054C" w:rsidP="00A1054C">
      <w:pPr>
        <w:numPr>
          <w:ilvl w:val="0"/>
          <w:numId w:val="58"/>
        </w:numPr>
        <w:suppressAutoHyphens w:val="0"/>
        <w:autoSpaceDN/>
        <w:spacing w:before="0" w:after="160" w:line="256" w:lineRule="auto"/>
      </w:pPr>
      <w:r>
        <w:t xml:space="preserve">Project </w:t>
      </w:r>
      <w:r w:rsidR="00A1099C">
        <w:t>CINC-</w:t>
      </w:r>
      <w:r>
        <w:t>1512</w:t>
      </w:r>
      <w:r w:rsidR="79280108">
        <w:t>.</w:t>
      </w:r>
      <w:r>
        <w:t xml:space="preserve"> </w:t>
      </w:r>
      <w:r w:rsidR="7F82DA24">
        <w:t>LPD</w:t>
      </w:r>
      <w:r>
        <w:t xml:space="preserve"> values and HVAC equipment efficiencies</w:t>
      </w:r>
    </w:p>
    <w:p w14:paraId="3C0011C1" w14:textId="7BBBDF71" w:rsidR="00A1054C" w:rsidRDefault="00A1054C" w:rsidP="00A1054C">
      <w:pPr>
        <w:numPr>
          <w:ilvl w:val="0"/>
          <w:numId w:val="58"/>
        </w:numPr>
        <w:suppressAutoHyphens w:val="0"/>
        <w:autoSpaceDN/>
        <w:spacing w:before="0" w:after="160" w:line="256" w:lineRule="auto"/>
      </w:pPr>
      <w:r>
        <w:t xml:space="preserve">Project </w:t>
      </w:r>
      <w:r w:rsidR="00A1099C">
        <w:t>CINC-</w:t>
      </w:r>
      <w:r>
        <w:t>1607</w:t>
      </w:r>
      <w:r w:rsidR="2EF9F7DC">
        <w:t>.</w:t>
      </w:r>
      <w:r>
        <w:t xml:space="preserve"> Installed exterior lighting power wattages</w:t>
      </w:r>
    </w:p>
    <w:p w14:paraId="35E66437" w14:textId="5FB07ED4" w:rsidR="00A1054C" w:rsidRPr="00A1054C" w:rsidRDefault="00A1054C" w:rsidP="00A1054C">
      <w:pPr>
        <w:pStyle w:val="Recommendation"/>
        <w:rPr>
          <w:b w:val="0"/>
          <w:color w:val="FF0000"/>
        </w:rPr>
      </w:pPr>
      <w:r>
        <w:t>Recommendation 1.</w:t>
      </w:r>
      <w:r>
        <w:rPr>
          <w:b w:val="0"/>
        </w:rPr>
        <w:t xml:space="preserve"> The evaluation team recommends that building simulations are kept up to date to accurately represent the final as-built building construction and installed equipment.</w:t>
      </w:r>
      <w:bookmarkStart w:id="38" w:name="_Hlk191549849"/>
    </w:p>
    <w:p w14:paraId="629F5EEE" w14:textId="5AD21150" w:rsidR="00A1054C" w:rsidRDefault="00A1054C" w:rsidP="00A1054C">
      <w:pPr>
        <w:spacing w:after="240"/>
        <w:rPr>
          <w:rFonts w:asciiTheme="minorHAnsi" w:hAnsiTheme="minorHAnsi"/>
        </w:rPr>
      </w:pPr>
      <w:r w:rsidRPr="0FAACDFC">
        <w:rPr>
          <w:b/>
          <w:bCs/>
        </w:rPr>
        <w:t xml:space="preserve">Finding </w:t>
      </w:r>
      <w:r>
        <w:rPr>
          <w:b/>
          <w:bCs/>
        </w:rPr>
        <w:t>2</w:t>
      </w:r>
      <w:r w:rsidRPr="0FAACDFC">
        <w:rPr>
          <w:b/>
          <w:bCs/>
        </w:rPr>
        <w:t xml:space="preserve">. </w:t>
      </w:r>
      <w:r>
        <w:t>The evaluation team changed the savings for one project due to incorrect application of code requirements or baselines:</w:t>
      </w:r>
    </w:p>
    <w:p w14:paraId="1709BF35" w14:textId="7177EA3C" w:rsidR="00A1054C" w:rsidRDefault="00A1054C" w:rsidP="00A1054C">
      <w:pPr>
        <w:numPr>
          <w:ilvl w:val="0"/>
          <w:numId w:val="58"/>
        </w:numPr>
        <w:suppressAutoHyphens w:val="0"/>
        <w:autoSpaceDN/>
        <w:spacing w:before="0" w:after="160" w:line="256" w:lineRule="auto"/>
      </w:pPr>
      <w:r>
        <w:t xml:space="preserve">Project </w:t>
      </w:r>
      <w:r w:rsidR="00A1099C">
        <w:t>CINC-</w:t>
      </w:r>
      <w:r>
        <w:t xml:space="preserve">1430 included the installation of packaged vertical heat pumps; however, the baseline efficiency values were incorrectly based on the requirements for packaged terminal heat pumps instead of packaged vertical heat pumps. </w:t>
      </w:r>
      <w:r w:rsidR="6DB81673">
        <w:t>Making this correction</w:t>
      </w:r>
      <w:r>
        <w:t xml:space="preserve"> increased the savings for this measure by 37% and increased the realization rate for the entire project by 4%. </w:t>
      </w:r>
    </w:p>
    <w:p w14:paraId="0888B4A3" w14:textId="1978190C" w:rsidR="00635E58" w:rsidRDefault="00A1054C" w:rsidP="00C179E2">
      <w:pPr>
        <w:pStyle w:val="Recommendation"/>
      </w:pPr>
      <w:r>
        <w:t xml:space="preserve">Recommendation 2. </w:t>
      </w:r>
      <w:r w:rsidRPr="0045232A">
        <w:rPr>
          <w:b w:val="0"/>
          <w:bCs/>
        </w:rPr>
        <w:t xml:space="preserve">Increase </w:t>
      </w:r>
      <w:r w:rsidR="009A1F4A">
        <w:rPr>
          <w:b w:val="0"/>
          <w:bCs/>
        </w:rPr>
        <w:t xml:space="preserve">quality control </w:t>
      </w:r>
      <w:r w:rsidR="00D926BC">
        <w:rPr>
          <w:b w:val="0"/>
          <w:bCs/>
        </w:rPr>
        <w:t>(</w:t>
      </w:r>
      <w:r w:rsidRPr="0045232A">
        <w:rPr>
          <w:b w:val="0"/>
          <w:bCs/>
        </w:rPr>
        <w:t>QA/QC</w:t>
      </w:r>
      <w:r w:rsidR="00D926BC">
        <w:rPr>
          <w:b w:val="0"/>
          <w:bCs/>
        </w:rPr>
        <w:t>)</w:t>
      </w:r>
      <w:r w:rsidRPr="0045232A">
        <w:rPr>
          <w:b w:val="0"/>
          <w:bCs/>
        </w:rPr>
        <w:t xml:space="preserve"> processes to ensure baselines for building simulations or savings calculations are consistent with applicable codes and standards for the</w:t>
      </w:r>
      <w:r>
        <w:rPr>
          <w:b w:val="0"/>
          <w:bCs/>
        </w:rPr>
        <w:t xml:space="preserve"> installed</w:t>
      </w:r>
      <w:r w:rsidRPr="0045232A">
        <w:rPr>
          <w:b w:val="0"/>
          <w:bCs/>
        </w:rPr>
        <w:t xml:space="preserve"> equipment</w:t>
      </w:r>
      <w:r>
        <w:rPr>
          <w:b w:val="0"/>
          <w:bCs/>
        </w:rPr>
        <w:t>.</w:t>
      </w:r>
      <w:bookmarkEnd w:id="38"/>
    </w:p>
    <w:p w14:paraId="6429CB2D" w14:textId="463685E5" w:rsidR="003B4F43" w:rsidRDefault="003B4F43" w:rsidP="00C179E2">
      <w:pPr>
        <w:pStyle w:val="BodyText"/>
        <w:spacing w:before="240"/>
      </w:pPr>
      <w:r w:rsidRPr="00C179E2">
        <w:rPr>
          <w:b/>
          <w:bCs/>
        </w:rPr>
        <w:t>Finding 3.</w:t>
      </w:r>
      <w:r>
        <w:t xml:space="preserve"> The evaluation team reduced the savings associated with occupancy sensor control strategies for project </w:t>
      </w:r>
      <w:r w:rsidR="00A1099C">
        <w:t>CINC-</w:t>
      </w:r>
      <w:r>
        <w:t xml:space="preserve">1106. The project included turning lights off after 15-minutes, instead of the 20-minute delay required by code. The </w:t>
      </w:r>
      <w:proofErr w:type="spellStart"/>
      <w:proofErr w:type="gramStart"/>
      <w:r>
        <w:t>ex ante</w:t>
      </w:r>
      <w:proofErr w:type="spellEnd"/>
      <w:proofErr w:type="gramEnd"/>
      <w:r>
        <w:t xml:space="preserve"> analysis assumed that reducing the shutoff period by 5 minutes would result in the lights being turned off twice as much as if the </w:t>
      </w:r>
      <w:r>
        <w:lastRenderedPageBreak/>
        <w:t>code-required 20-minute delay was used. Based on a literature review,</w:t>
      </w:r>
      <w:r w:rsidR="006C2376">
        <w:rPr>
          <w:rStyle w:val="FootnoteReference"/>
        </w:rPr>
        <w:footnoteReference w:id="2"/>
      </w:r>
      <w:r>
        <w:t xml:space="preserve"> the evaluation team calculated a 12% increase in lighting-off time from a 15-minute setpoint, compared to the 20-minute setpoint. </w:t>
      </w:r>
    </w:p>
    <w:p w14:paraId="013F1BA6" w14:textId="5D720D81" w:rsidR="003B4F43" w:rsidRDefault="003B4F43" w:rsidP="00C179E2">
      <w:pPr>
        <w:pStyle w:val="BodyText"/>
        <w:ind w:left="720"/>
        <w:sectPr w:rsidR="003B4F43" w:rsidSect="007B09DF">
          <w:pgSz w:w="12240" w:h="15840" w:code="1"/>
          <w:pgMar w:top="1440" w:right="1440" w:bottom="1080" w:left="1440" w:header="720" w:footer="720" w:gutter="0"/>
          <w:cols w:space="720"/>
          <w:docGrid w:linePitch="360"/>
        </w:sectPr>
      </w:pPr>
      <w:r w:rsidRPr="00C179E2">
        <w:rPr>
          <w:b/>
          <w:bCs/>
        </w:rPr>
        <w:t xml:space="preserve">Recommendation </w:t>
      </w:r>
      <w:r>
        <w:rPr>
          <w:b/>
          <w:bCs/>
        </w:rPr>
        <w:t>3</w:t>
      </w:r>
      <w:r w:rsidRPr="00C179E2">
        <w:rPr>
          <w:b/>
          <w:bCs/>
        </w:rPr>
        <w:t>.</w:t>
      </w:r>
      <w:r>
        <w:t xml:space="preserve"> Ensure savings levels for incremental improvements to controls above code requirements are reasonable and consistent with actual expected changes to equipment operation (i.e., reduced shutoff time). </w:t>
      </w:r>
    </w:p>
    <w:p w14:paraId="6D145750" w14:textId="77777777" w:rsidR="00A1054C" w:rsidRDefault="00A1054C" w:rsidP="00302DE0">
      <w:pPr>
        <w:pStyle w:val="Heading5"/>
      </w:pPr>
      <w:bookmarkStart w:id="39" w:name="_Ref65052649"/>
      <w:bookmarkStart w:id="40" w:name="_Ref65054436"/>
      <w:bookmarkStart w:id="41" w:name="_Ref65054442"/>
      <w:bookmarkStart w:id="42" w:name="_Toc189833650"/>
      <w:r>
        <w:lastRenderedPageBreak/>
        <w:t>Appendix A. Impact Analysis Methodology</w:t>
      </w:r>
      <w:bookmarkEnd w:id="39"/>
      <w:bookmarkEnd w:id="40"/>
      <w:bookmarkEnd w:id="41"/>
      <w:bookmarkEnd w:id="42"/>
    </w:p>
    <w:p w14:paraId="08AE510A" w14:textId="44887632" w:rsidR="00A1054C" w:rsidRDefault="00A1054C" w:rsidP="00A1054C">
      <w:pPr>
        <w:pStyle w:val="BodyTextBold"/>
        <w:spacing w:before="240"/>
      </w:pPr>
      <w:r w:rsidRPr="006244D1">
        <w:t xml:space="preserve">Engineering </w:t>
      </w:r>
      <w:r>
        <w:t>Methodology</w:t>
      </w:r>
    </w:p>
    <w:p w14:paraId="2D5FAA35" w14:textId="4C703BAE" w:rsidR="00A1054C" w:rsidRPr="00A1054C" w:rsidRDefault="00A1054C" w:rsidP="00A1054C">
      <w:pPr>
        <w:pStyle w:val="Instructions"/>
        <w:rPr>
          <w:color w:val="auto"/>
        </w:rPr>
      </w:pPr>
      <w:r w:rsidRPr="00A1054C">
        <w:rPr>
          <w:color w:val="auto"/>
        </w:rPr>
        <w:fldChar w:fldCharType="begin"/>
      </w:r>
      <w:r w:rsidRPr="00A1054C">
        <w:rPr>
          <w:color w:val="auto"/>
        </w:rPr>
        <w:instrText xml:space="preserve"> REF _Ref503449693 \h </w:instrText>
      </w:r>
      <w:r w:rsidRPr="00A1054C">
        <w:rPr>
          <w:color w:val="auto"/>
        </w:rPr>
      </w:r>
      <w:r w:rsidRPr="00A1054C">
        <w:rPr>
          <w:color w:val="auto"/>
        </w:rPr>
        <w:fldChar w:fldCharType="separate"/>
      </w:r>
      <w:r w:rsidRPr="00A1054C">
        <w:rPr>
          <w:color w:val="auto"/>
        </w:rPr>
        <w:t xml:space="preserve">Table </w:t>
      </w:r>
      <w:r w:rsidRPr="00A1054C">
        <w:rPr>
          <w:noProof/>
          <w:color w:val="auto"/>
        </w:rPr>
        <w:t>5</w:t>
      </w:r>
      <w:r w:rsidRPr="00A1054C">
        <w:rPr>
          <w:color w:val="auto"/>
        </w:rPr>
        <w:fldChar w:fldCharType="end"/>
      </w:r>
      <w:r>
        <w:rPr>
          <w:color w:val="auto"/>
        </w:rPr>
        <w:t xml:space="preserve"> </w:t>
      </w:r>
      <w:r w:rsidRPr="00A1054C">
        <w:rPr>
          <w:color w:val="auto"/>
        </w:rPr>
        <w:t xml:space="preserve">includes a description of the building energy models used in the measurement and verification (M&amp;V) engineering analysis. The analysis included the following: </w:t>
      </w:r>
    </w:p>
    <w:p w14:paraId="4A118201" w14:textId="27883F59" w:rsidR="00A1054C" w:rsidRPr="00A1054C" w:rsidRDefault="00A1054C" w:rsidP="00A1054C">
      <w:pPr>
        <w:pStyle w:val="Instructions"/>
        <w:numPr>
          <w:ilvl w:val="0"/>
          <w:numId w:val="58"/>
        </w:numPr>
        <w:rPr>
          <w:color w:val="auto"/>
        </w:rPr>
      </w:pPr>
      <w:r w:rsidRPr="00A1054C">
        <w:rPr>
          <w:color w:val="auto"/>
        </w:rPr>
        <w:t>Adjusting the model inputs in the executable files to match the as-built conditions identified in the evaluation team’s review of the BNC program’s project files and then rerunning the model</w:t>
      </w:r>
    </w:p>
    <w:p w14:paraId="1CB53689" w14:textId="1A21E11A" w:rsidR="00A1054C" w:rsidRPr="00A1054C" w:rsidRDefault="00A1054C" w:rsidP="00A1054C">
      <w:pPr>
        <w:pStyle w:val="Instructions"/>
        <w:numPr>
          <w:ilvl w:val="0"/>
          <w:numId w:val="58"/>
        </w:numPr>
        <w:rPr>
          <w:color w:val="auto"/>
        </w:rPr>
      </w:pPr>
      <w:r w:rsidRPr="00A1054C">
        <w:rPr>
          <w:color w:val="auto"/>
        </w:rPr>
        <w:t>Quantifying impacts by comparing two simulations representing the projected design and baseline scenarios</w:t>
      </w:r>
    </w:p>
    <w:p w14:paraId="6EF9D4E6" w14:textId="77777777" w:rsidR="00A1054C" w:rsidRPr="00A1054C" w:rsidRDefault="00A1054C" w:rsidP="00A1054C">
      <w:pPr>
        <w:pStyle w:val="Instructions"/>
        <w:rPr>
          <w:color w:val="auto"/>
        </w:rPr>
      </w:pPr>
      <w:r w:rsidRPr="00A1054C">
        <w:rPr>
          <w:color w:val="auto"/>
        </w:rPr>
        <w:t xml:space="preserve">The baseline model is the Illinois Energy Conservation Code for Commercial Buildings, which references and incorporates the applicable International Energy Conservation Code (IECC). The Illinois Energy Conservation Code for Commercial Buildings explicitly allows for the use of American Society of Heating, Refrigerating and Air-Conditioning Engineers (ASHRAE) Standard 90.1 as an alternate compliance method. </w:t>
      </w:r>
    </w:p>
    <w:p w14:paraId="01695F10" w14:textId="77777777" w:rsidR="00A1054C" w:rsidRPr="00A1054C" w:rsidRDefault="00A1054C" w:rsidP="00A1054C">
      <w:pPr>
        <w:pStyle w:val="Instructions"/>
        <w:rPr>
          <w:color w:val="auto"/>
        </w:rPr>
      </w:pPr>
      <w:r w:rsidRPr="00A1054C">
        <w:rPr>
          <w:color w:val="auto"/>
        </w:rPr>
        <w:t xml:space="preserve">The program assumes the appropriate baseline based on the program application date. Projects designed through CY2019 used IECC 2015 (based on ASHRAE 90.1-2013) with more recent projects (2020 or sooner) using IECC 2018 (based on ASHRAE 90.1-2016). The evaluation team relied on the same software, methods, and approach to assigning baseline assumptions that the program implementers used to estimate the </w:t>
      </w:r>
      <w:proofErr w:type="spellStart"/>
      <w:proofErr w:type="gramStart"/>
      <w:r w:rsidRPr="00A1054C">
        <w:rPr>
          <w:color w:val="auto"/>
        </w:rPr>
        <w:t>ex ante</w:t>
      </w:r>
      <w:proofErr w:type="spellEnd"/>
      <w:proofErr w:type="gramEnd"/>
      <w:r w:rsidRPr="00A1054C">
        <w:rPr>
          <w:color w:val="auto"/>
        </w:rPr>
        <w:t xml:space="preserve"> models.</w:t>
      </w:r>
    </w:p>
    <w:p w14:paraId="4270A4AE" w14:textId="77777777" w:rsidR="00A1054C" w:rsidRPr="00A1054C" w:rsidRDefault="00A1054C" w:rsidP="00A1054C">
      <w:pPr>
        <w:pStyle w:val="Instructions"/>
        <w:rPr>
          <w:color w:val="auto"/>
        </w:rPr>
      </w:pPr>
      <w:r w:rsidRPr="00A1054C">
        <w:rPr>
          <w:color w:val="auto"/>
        </w:rPr>
        <w:t>The team also calculated interactive effects for each fuel type, where applicable. Interactive effects are the resulting changes to savings that occur when the installation of one measure has a positive or negative effect on the consumption of another fuel type. Interactive effects are calculated in the model. For utilities’ goal tracking, the evaluation team provides the savings without the penalties from interactive effects. The implementation team calculated savings for joint projects including interactive effects. However, the evaluation team calculated savings with and without interactive effects for reporting purposes. Unless noted, the results in this report exclude penalties from cross-fuel interactive effects.</w:t>
      </w:r>
    </w:p>
    <w:p w14:paraId="766A8611" w14:textId="52EF8D14" w:rsidR="00A1054C" w:rsidRPr="00A1054C" w:rsidRDefault="00A1054C" w:rsidP="00A1054C">
      <w:pPr>
        <w:pStyle w:val="Instructions"/>
        <w:rPr>
          <w:color w:val="auto"/>
        </w:rPr>
      </w:pPr>
      <w:r w:rsidRPr="00A1054C">
        <w:rPr>
          <w:color w:val="auto"/>
        </w:rPr>
        <w:t>The evaluation team calculated verified net energy savings by multiplying the verified gross savings estimates by a net</w:t>
      </w:r>
      <w:r w:rsidR="4D47F981" w:rsidRPr="225217AD">
        <w:rPr>
          <w:color w:val="auto"/>
        </w:rPr>
        <w:t xml:space="preserve"> </w:t>
      </w:r>
      <w:r w:rsidRPr="00A1054C">
        <w:rPr>
          <w:color w:val="auto"/>
        </w:rPr>
        <w:t>to</w:t>
      </w:r>
      <w:r w:rsidR="4D47F981" w:rsidRPr="225217AD">
        <w:rPr>
          <w:color w:val="auto"/>
        </w:rPr>
        <w:t xml:space="preserve"> </w:t>
      </w:r>
      <w:r w:rsidRPr="00A1054C">
        <w:rPr>
          <w:color w:val="auto"/>
        </w:rPr>
        <w:t>gross (NTG) ratio. In CY202</w:t>
      </w:r>
      <w:r>
        <w:rPr>
          <w:color w:val="auto"/>
        </w:rPr>
        <w:t>4</w:t>
      </w:r>
      <w:r w:rsidRPr="00A1054C">
        <w:rPr>
          <w:color w:val="auto"/>
        </w:rPr>
        <w:t>, the NTG values used to calculate the net verified savings were based on past evaluation research and approved by the Illinois SAG. The evaluation team applied a NTG ratio of 1.0 to verified gross savings estimates corresponding to eligible projects under the Net</w:t>
      </w:r>
      <w:r w:rsidR="476D8973" w:rsidRPr="225217AD">
        <w:rPr>
          <w:color w:val="auto"/>
        </w:rPr>
        <w:t xml:space="preserve"> to Gross Policy for Disadvantaged Areas</w:t>
      </w:r>
      <w:r w:rsidRPr="00A1054C">
        <w:rPr>
          <w:color w:val="auto"/>
        </w:rPr>
        <w:t xml:space="preserve">. Eligible projects consisted of public and private projects in disadvantaged communities </w:t>
      </w:r>
      <w:r w:rsidRPr="225217AD">
        <w:rPr>
          <w:color w:val="auto"/>
        </w:rPr>
        <w:t>(</w:t>
      </w:r>
      <w:r w:rsidR="1512308B" w:rsidRPr="225217AD">
        <w:rPr>
          <w:color w:val="auto"/>
        </w:rPr>
        <w:t xml:space="preserve">[DACs] </w:t>
      </w:r>
      <w:r w:rsidRPr="00A1054C">
        <w:rPr>
          <w:color w:val="auto"/>
        </w:rPr>
        <w:t xml:space="preserve">ZIP codes) with square footage values under the area threshold for eligibility based on building type. The last of these criteria acts as a proxy in the absence of reliable electric rate and annual gas consumption data. </w:t>
      </w:r>
    </w:p>
    <w:p w14:paraId="74E5A083" w14:textId="6FA64431" w:rsidR="00A1054C" w:rsidRPr="00A1054C" w:rsidRDefault="00A1054C" w:rsidP="00A1054C">
      <w:pPr>
        <w:pStyle w:val="Instructions"/>
        <w:rPr>
          <w:color w:val="auto"/>
        </w:rPr>
      </w:pPr>
      <w:r w:rsidRPr="00A1054C">
        <w:rPr>
          <w:color w:val="auto"/>
        </w:rPr>
        <w:t xml:space="preserve">The evaluation team selected a stratified random sample for the BNC program to support the engineering desk reviews. The team designed the sample to provide 90/10 confidence and precision for evaluated therms savings estimates. </w:t>
      </w:r>
    </w:p>
    <w:p w14:paraId="1795882E" w14:textId="4F1CFFFA" w:rsidR="00A1054C" w:rsidRDefault="00A1054C" w:rsidP="00C179E2">
      <w:pPr>
        <w:pStyle w:val="BodyTextBold"/>
        <w:keepNext/>
        <w:spacing w:before="240"/>
      </w:pPr>
      <w:r>
        <w:lastRenderedPageBreak/>
        <w:t>Sampling Approach</w:t>
      </w:r>
    </w:p>
    <w:p w14:paraId="3956195C" w14:textId="6CF012BF" w:rsidR="00A1054C" w:rsidRPr="00A1054C" w:rsidRDefault="00A1054C" w:rsidP="00A1054C">
      <w:pPr>
        <w:pStyle w:val="BodyTextBold"/>
        <w:spacing w:before="240"/>
        <w:rPr>
          <w:b w:val="0"/>
        </w:rPr>
      </w:pPr>
      <w:r>
        <w:rPr>
          <w:b w:val="0"/>
        </w:rPr>
        <w:t xml:space="preserve">Consistent with previous evaluations, the evaluation team developed </w:t>
      </w:r>
      <w:proofErr w:type="gramStart"/>
      <w:r>
        <w:rPr>
          <w:b w:val="0"/>
          <w:noProof w:val="0"/>
        </w:rPr>
        <w:t>a</w:t>
      </w:r>
      <w:r w:rsidR="0362B599">
        <w:rPr>
          <w:b w:val="0"/>
          <w:noProof w:val="0"/>
        </w:rPr>
        <w:t>n</w:t>
      </w:r>
      <w:proofErr w:type="gramEnd"/>
      <w:r>
        <w:rPr>
          <w:b w:val="0"/>
        </w:rPr>
        <w:t xml:space="preserve"> MMBtu stratified random sample of projects to support the engineering desk reviews. This approach focused on electric and gas savings. The team designed the sample to provide 90/10 precision for evaluated kW, kWh, and therms savings, considering savings with and without interactive effects. This approach also targeted 90/10 precision at the MMBtu level.</w:t>
      </w:r>
    </w:p>
    <w:p w14:paraId="3956B8A8" w14:textId="709C2F3C" w:rsidR="00A1054C" w:rsidRPr="00A1054C" w:rsidRDefault="00A1054C" w:rsidP="00A1054C">
      <w:pPr>
        <w:pStyle w:val="BodyTextBold"/>
        <w:spacing w:before="240"/>
        <w:rPr>
          <w:b w:val="0"/>
          <w:noProof w:val="0"/>
          <w:szCs w:val="20"/>
        </w:rPr>
      </w:pPr>
      <w:r w:rsidRPr="00A1054C">
        <w:rPr>
          <w:b w:val="0"/>
          <w:noProof w:val="0"/>
          <w:szCs w:val="20"/>
        </w:rPr>
        <w:t>The team sampled CY202</w:t>
      </w:r>
      <w:r>
        <w:rPr>
          <w:b w:val="0"/>
          <w:noProof w:val="0"/>
          <w:szCs w:val="20"/>
        </w:rPr>
        <w:t>4</w:t>
      </w:r>
      <w:r w:rsidRPr="00A1054C">
        <w:rPr>
          <w:b w:val="0"/>
          <w:noProof w:val="0"/>
          <w:szCs w:val="20"/>
        </w:rPr>
        <w:t xml:space="preserve"> projects in two waves. The Wave 1 sample frame contained all </w:t>
      </w:r>
      <w:r>
        <w:rPr>
          <w:b w:val="0"/>
          <w:noProof w:val="0"/>
          <w:szCs w:val="20"/>
        </w:rPr>
        <w:t>14</w:t>
      </w:r>
      <w:r w:rsidRPr="00A1054C">
        <w:rPr>
          <w:b w:val="0"/>
          <w:noProof w:val="0"/>
          <w:szCs w:val="20"/>
        </w:rPr>
        <w:t xml:space="preserve"> projects with electricity or gas savings completed as of June 30, 202</w:t>
      </w:r>
      <w:r>
        <w:rPr>
          <w:b w:val="0"/>
          <w:noProof w:val="0"/>
          <w:szCs w:val="20"/>
        </w:rPr>
        <w:t>4</w:t>
      </w:r>
      <w:r w:rsidRPr="00A1054C">
        <w:rPr>
          <w:b w:val="0"/>
          <w:noProof w:val="0"/>
          <w:szCs w:val="20"/>
        </w:rPr>
        <w:t xml:space="preserve">. The Wave 2 sample frame contained the remaining </w:t>
      </w:r>
      <w:r>
        <w:rPr>
          <w:b w:val="0"/>
          <w:noProof w:val="0"/>
          <w:szCs w:val="20"/>
        </w:rPr>
        <w:t xml:space="preserve">28 </w:t>
      </w:r>
      <w:r w:rsidRPr="00A1054C">
        <w:rPr>
          <w:b w:val="0"/>
          <w:noProof w:val="0"/>
          <w:szCs w:val="20"/>
        </w:rPr>
        <w:t>projects completed between July 1, 202</w:t>
      </w:r>
      <w:r>
        <w:rPr>
          <w:b w:val="0"/>
          <w:noProof w:val="0"/>
          <w:szCs w:val="20"/>
        </w:rPr>
        <w:t>4</w:t>
      </w:r>
      <w:r w:rsidRPr="00A1054C">
        <w:rPr>
          <w:b w:val="0"/>
          <w:noProof w:val="0"/>
          <w:szCs w:val="20"/>
        </w:rPr>
        <w:t>, and December 31, 202</w:t>
      </w:r>
      <w:r>
        <w:rPr>
          <w:b w:val="0"/>
          <w:noProof w:val="0"/>
          <w:szCs w:val="20"/>
        </w:rPr>
        <w:t>4</w:t>
      </w:r>
      <w:r w:rsidRPr="00A1054C">
        <w:rPr>
          <w:b w:val="0"/>
          <w:noProof w:val="0"/>
          <w:szCs w:val="20"/>
        </w:rPr>
        <w:t>. For each wave, the evaluation team divided the sample frame into strata based on the overall MMBtu savings of each project and randomly selected projects within those strata. After completing the desk reviews and calculating project-specific realization rates (RRs), the team developed case weights to extrapolate the results to similar projects, ensuring the engineering results represent the population of 202</w:t>
      </w:r>
      <w:r>
        <w:rPr>
          <w:b w:val="0"/>
          <w:noProof w:val="0"/>
          <w:szCs w:val="20"/>
        </w:rPr>
        <w:t>4</w:t>
      </w:r>
      <w:r w:rsidRPr="00A1054C">
        <w:rPr>
          <w:b w:val="0"/>
          <w:noProof w:val="0"/>
          <w:szCs w:val="20"/>
        </w:rPr>
        <w:t xml:space="preserve"> participants. </w:t>
      </w:r>
      <w:r w:rsidR="00880FA9" w:rsidRPr="00B174C0">
        <w:rPr>
          <w:b w:val="0"/>
          <w:noProof w:val="0"/>
          <w:szCs w:val="20"/>
        </w:rPr>
        <w:fldChar w:fldCharType="begin"/>
      </w:r>
      <w:r w:rsidR="00880FA9" w:rsidRPr="00B174C0">
        <w:rPr>
          <w:b w:val="0"/>
          <w:noProof w:val="0"/>
          <w:szCs w:val="20"/>
        </w:rPr>
        <w:instrText xml:space="preserve"> REF _Ref66786934 \h </w:instrText>
      </w:r>
      <w:r w:rsidR="00880FA9" w:rsidRPr="00387AD0">
        <w:rPr>
          <w:b w:val="0"/>
          <w:szCs w:val="20"/>
        </w:rPr>
        <w:instrText xml:space="preserve"> \* MERGEFORMAT </w:instrText>
      </w:r>
      <w:r w:rsidR="00880FA9" w:rsidRPr="00B174C0">
        <w:rPr>
          <w:b w:val="0"/>
          <w:noProof w:val="0"/>
          <w:szCs w:val="20"/>
        </w:rPr>
      </w:r>
      <w:r w:rsidR="00880FA9" w:rsidRPr="00B174C0">
        <w:rPr>
          <w:b w:val="0"/>
          <w:noProof w:val="0"/>
          <w:szCs w:val="20"/>
        </w:rPr>
        <w:fldChar w:fldCharType="separate"/>
      </w:r>
      <w:r w:rsidR="00880FA9" w:rsidRPr="00387AD0">
        <w:rPr>
          <w:b w:val="0"/>
        </w:rPr>
        <w:t>Table A</w:t>
      </w:r>
      <w:r w:rsidR="00880FA9" w:rsidRPr="00387AD0">
        <w:rPr>
          <w:b w:val="0"/>
        </w:rPr>
        <w:noBreakHyphen/>
        <w:t>1</w:t>
      </w:r>
      <w:r w:rsidR="00880FA9" w:rsidRPr="00B174C0">
        <w:rPr>
          <w:b w:val="0"/>
          <w:noProof w:val="0"/>
          <w:szCs w:val="20"/>
        </w:rPr>
        <w:fldChar w:fldCharType="end"/>
      </w:r>
      <w:r w:rsidRPr="00A1054C">
        <w:rPr>
          <w:b w:val="0"/>
          <w:noProof w:val="0"/>
          <w:szCs w:val="20"/>
        </w:rPr>
        <w:t xml:space="preserve"> shows the MMBtu profile of the sample selection. </w:t>
      </w:r>
      <w:r w:rsidR="00880FA9" w:rsidRPr="00B174C0">
        <w:rPr>
          <w:b w:val="0"/>
          <w:noProof w:val="0"/>
          <w:szCs w:val="20"/>
        </w:rPr>
        <w:fldChar w:fldCharType="begin"/>
      </w:r>
      <w:r w:rsidR="00880FA9" w:rsidRPr="00B174C0">
        <w:rPr>
          <w:b w:val="0"/>
          <w:noProof w:val="0"/>
          <w:szCs w:val="20"/>
        </w:rPr>
        <w:instrText xml:space="preserve"> REF _Ref192504317 \h  \* MERGEFORMAT </w:instrText>
      </w:r>
      <w:r w:rsidR="00880FA9" w:rsidRPr="00B174C0">
        <w:rPr>
          <w:b w:val="0"/>
          <w:noProof w:val="0"/>
          <w:szCs w:val="20"/>
        </w:rPr>
      </w:r>
      <w:r w:rsidR="00880FA9" w:rsidRPr="00B174C0">
        <w:rPr>
          <w:b w:val="0"/>
          <w:noProof w:val="0"/>
          <w:szCs w:val="20"/>
        </w:rPr>
        <w:fldChar w:fldCharType="separate"/>
      </w:r>
      <w:r w:rsidR="00880FA9" w:rsidRPr="00387AD0">
        <w:rPr>
          <w:b w:val="0"/>
        </w:rPr>
        <w:t>Table A</w:t>
      </w:r>
      <w:r w:rsidR="00880FA9" w:rsidRPr="00387AD0">
        <w:rPr>
          <w:b w:val="0"/>
        </w:rPr>
        <w:noBreakHyphen/>
        <w:t>2</w:t>
      </w:r>
      <w:r w:rsidR="00880FA9" w:rsidRPr="00B174C0">
        <w:rPr>
          <w:b w:val="0"/>
          <w:noProof w:val="0"/>
          <w:szCs w:val="20"/>
        </w:rPr>
        <w:fldChar w:fldCharType="end"/>
      </w:r>
      <w:r w:rsidRPr="00A1054C">
        <w:rPr>
          <w:b w:val="0"/>
          <w:noProof w:val="0"/>
          <w:szCs w:val="20"/>
        </w:rPr>
        <w:t xml:space="preserve"> shows the profile of the sample for therms savings and roll up gross realization rate and precision estimate.</w:t>
      </w:r>
    </w:p>
    <w:p w14:paraId="38B90670" w14:textId="4B042D3A" w:rsidR="00A1054C" w:rsidRDefault="00A1054C">
      <w:pPr>
        <w:pStyle w:val="Caption"/>
      </w:pPr>
      <w:bookmarkStart w:id="43" w:name="_Ref66786934"/>
      <w:bookmarkStart w:id="44" w:name="_Toc497139745"/>
      <w:bookmarkStart w:id="45" w:name="_Toc61360850"/>
      <w:bookmarkStart w:id="46" w:name="_Toc192512594"/>
      <w:r>
        <w:t xml:space="preserve">Table </w:t>
      </w:r>
      <w:r>
        <w:fldChar w:fldCharType="begin"/>
      </w:r>
      <w:r>
        <w:instrText>STYLEREF 5 \s</w:instrText>
      </w:r>
      <w:r>
        <w:fldChar w:fldCharType="separate"/>
      </w:r>
      <w:r>
        <w:rPr>
          <w:noProof/>
        </w:rPr>
        <w:t>A</w:t>
      </w:r>
      <w:r>
        <w:fldChar w:fldCharType="end"/>
      </w:r>
      <w:r w:rsidR="5EA2D756">
        <w:t>-</w:t>
      </w:r>
      <w:r>
        <w:fldChar w:fldCharType="begin"/>
      </w:r>
      <w:r>
        <w:instrText>SEQ Table_Apx \* ARABIC \s 5</w:instrText>
      </w:r>
      <w:r>
        <w:fldChar w:fldCharType="separate"/>
      </w:r>
      <w:r>
        <w:rPr>
          <w:noProof/>
        </w:rPr>
        <w:t>1</w:t>
      </w:r>
      <w:r>
        <w:fldChar w:fldCharType="end"/>
      </w:r>
      <w:bookmarkEnd w:id="43"/>
      <w:r>
        <w:t>.</w:t>
      </w:r>
      <w:r w:rsidDel="00146395">
        <w:t xml:space="preserve"> </w:t>
      </w:r>
      <w:bookmarkStart w:id="47" w:name="Table_A_1"/>
      <w:bookmarkEnd w:id="44"/>
      <w:bookmarkEnd w:id="45"/>
      <w:bookmarkEnd w:id="47"/>
      <w:r w:rsidRPr="00A1054C">
        <w:t>202</w:t>
      </w:r>
      <w:r>
        <w:t>4</w:t>
      </w:r>
      <w:r w:rsidRPr="00A1054C">
        <w:t xml:space="preserve"> BNC Program Profile of Gross Impact Sample for Projects (MMBtu)</w:t>
      </w:r>
      <w:bookmarkEnd w:id="46"/>
      <w:r w:rsidRPr="00A1054C">
        <w:t xml:space="preserve"> </w:t>
      </w:r>
    </w:p>
    <w:tbl>
      <w:tblPr>
        <w:tblW w:w="5000" w:type="pct"/>
        <w:jc w:val="center"/>
        <w:tblLook w:val="04A0" w:firstRow="1" w:lastRow="0" w:firstColumn="1" w:lastColumn="0" w:noHBand="0" w:noVBand="1"/>
      </w:tblPr>
      <w:tblGrid>
        <w:gridCol w:w="1821"/>
        <w:gridCol w:w="1028"/>
        <w:gridCol w:w="1393"/>
        <w:gridCol w:w="1327"/>
        <w:gridCol w:w="728"/>
        <w:gridCol w:w="1477"/>
        <w:gridCol w:w="1586"/>
      </w:tblGrid>
      <w:tr w:rsidR="00A1054C" w:rsidRPr="00A1054C" w14:paraId="5D60CCE4" w14:textId="77777777" w:rsidTr="00A1054C">
        <w:trPr>
          <w:trHeight w:val="555"/>
          <w:jc w:val="center"/>
        </w:trPr>
        <w:tc>
          <w:tcPr>
            <w:tcW w:w="973" w:type="pct"/>
            <w:tcBorders>
              <w:top w:val="nil"/>
              <w:left w:val="nil"/>
              <w:bottom w:val="single" w:sz="12" w:space="0" w:color="95D600"/>
              <w:right w:val="nil"/>
            </w:tcBorders>
            <w:shd w:val="clear" w:color="000000" w:fill="036479"/>
            <w:vAlign w:val="center"/>
            <w:hideMark/>
          </w:tcPr>
          <w:p w14:paraId="152DDCC7" w14:textId="77777777" w:rsidR="00A1054C" w:rsidRPr="00A1054C" w:rsidRDefault="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 </w:t>
            </w:r>
          </w:p>
        </w:tc>
        <w:tc>
          <w:tcPr>
            <w:tcW w:w="2002" w:type="pct"/>
            <w:gridSpan w:val="3"/>
            <w:tcBorders>
              <w:top w:val="nil"/>
              <w:left w:val="nil"/>
              <w:bottom w:val="single" w:sz="12" w:space="0" w:color="95D600"/>
              <w:right w:val="single" w:sz="12" w:space="0" w:color="95D600"/>
            </w:tcBorders>
            <w:shd w:val="clear" w:color="000000" w:fill="036479"/>
            <w:vAlign w:val="center"/>
            <w:hideMark/>
          </w:tcPr>
          <w:p w14:paraId="1B7B7239" w14:textId="13BAD183" w:rsidR="00A1054C" w:rsidRPr="00A1054C" w:rsidRDefault="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Population Summary*</w:t>
            </w:r>
            <w:r w:rsidR="00DA384D" w:rsidRPr="00DA384D">
              <w:rPr>
                <w:rFonts w:ascii="Arial Narrow" w:hAnsi="Arial Narrow" w:cs="Calibri"/>
                <w:b/>
                <w:bCs/>
                <w:color w:val="FFFFFF"/>
                <w:sz w:val="20"/>
                <w:szCs w:val="20"/>
              </w:rPr>
              <w:t>†</w:t>
            </w:r>
          </w:p>
        </w:tc>
        <w:tc>
          <w:tcPr>
            <w:tcW w:w="2025" w:type="pct"/>
            <w:gridSpan w:val="3"/>
            <w:tcBorders>
              <w:top w:val="nil"/>
              <w:left w:val="nil"/>
              <w:bottom w:val="single" w:sz="12" w:space="0" w:color="95D600"/>
              <w:right w:val="nil"/>
            </w:tcBorders>
            <w:shd w:val="clear" w:color="000000" w:fill="036479"/>
            <w:vAlign w:val="center"/>
            <w:hideMark/>
          </w:tcPr>
          <w:p w14:paraId="69D9A376" w14:textId="77777777" w:rsidR="00A1054C" w:rsidRPr="00A1054C" w:rsidRDefault="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Sample Summary*</w:t>
            </w:r>
          </w:p>
        </w:tc>
      </w:tr>
      <w:tr w:rsidR="00A1054C" w:rsidRPr="00A1054C" w14:paraId="39A8F7D4" w14:textId="77777777" w:rsidTr="00A1054C">
        <w:trPr>
          <w:trHeight w:val="525"/>
          <w:jc w:val="center"/>
        </w:trPr>
        <w:tc>
          <w:tcPr>
            <w:tcW w:w="973" w:type="pct"/>
            <w:vMerge w:val="restart"/>
            <w:tcBorders>
              <w:top w:val="nil"/>
              <w:left w:val="nil"/>
              <w:bottom w:val="single" w:sz="12" w:space="0" w:color="95D600"/>
              <w:right w:val="nil"/>
            </w:tcBorders>
            <w:shd w:val="clear" w:color="000000" w:fill="036479"/>
            <w:vAlign w:val="center"/>
            <w:hideMark/>
          </w:tcPr>
          <w:p w14:paraId="65A13DAA" w14:textId="77777777" w:rsidR="00A1054C" w:rsidRPr="00A1054C" w:rsidRDefault="00A1054C">
            <w:pPr>
              <w:suppressAutoHyphens w:val="0"/>
              <w:autoSpaceDN/>
              <w:spacing w:before="0" w:after="0"/>
              <w:rPr>
                <w:rFonts w:ascii="Arial Narrow" w:hAnsi="Arial Narrow" w:cs="Calibri"/>
                <w:b/>
                <w:bCs/>
                <w:color w:val="FFFFFF"/>
                <w:sz w:val="20"/>
                <w:szCs w:val="20"/>
              </w:rPr>
            </w:pPr>
            <w:r w:rsidRPr="00A1054C">
              <w:rPr>
                <w:rFonts w:ascii="Arial Narrow" w:hAnsi="Arial Narrow" w:cs="Calibri"/>
                <w:b/>
                <w:bCs/>
                <w:color w:val="FFFFFF"/>
                <w:sz w:val="20"/>
                <w:szCs w:val="20"/>
              </w:rPr>
              <w:t>Program</w:t>
            </w:r>
          </w:p>
        </w:tc>
        <w:tc>
          <w:tcPr>
            <w:tcW w:w="549" w:type="pct"/>
            <w:vMerge w:val="restart"/>
            <w:tcBorders>
              <w:top w:val="nil"/>
              <w:left w:val="nil"/>
              <w:bottom w:val="single" w:sz="12" w:space="0" w:color="95D600"/>
              <w:right w:val="nil"/>
            </w:tcBorders>
            <w:shd w:val="clear" w:color="000000" w:fill="036479"/>
            <w:vAlign w:val="center"/>
            <w:hideMark/>
          </w:tcPr>
          <w:p w14:paraId="75C77FBE"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Sampling Strata</w:t>
            </w:r>
          </w:p>
        </w:tc>
        <w:tc>
          <w:tcPr>
            <w:tcW w:w="744" w:type="pct"/>
            <w:vMerge w:val="restart"/>
            <w:tcBorders>
              <w:top w:val="nil"/>
              <w:left w:val="nil"/>
              <w:bottom w:val="single" w:sz="12" w:space="0" w:color="95D600"/>
              <w:right w:val="nil"/>
            </w:tcBorders>
            <w:shd w:val="clear" w:color="000000" w:fill="036479"/>
            <w:vAlign w:val="center"/>
            <w:hideMark/>
          </w:tcPr>
          <w:p w14:paraId="017C85D4"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Number of Projects (N)</w:t>
            </w:r>
          </w:p>
        </w:tc>
        <w:tc>
          <w:tcPr>
            <w:tcW w:w="709" w:type="pct"/>
            <w:tcBorders>
              <w:top w:val="nil"/>
              <w:left w:val="nil"/>
              <w:bottom w:val="single" w:sz="4" w:space="0" w:color="FFFFFF"/>
              <w:right w:val="nil"/>
            </w:tcBorders>
            <w:shd w:val="clear" w:color="000000" w:fill="036479"/>
            <w:vAlign w:val="center"/>
            <w:hideMark/>
          </w:tcPr>
          <w:p w14:paraId="2126B56A"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Ex Ante Gross Savings</w:t>
            </w:r>
          </w:p>
        </w:tc>
        <w:tc>
          <w:tcPr>
            <w:tcW w:w="389" w:type="pct"/>
            <w:vMerge w:val="restart"/>
            <w:tcBorders>
              <w:top w:val="nil"/>
              <w:left w:val="nil"/>
              <w:bottom w:val="single" w:sz="12" w:space="0" w:color="95D600"/>
              <w:right w:val="nil"/>
            </w:tcBorders>
            <w:shd w:val="clear" w:color="000000" w:fill="036479"/>
            <w:vAlign w:val="center"/>
            <w:hideMark/>
          </w:tcPr>
          <w:p w14:paraId="650A5B1B" w14:textId="77777777" w:rsidR="00A1054C" w:rsidRPr="00A1054C" w:rsidRDefault="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n</w:t>
            </w:r>
          </w:p>
        </w:tc>
        <w:tc>
          <w:tcPr>
            <w:tcW w:w="789" w:type="pct"/>
            <w:tcBorders>
              <w:top w:val="nil"/>
              <w:left w:val="nil"/>
              <w:bottom w:val="single" w:sz="4" w:space="0" w:color="FFFFFF"/>
              <w:right w:val="nil"/>
            </w:tcBorders>
            <w:shd w:val="clear" w:color="000000" w:fill="036479"/>
            <w:vAlign w:val="center"/>
            <w:hideMark/>
          </w:tcPr>
          <w:p w14:paraId="5955F79B"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Ex Ante Gross Savings</w:t>
            </w:r>
          </w:p>
        </w:tc>
        <w:tc>
          <w:tcPr>
            <w:tcW w:w="847" w:type="pct"/>
            <w:tcBorders>
              <w:top w:val="nil"/>
              <w:left w:val="nil"/>
              <w:bottom w:val="single" w:sz="4" w:space="0" w:color="FFFFFF"/>
              <w:right w:val="nil"/>
            </w:tcBorders>
            <w:shd w:val="clear" w:color="000000" w:fill="036479"/>
            <w:vAlign w:val="center"/>
            <w:hideMark/>
          </w:tcPr>
          <w:p w14:paraId="5208E0E8"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Sampled % of Population</w:t>
            </w:r>
          </w:p>
        </w:tc>
      </w:tr>
      <w:tr w:rsidR="00A1054C" w:rsidRPr="00A1054C" w14:paraId="630856E7" w14:textId="77777777" w:rsidTr="00A1054C">
        <w:trPr>
          <w:trHeight w:val="315"/>
          <w:jc w:val="center"/>
        </w:trPr>
        <w:tc>
          <w:tcPr>
            <w:tcW w:w="973" w:type="pct"/>
            <w:vMerge/>
            <w:tcBorders>
              <w:top w:val="nil"/>
              <w:left w:val="nil"/>
              <w:bottom w:val="single" w:sz="12" w:space="0" w:color="95D600"/>
              <w:right w:val="nil"/>
            </w:tcBorders>
            <w:vAlign w:val="center"/>
            <w:hideMark/>
          </w:tcPr>
          <w:p w14:paraId="223847CD" w14:textId="77777777" w:rsidR="00A1054C" w:rsidRPr="00A1054C" w:rsidRDefault="00A1054C">
            <w:pPr>
              <w:suppressAutoHyphens w:val="0"/>
              <w:autoSpaceDN/>
              <w:spacing w:before="0" w:after="0"/>
              <w:rPr>
                <w:rFonts w:ascii="Arial Narrow" w:hAnsi="Arial Narrow" w:cs="Calibri"/>
                <w:b/>
                <w:bCs/>
                <w:color w:val="FFFFFF"/>
                <w:sz w:val="20"/>
                <w:szCs w:val="20"/>
              </w:rPr>
            </w:pPr>
          </w:p>
        </w:tc>
        <w:tc>
          <w:tcPr>
            <w:tcW w:w="549" w:type="pct"/>
            <w:vMerge/>
            <w:tcBorders>
              <w:top w:val="nil"/>
              <w:left w:val="nil"/>
              <w:bottom w:val="single" w:sz="12" w:space="0" w:color="95D600"/>
              <w:right w:val="nil"/>
            </w:tcBorders>
            <w:vAlign w:val="center"/>
            <w:hideMark/>
          </w:tcPr>
          <w:p w14:paraId="64273765" w14:textId="77777777" w:rsidR="00A1054C" w:rsidRPr="00A1054C" w:rsidRDefault="00A1054C">
            <w:pPr>
              <w:suppressAutoHyphens w:val="0"/>
              <w:autoSpaceDN/>
              <w:spacing w:before="0" w:after="0"/>
              <w:rPr>
                <w:rFonts w:ascii="Arial Narrow" w:hAnsi="Arial Narrow" w:cs="Calibri"/>
                <w:b/>
                <w:bCs/>
                <w:color w:val="FFFFFF"/>
                <w:sz w:val="20"/>
                <w:szCs w:val="20"/>
              </w:rPr>
            </w:pPr>
          </w:p>
        </w:tc>
        <w:tc>
          <w:tcPr>
            <w:tcW w:w="744" w:type="pct"/>
            <w:vMerge/>
            <w:tcBorders>
              <w:top w:val="nil"/>
              <w:left w:val="nil"/>
              <w:bottom w:val="single" w:sz="12" w:space="0" w:color="95D600"/>
              <w:right w:val="nil"/>
            </w:tcBorders>
            <w:vAlign w:val="center"/>
            <w:hideMark/>
          </w:tcPr>
          <w:p w14:paraId="4F85192C" w14:textId="77777777" w:rsidR="00A1054C" w:rsidRPr="00A1054C" w:rsidRDefault="00A1054C">
            <w:pPr>
              <w:suppressAutoHyphens w:val="0"/>
              <w:autoSpaceDN/>
              <w:spacing w:before="0" w:after="0"/>
              <w:rPr>
                <w:rFonts w:ascii="Arial Narrow" w:hAnsi="Arial Narrow" w:cs="Calibri"/>
                <w:b/>
                <w:bCs/>
                <w:color w:val="FFFFFF"/>
                <w:sz w:val="20"/>
                <w:szCs w:val="20"/>
              </w:rPr>
            </w:pPr>
          </w:p>
        </w:tc>
        <w:tc>
          <w:tcPr>
            <w:tcW w:w="709" w:type="pct"/>
            <w:tcBorders>
              <w:top w:val="nil"/>
              <w:left w:val="nil"/>
              <w:bottom w:val="single" w:sz="12" w:space="0" w:color="95D600"/>
              <w:right w:val="nil"/>
            </w:tcBorders>
            <w:shd w:val="clear" w:color="000000" w:fill="036479"/>
            <w:vAlign w:val="center"/>
            <w:hideMark/>
          </w:tcPr>
          <w:p w14:paraId="40239403"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(MMBtu)</w:t>
            </w:r>
          </w:p>
        </w:tc>
        <w:tc>
          <w:tcPr>
            <w:tcW w:w="389" w:type="pct"/>
            <w:vMerge/>
            <w:tcBorders>
              <w:top w:val="nil"/>
              <w:left w:val="nil"/>
              <w:bottom w:val="single" w:sz="12" w:space="0" w:color="95D600"/>
              <w:right w:val="nil"/>
            </w:tcBorders>
            <w:vAlign w:val="center"/>
            <w:hideMark/>
          </w:tcPr>
          <w:p w14:paraId="2FF20790" w14:textId="77777777" w:rsidR="00A1054C" w:rsidRPr="00A1054C" w:rsidRDefault="00A1054C">
            <w:pPr>
              <w:suppressAutoHyphens w:val="0"/>
              <w:autoSpaceDN/>
              <w:spacing w:before="0" w:after="0"/>
              <w:rPr>
                <w:rFonts w:ascii="Arial Narrow" w:hAnsi="Arial Narrow" w:cs="Calibri"/>
                <w:b/>
                <w:bCs/>
                <w:color w:val="FFFFFF"/>
                <w:sz w:val="20"/>
                <w:szCs w:val="20"/>
              </w:rPr>
            </w:pPr>
          </w:p>
        </w:tc>
        <w:tc>
          <w:tcPr>
            <w:tcW w:w="789" w:type="pct"/>
            <w:tcBorders>
              <w:top w:val="nil"/>
              <w:left w:val="nil"/>
              <w:bottom w:val="single" w:sz="12" w:space="0" w:color="95D600"/>
              <w:right w:val="nil"/>
            </w:tcBorders>
            <w:shd w:val="clear" w:color="000000" w:fill="036479"/>
            <w:vAlign w:val="center"/>
            <w:hideMark/>
          </w:tcPr>
          <w:p w14:paraId="7318FC4C"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(MMBtu)</w:t>
            </w:r>
          </w:p>
        </w:tc>
        <w:tc>
          <w:tcPr>
            <w:tcW w:w="847" w:type="pct"/>
            <w:tcBorders>
              <w:top w:val="nil"/>
              <w:left w:val="nil"/>
              <w:bottom w:val="single" w:sz="12" w:space="0" w:color="95D600"/>
              <w:right w:val="nil"/>
            </w:tcBorders>
            <w:shd w:val="clear" w:color="000000" w:fill="036479"/>
            <w:vAlign w:val="center"/>
            <w:hideMark/>
          </w:tcPr>
          <w:p w14:paraId="2093D969" w14:textId="77777777" w:rsidR="00A1054C" w:rsidRPr="00A1054C" w:rsidRDefault="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 MMBtu)</w:t>
            </w:r>
          </w:p>
        </w:tc>
      </w:tr>
      <w:tr w:rsidR="00A1054C" w:rsidRPr="00A1054C" w14:paraId="04F61B18" w14:textId="77777777" w:rsidTr="00A1054C">
        <w:trPr>
          <w:trHeight w:val="330"/>
          <w:jc w:val="center"/>
        </w:trPr>
        <w:tc>
          <w:tcPr>
            <w:tcW w:w="973" w:type="pct"/>
            <w:vMerge w:val="restart"/>
            <w:tcBorders>
              <w:top w:val="nil"/>
              <w:left w:val="nil"/>
              <w:bottom w:val="nil"/>
              <w:right w:val="nil"/>
            </w:tcBorders>
            <w:shd w:val="clear" w:color="000000" w:fill="FFFFFF"/>
            <w:vAlign w:val="center"/>
            <w:hideMark/>
          </w:tcPr>
          <w:p w14:paraId="51FAB9E1" w14:textId="77777777" w:rsidR="00A1054C" w:rsidRPr="00A1054C" w:rsidRDefault="00A1054C" w:rsidP="00A1054C">
            <w:pPr>
              <w:suppressAutoHyphens w:val="0"/>
              <w:autoSpaceDN/>
              <w:spacing w:before="0" w:after="0"/>
              <w:rPr>
                <w:rFonts w:cs="Arial"/>
                <w:color w:val="000000"/>
                <w:sz w:val="20"/>
                <w:szCs w:val="20"/>
              </w:rPr>
            </w:pPr>
            <w:r w:rsidRPr="00A1054C">
              <w:rPr>
                <w:rFonts w:ascii="Arial Narrow" w:hAnsi="Arial Narrow" w:cs="Arial"/>
                <w:color w:val="000000"/>
                <w:sz w:val="20"/>
                <w:szCs w:val="20"/>
              </w:rPr>
              <w:t>Coordinated Non-Residential New Construction</w:t>
            </w:r>
          </w:p>
        </w:tc>
        <w:tc>
          <w:tcPr>
            <w:tcW w:w="549" w:type="pct"/>
            <w:tcBorders>
              <w:top w:val="nil"/>
              <w:left w:val="nil"/>
              <w:bottom w:val="single" w:sz="8" w:space="0" w:color="DCDDDE"/>
              <w:right w:val="nil"/>
            </w:tcBorders>
            <w:shd w:val="clear" w:color="auto" w:fill="auto"/>
            <w:noWrap/>
            <w:vAlign w:val="center"/>
            <w:hideMark/>
          </w:tcPr>
          <w:p w14:paraId="1AB9BE0A" w14:textId="77777777" w:rsidR="00A1054C" w:rsidRPr="00A1054C" w:rsidRDefault="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744" w:type="pct"/>
            <w:tcBorders>
              <w:top w:val="nil"/>
              <w:left w:val="nil"/>
              <w:bottom w:val="single" w:sz="8" w:space="0" w:color="DCDDDE"/>
              <w:right w:val="nil"/>
            </w:tcBorders>
            <w:shd w:val="clear" w:color="auto" w:fill="auto"/>
            <w:noWrap/>
            <w:vAlign w:val="center"/>
            <w:hideMark/>
          </w:tcPr>
          <w:p w14:paraId="62BC3C2E"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21</w:t>
            </w:r>
          </w:p>
        </w:tc>
        <w:tc>
          <w:tcPr>
            <w:tcW w:w="709" w:type="pct"/>
            <w:tcBorders>
              <w:top w:val="nil"/>
              <w:left w:val="nil"/>
              <w:bottom w:val="single" w:sz="8" w:space="0" w:color="DCDDDE"/>
              <w:right w:val="nil"/>
            </w:tcBorders>
            <w:shd w:val="clear" w:color="auto" w:fill="auto"/>
            <w:noWrap/>
            <w:vAlign w:val="center"/>
            <w:hideMark/>
          </w:tcPr>
          <w:p w14:paraId="6A5D938A"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9,422</w:t>
            </w:r>
          </w:p>
        </w:tc>
        <w:tc>
          <w:tcPr>
            <w:tcW w:w="389" w:type="pct"/>
            <w:tcBorders>
              <w:top w:val="nil"/>
              <w:left w:val="nil"/>
              <w:bottom w:val="single" w:sz="8" w:space="0" w:color="DCDDDE"/>
              <w:right w:val="nil"/>
            </w:tcBorders>
            <w:shd w:val="clear" w:color="auto" w:fill="auto"/>
            <w:noWrap/>
            <w:vAlign w:val="center"/>
            <w:hideMark/>
          </w:tcPr>
          <w:p w14:paraId="22F20561"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11</w:t>
            </w:r>
          </w:p>
        </w:tc>
        <w:tc>
          <w:tcPr>
            <w:tcW w:w="789" w:type="pct"/>
            <w:tcBorders>
              <w:top w:val="nil"/>
              <w:left w:val="nil"/>
              <w:bottom w:val="single" w:sz="8" w:space="0" w:color="DCDDDE"/>
              <w:right w:val="nil"/>
            </w:tcBorders>
            <w:shd w:val="clear" w:color="auto" w:fill="auto"/>
            <w:noWrap/>
            <w:vAlign w:val="center"/>
            <w:hideMark/>
          </w:tcPr>
          <w:p w14:paraId="39C51176"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4,860</w:t>
            </w:r>
          </w:p>
        </w:tc>
        <w:tc>
          <w:tcPr>
            <w:tcW w:w="847" w:type="pct"/>
            <w:tcBorders>
              <w:top w:val="nil"/>
              <w:left w:val="nil"/>
              <w:bottom w:val="single" w:sz="8" w:space="0" w:color="DCDDDE"/>
              <w:right w:val="nil"/>
            </w:tcBorders>
            <w:shd w:val="clear" w:color="auto" w:fill="auto"/>
            <w:vAlign w:val="center"/>
            <w:hideMark/>
          </w:tcPr>
          <w:p w14:paraId="583BB0AF"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52%</w:t>
            </w:r>
          </w:p>
        </w:tc>
      </w:tr>
      <w:tr w:rsidR="00A1054C" w:rsidRPr="00A1054C" w14:paraId="0090451D" w14:textId="77777777" w:rsidTr="00A1054C">
        <w:trPr>
          <w:trHeight w:val="315"/>
          <w:jc w:val="center"/>
        </w:trPr>
        <w:tc>
          <w:tcPr>
            <w:tcW w:w="973" w:type="pct"/>
            <w:vMerge/>
            <w:tcBorders>
              <w:top w:val="nil"/>
              <w:left w:val="nil"/>
              <w:bottom w:val="nil"/>
              <w:right w:val="nil"/>
            </w:tcBorders>
            <w:vAlign w:val="center"/>
            <w:hideMark/>
          </w:tcPr>
          <w:p w14:paraId="707A224F" w14:textId="77777777" w:rsidR="00A1054C" w:rsidRPr="00A1054C" w:rsidRDefault="00A1054C">
            <w:pPr>
              <w:suppressAutoHyphens w:val="0"/>
              <w:autoSpaceDN/>
              <w:spacing w:before="0" w:after="0"/>
              <w:rPr>
                <w:rFonts w:cs="Arial"/>
                <w:color w:val="000000"/>
                <w:sz w:val="20"/>
                <w:szCs w:val="20"/>
              </w:rPr>
            </w:pPr>
          </w:p>
        </w:tc>
        <w:tc>
          <w:tcPr>
            <w:tcW w:w="549" w:type="pct"/>
            <w:tcBorders>
              <w:top w:val="nil"/>
              <w:left w:val="nil"/>
              <w:bottom w:val="single" w:sz="8" w:space="0" w:color="DCDDDE"/>
              <w:right w:val="nil"/>
            </w:tcBorders>
            <w:shd w:val="clear" w:color="auto" w:fill="auto"/>
            <w:noWrap/>
            <w:vAlign w:val="center"/>
            <w:hideMark/>
          </w:tcPr>
          <w:p w14:paraId="1883328D" w14:textId="77777777" w:rsidR="00A1054C" w:rsidRPr="00A1054C" w:rsidRDefault="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2</w:t>
            </w:r>
          </w:p>
        </w:tc>
        <w:tc>
          <w:tcPr>
            <w:tcW w:w="744" w:type="pct"/>
            <w:tcBorders>
              <w:top w:val="nil"/>
              <w:left w:val="nil"/>
              <w:bottom w:val="single" w:sz="8" w:space="0" w:color="DCDDDE"/>
              <w:right w:val="nil"/>
            </w:tcBorders>
            <w:shd w:val="clear" w:color="auto" w:fill="auto"/>
            <w:noWrap/>
            <w:vAlign w:val="center"/>
            <w:hideMark/>
          </w:tcPr>
          <w:p w14:paraId="7C371CD1"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w:t>
            </w:r>
          </w:p>
        </w:tc>
        <w:tc>
          <w:tcPr>
            <w:tcW w:w="709" w:type="pct"/>
            <w:tcBorders>
              <w:top w:val="nil"/>
              <w:left w:val="nil"/>
              <w:bottom w:val="single" w:sz="8" w:space="0" w:color="DCDDDE"/>
              <w:right w:val="nil"/>
            </w:tcBorders>
            <w:shd w:val="clear" w:color="auto" w:fill="auto"/>
            <w:noWrap/>
            <w:vAlign w:val="center"/>
            <w:hideMark/>
          </w:tcPr>
          <w:p w14:paraId="695976B5"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16,199</w:t>
            </w:r>
          </w:p>
        </w:tc>
        <w:tc>
          <w:tcPr>
            <w:tcW w:w="389" w:type="pct"/>
            <w:tcBorders>
              <w:top w:val="nil"/>
              <w:left w:val="nil"/>
              <w:bottom w:val="single" w:sz="8" w:space="0" w:color="DCDDDE"/>
              <w:right w:val="nil"/>
            </w:tcBorders>
            <w:shd w:val="clear" w:color="auto" w:fill="auto"/>
            <w:noWrap/>
            <w:vAlign w:val="center"/>
            <w:hideMark/>
          </w:tcPr>
          <w:p w14:paraId="282BF677"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8</w:t>
            </w:r>
          </w:p>
        </w:tc>
        <w:tc>
          <w:tcPr>
            <w:tcW w:w="789" w:type="pct"/>
            <w:tcBorders>
              <w:top w:val="nil"/>
              <w:left w:val="nil"/>
              <w:bottom w:val="single" w:sz="8" w:space="0" w:color="DCDDDE"/>
              <w:right w:val="nil"/>
            </w:tcBorders>
            <w:shd w:val="clear" w:color="auto" w:fill="auto"/>
            <w:noWrap/>
            <w:vAlign w:val="center"/>
            <w:hideMark/>
          </w:tcPr>
          <w:p w14:paraId="399AFE9C"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13,638</w:t>
            </w:r>
          </w:p>
        </w:tc>
        <w:tc>
          <w:tcPr>
            <w:tcW w:w="847" w:type="pct"/>
            <w:tcBorders>
              <w:top w:val="nil"/>
              <w:left w:val="nil"/>
              <w:bottom w:val="single" w:sz="8" w:space="0" w:color="DCDDDE"/>
              <w:right w:val="nil"/>
            </w:tcBorders>
            <w:shd w:val="clear" w:color="auto" w:fill="auto"/>
            <w:vAlign w:val="center"/>
            <w:hideMark/>
          </w:tcPr>
          <w:p w14:paraId="0A26762D"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84%</w:t>
            </w:r>
          </w:p>
        </w:tc>
      </w:tr>
      <w:tr w:rsidR="00A1054C" w:rsidRPr="00A1054C" w14:paraId="0607EFED" w14:textId="77777777" w:rsidTr="00A1054C">
        <w:trPr>
          <w:trHeight w:val="315"/>
          <w:jc w:val="center"/>
        </w:trPr>
        <w:tc>
          <w:tcPr>
            <w:tcW w:w="973" w:type="pct"/>
            <w:vMerge/>
            <w:tcBorders>
              <w:top w:val="nil"/>
              <w:left w:val="nil"/>
              <w:bottom w:val="nil"/>
              <w:right w:val="nil"/>
            </w:tcBorders>
            <w:vAlign w:val="center"/>
            <w:hideMark/>
          </w:tcPr>
          <w:p w14:paraId="39B815D2" w14:textId="77777777" w:rsidR="00A1054C" w:rsidRPr="00A1054C" w:rsidRDefault="00A1054C">
            <w:pPr>
              <w:suppressAutoHyphens w:val="0"/>
              <w:autoSpaceDN/>
              <w:spacing w:before="0" w:after="0"/>
              <w:rPr>
                <w:rFonts w:cs="Arial"/>
                <w:color w:val="000000"/>
                <w:sz w:val="20"/>
                <w:szCs w:val="20"/>
              </w:rPr>
            </w:pPr>
          </w:p>
        </w:tc>
        <w:tc>
          <w:tcPr>
            <w:tcW w:w="549" w:type="pct"/>
            <w:tcBorders>
              <w:top w:val="nil"/>
              <w:left w:val="nil"/>
              <w:bottom w:val="single" w:sz="8" w:space="0" w:color="DCDDDE"/>
              <w:right w:val="nil"/>
            </w:tcBorders>
            <w:shd w:val="clear" w:color="auto" w:fill="auto"/>
            <w:noWrap/>
            <w:vAlign w:val="center"/>
            <w:hideMark/>
          </w:tcPr>
          <w:p w14:paraId="6629DA2D" w14:textId="77777777" w:rsidR="00A1054C" w:rsidRPr="00A1054C" w:rsidRDefault="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3</w:t>
            </w:r>
          </w:p>
        </w:tc>
        <w:tc>
          <w:tcPr>
            <w:tcW w:w="744" w:type="pct"/>
            <w:tcBorders>
              <w:top w:val="nil"/>
              <w:left w:val="nil"/>
              <w:bottom w:val="single" w:sz="8" w:space="0" w:color="DCDDDE"/>
              <w:right w:val="nil"/>
            </w:tcBorders>
            <w:shd w:val="clear" w:color="auto" w:fill="auto"/>
            <w:noWrap/>
            <w:vAlign w:val="center"/>
            <w:hideMark/>
          </w:tcPr>
          <w:p w14:paraId="6EA3E130"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w:t>
            </w:r>
          </w:p>
        </w:tc>
        <w:tc>
          <w:tcPr>
            <w:tcW w:w="709" w:type="pct"/>
            <w:tcBorders>
              <w:top w:val="nil"/>
              <w:left w:val="nil"/>
              <w:bottom w:val="single" w:sz="8" w:space="0" w:color="DCDDDE"/>
              <w:right w:val="nil"/>
            </w:tcBorders>
            <w:shd w:val="clear" w:color="auto" w:fill="auto"/>
            <w:noWrap/>
            <w:vAlign w:val="center"/>
            <w:hideMark/>
          </w:tcPr>
          <w:p w14:paraId="2002DD69"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42,354</w:t>
            </w:r>
          </w:p>
        </w:tc>
        <w:tc>
          <w:tcPr>
            <w:tcW w:w="389" w:type="pct"/>
            <w:tcBorders>
              <w:top w:val="nil"/>
              <w:left w:val="nil"/>
              <w:bottom w:val="single" w:sz="8" w:space="0" w:color="DCDDDE"/>
              <w:right w:val="nil"/>
            </w:tcBorders>
            <w:shd w:val="clear" w:color="auto" w:fill="auto"/>
            <w:noWrap/>
            <w:vAlign w:val="center"/>
            <w:hideMark/>
          </w:tcPr>
          <w:p w14:paraId="28F4B912"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w:t>
            </w:r>
          </w:p>
        </w:tc>
        <w:tc>
          <w:tcPr>
            <w:tcW w:w="789" w:type="pct"/>
            <w:tcBorders>
              <w:top w:val="nil"/>
              <w:left w:val="nil"/>
              <w:bottom w:val="single" w:sz="8" w:space="0" w:color="DCDDDE"/>
              <w:right w:val="nil"/>
            </w:tcBorders>
            <w:shd w:val="clear" w:color="auto" w:fill="auto"/>
            <w:noWrap/>
            <w:vAlign w:val="center"/>
            <w:hideMark/>
          </w:tcPr>
          <w:p w14:paraId="4F6CBCA8"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42,354</w:t>
            </w:r>
          </w:p>
        </w:tc>
        <w:tc>
          <w:tcPr>
            <w:tcW w:w="847" w:type="pct"/>
            <w:tcBorders>
              <w:top w:val="nil"/>
              <w:left w:val="nil"/>
              <w:bottom w:val="single" w:sz="8" w:space="0" w:color="DCDDDE"/>
              <w:right w:val="nil"/>
            </w:tcBorders>
            <w:shd w:val="clear" w:color="auto" w:fill="auto"/>
            <w:vAlign w:val="center"/>
            <w:hideMark/>
          </w:tcPr>
          <w:p w14:paraId="198E600F"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100%</w:t>
            </w:r>
          </w:p>
        </w:tc>
      </w:tr>
      <w:tr w:rsidR="00A1054C" w:rsidRPr="00A1054C" w14:paraId="6D33C3AA" w14:textId="77777777" w:rsidTr="00A1054C">
        <w:trPr>
          <w:trHeight w:val="315"/>
          <w:jc w:val="center"/>
        </w:trPr>
        <w:tc>
          <w:tcPr>
            <w:tcW w:w="973" w:type="pct"/>
            <w:vMerge/>
            <w:tcBorders>
              <w:top w:val="nil"/>
              <w:left w:val="nil"/>
              <w:bottom w:val="nil"/>
              <w:right w:val="nil"/>
            </w:tcBorders>
            <w:vAlign w:val="center"/>
            <w:hideMark/>
          </w:tcPr>
          <w:p w14:paraId="798C0DB8" w14:textId="77777777" w:rsidR="00A1054C" w:rsidRPr="00A1054C" w:rsidRDefault="00A1054C">
            <w:pPr>
              <w:suppressAutoHyphens w:val="0"/>
              <w:autoSpaceDN/>
              <w:spacing w:before="0" w:after="0"/>
              <w:rPr>
                <w:rFonts w:cs="Arial"/>
                <w:color w:val="000000"/>
                <w:sz w:val="20"/>
                <w:szCs w:val="20"/>
              </w:rPr>
            </w:pPr>
          </w:p>
        </w:tc>
        <w:tc>
          <w:tcPr>
            <w:tcW w:w="549" w:type="pct"/>
            <w:tcBorders>
              <w:top w:val="nil"/>
              <w:left w:val="nil"/>
              <w:bottom w:val="single" w:sz="8" w:space="0" w:color="DCDDDE"/>
              <w:right w:val="nil"/>
            </w:tcBorders>
            <w:shd w:val="clear" w:color="auto" w:fill="auto"/>
            <w:noWrap/>
            <w:vAlign w:val="center"/>
            <w:hideMark/>
          </w:tcPr>
          <w:p w14:paraId="0CF735A5" w14:textId="77777777" w:rsidR="00A1054C" w:rsidRPr="00A1054C" w:rsidRDefault="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Certainty</w:t>
            </w:r>
          </w:p>
        </w:tc>
        <w:tc>
          <w:tcPr>
            <w:tcW w:w="744" w:type="pct"/>
            <w:tcBorders>
              <w:top w:val="nil"/>
              <w:left w:val="nil"/>
              <w:bottom w:val="single" w:sz="8" w:space="0" w:color="DCDDDE"/>
              <w:right w:val="nil"/>
            </w:tcBorders>
            <w:shd w:val="clear" w:color="auto" w:fill="auto"/>
            <w:noWrap/>
            <w:vAlign w:val="center"/>
            <w:hideMark/>
          </w:tcPr>
          <w:p w14:paraId="02D1C0B4"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709" w:type="pct"/>
            <w:tcBorders>
              <w:top w:val="nil"/>
              <w:left w:val="nil"/>
              <w:bottom w:val="single" w:sz="8" w:space="0" w:color="DCDDDE"/>
              <w:right w:val="nil"/>
            </w:tcBorders>
            <w:shd w:val="clear" w:color="auto" w:fill="auto"/>
            <w:noWrap/>
            <w:vAlign w:val="center"/>
            <w:hideMark/>
          </w:tcPr>
          <w:p w14:paraId="43DA70FD"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6,653</w:t>
            </w:r>
          </w:p>
        </w:tc>
        <w:tc>
          <w:tcPr>
            <w:tcW w:w="389" w:type="pct"/>
            <w:tcBorders>
              <w:top w:val="nil"/>
              <w:left w:val="nil"/>
              <w:bottom w:val="single" w:sz="8" w:space="0" w:color="DCDDDE"/>
              <w:right w:val="nil"/>
            </w:tcBorders>
            <w:shd w:val="clear" w:color="auto" w:fill="auto"/>
            <w:noWrap/>
            <w:vAlign w:val="center"/>
            <w:hideMark/>
          </w:tcPr>
          <w:p w14:paraId="2E2D6B36"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789" w:type="pct"/>
            <w:tcBorders>
              <w:top w:val="nil"/>
              <w:left w:val="nil"/>
              <w:bottom w:val="single" w:sz="8" w:space="0" w:color="DCDDDE"/>
              <w:right w:val="nil"/>
            </w:tcBorders>
            <w:shd w:val="clear" w:color="auto" w:fill="auto"/>
            <w:noWrap/>
            <w:vAlign w:val="center"/>
            <w:hideMark/>
          </w:tcPr>
          <w:p w14:paraId="1F76C42C"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6,653</w:t>
            </w:r>
          </w:p>
        </w:tc>
        <w:tc>
          <w:tcPr>
            <w:tcW w:w="847" w:type="pct"/>
            <w:tcBorders>
              <w:top w:val="nil"/>
              <w:left w:val="nil"/>
              <w:bottom w:val="single" w:sz="8" w:space="0" w:color="DCDDDE"/>
              <w:right w:val="nil"/>
            </w:tcBorders>
            <w:shd w:val="clear" w:color="auto" w:fill="auto"/>
            <w:vAlign w:val="center"/>
            <w:hideMark/>
          </w:tcPr>
          <w:p w14:paraId="2A507F63"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100%</w:t>
            </w:r>
          </w:p>
        </w:tc>
      </w:tr>
      <w:tr w:rsidR="00A1054C" w:rsidRPr="00A1054C" w14:paraId="0E7D819F" w14:textId="77777777" w:rsidTr="00A1054C">
        <w:trPr>
          <w:trHeight w:val="315"/>
          <w:jc w:val="center"/>
        </w:trPr>
        <w:tc>
          <w:tcPr>
            <w:tcW w:w="973" w:type="pct"/>
            <w:tcBorders>
              <w:top w:val="nil"/>
              <w:left w:val="nil"/>
              <w:bottom w:val="single" w:sz="8" w:space="0" w:color="545759"/>
              <w:right w:val="nil"/>
            </w:tcBorders>
            <w:shd w:val="clear" w:color="auto" w:fill="auto"/>
            <w:noWrap/>
            <w:vAlign w:val="center"/>
            <w:hideMark/>
          </w:tcPr>
          <w:p w14:paraId="75E654A1" w14:textId="77777777" w:rsidR="00A1054C" w:rsidRPr="00A1054C" w:rsidRDefault="00A1054C">
            <w:pPr>
              <w:suppressAutoHyphens w:val="0"/>
              <w:autoSpaceDN/>
              <w:spacing w:before="0" w:after="0"/>
              <w:jc w:val="center"/>
              <w:rPr>
                <w:rFonts w:ascii="Arial Narrow" w:hAnsi="Arial Narrow" w:cs="Calibri"/>
                <w:b/>
                <w:bCs/>
                <w:color w:val="000000"/>
                <w:sz w:val="20"/>
                <w:szCs w:val="20"/>
              </w:rPr>
            </w:pPr>
            <w:r w:rsidRPr="00A1054C">
              <w:rPr>
                <w:rFonts w:ascii="Arial Narrow" w:hAnsi="Arial Narrow" w:cs="Calibri"/>
                <w:b/>
                <w:bCs/>
                <w:color w:val="000000"/>
                <w:sz w:val="20"/>
                <w:szCs w:val="20"/>
              </w:rPr>
              <w:t>Total</w:t>
            </w:r>
          </w:p>
        </w:tc>
        <w:tc>
          <w:tcPr>
            <w:tcW w:w="549" w:type="pct"/>
            <w:tcBorders>
              <w:top w:val="nil"/>
              <w:left w:val="nil"/>
              <w:bottom w:val="single" w:sz="8" w:space="0" w:color="545759"/>
              <w:right w:val="nil"/>
            </w:tcBorders>
            <w:shd w:val="clear" w:color="auto" w:fill="auto"/>
            <w:noWrap/>
            <w:vAlign w:val="center"/>
            <w:hideMark/>
          </w:tcPr>
          <w:p w14:paraId="204998B4" w14:textId="77777777" w:rsidR="00A1054C" w:rsidRPr="00A1054C" w:rsidRDefault="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 </w:t>
            </w:r>
          </w:p>
        </w:tc>
        <w:tc>
          <w:tcPr>
            <w:tcW w:w="744" w:type="pct"/>
            <w:tcBorders>
              <w:top w:val="nil"/>
              <w:left w:val="nil"/>
              <w:bottom w:val="single" w:sz="8" w:space="0" w:color="545759"/>
              <w:right w:val="nil"/>
            </w:tcBorders>
            <w:shd w:val="clear" w:color="auto" w:fill="auto"/>
            <w:noWrap/>
            <w:vAlign w:val="center"/>
            <w:hideMark/>
          </w:tcPr>
          <w:p w14:paraId="427400BD"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42</w:t>
            </w:r>
          </w:p>
        </w:tc>
        <w:tc>
          <w:tcPr>
            <w:tcW w:w="709" w:type="pct"/>
            <w:tcBorders>
              <w:top w:val="nil"/>
              <w:left w:val="nil"/>
              <w:bottom w:val="single" w:sz="8" w:space="0" w:color="545759"/>
              <w:right w:val="nil"/>
            </w:tcBorders>
            <w:shd w:val="clear" w:color="auto" w:fill="auto"/>
            <w:noWrap/>
            <w:vAlign w:val="center"/>
            <w:hideMark/>
          </w:tcPr>
          <w:p w14:paraId="774D3A35"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74,627</w:t>
            </w:r>
          </w:p>
        </w:tc>
        <w:tc>
          <w:tcPr>
            <w:tcW w:w="389" w:type="pct"/>
            <w:tcBorders>
              <w:top w:val="nil"/>
              <w:left w:val="nil"/>
              <w:bottom w:val="single" w:sz="8" w:space="0" w:color="545759"/>
              <w:right w:val="nil"/>
            </w:tcBorders>
            <w:shd w:val="clear" w:color="auto" w:fill="auto"/>
            <w:noWrap/>
            <w:vAlign w:val="center"/>
            <w:hideMark/>
          </w:tcPr>
          <w:p w14:paraId="68BF0481"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30</w:t>
            </w:r>
          </w:p>
        </w:tc>
        <w:tc>
          <w:tcPr>
            <w:tcW w:w="789" w:type="pct"/>
            <w:tcBorders>
              <w:top w:val="nil"/>
              <w:left w:val="nil"/>
              <w:bottom w:val="single" w:sz="8" w:space="0" w:color="545759"/>
              <w:right w:val="nil"/>
            </w:tcBorders>
            <w:shd w:val="clear" w:color="auto" w:fill="auto"/>
            <w:noWrap/>
            <w:vAlign w:val="center"/>
            <w:hideMark/>
          </w:tcPr>
          <w:p w14:paraId="031CAF72"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67,504</w:t>
            </w:r>
          </w:p>
        </w:tc>
        <w:tc>
          <w:tcPr>
            <w:tcW w:w="847" w:type="pct"/>
            <w:tcBorders>
              <w:top w:val="nil"/>
              <w:left w:val="nil"/>
              <w:bottom w:val="single" w:sz="8" w:space="0" w:color="545759"/>
              <w:right w:val="nil"/>
            </w:tcBorders>
            <w:shd w:val="clear" w:color="auto" w:fill="auto"/>
            <w:noWrap/>
            <w:vAlign w:val="center"/>
            <w:hideMark/>
          </w:tcPr>
          <w:p w14:paraId="7E834F13"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90%</w:t>
            </w:r>
          </w:p>
        </w:tc>
      </w:tr>
    </w:tbl>
    <w:p w14:paraId="4D76163E" w14:textId="6A6C78A1" w:rsidR="00A1054C" w:rsidRPr="00A1054C" w:rsidRDefault="00A1054C" w:rsidP="00A1054C">
      <w:pPr>
        <w:tabs>
          <w:tab w:val="left" w:pos="8820"/>
        </w:tabs>
        <w:spacing w:before="0" w:after="0"/>
        <w:rPr>
          <w:sz w:val="18"/>
          <w:szCs w:val="18"/>
        </w:rPr>
      </w:pPr>
      <w:r w:rsidRPr="00A1054C">
        <w:rPr>
          <w:sz w:val="18"/>
          <w:szCs w:val="18"/>
        </w:rPr>
        <w:t>*The gross impact population and sample include MMBtu savings for Nicor Gas, as well as P</w:t>
      </w:r>
      <w:r>
        <w:rPr>
          <w:sz w:val="18"/>
          <w:szCs w:val="18"/>
        </w:rPr>
        <w:t>eoples Gas</w:t>
      </w:r>
      <w:r w:rsidRPr="00A1054C">
        <w:rPr>
          <w:sz w:val="18"/>
          <w:szCs w:val="18"/>
        </w:rPr>
        <w:t>, N</w:t>
      </w:r>
      <w:r>
        <w:rPr>
          <w:sz w:val="18"/>
          <w:szCs w:val="18"/>
        </w:rPr>
        <w:t>orth Shore Gas,</w:t>
      </w:r>
      <w:r w:rsidRPr="00A1054C">
        <w:rPr>
          <w:sz w:val="18"/>
          <w:szCs w:val="18"/>
        </w:rPr>
        <w:t xml:space="preserve"> and ComEd.</w:t>
      </w:r>
    </w:p>
    <w:p w14:paraId="6ACF9415" w14:textId="06357EDC" w:rsidR="00A1054C" w:rsidRDefault="00A1054C" w:rsidP="00A1054C">
      <w:pPr>
        <w:tabs>
          <w:tab w:val="left" w:pos="8820"/>
        </w:tabs>
        <w:spacing w:before="0" w:after="0"/>
        <w:rPr>
          <w:sz w:val="18"/>
          <w:szCs w:val="18"/>
        </w:rPr>
      </w:pPr>
      <w:r w:rsidRPr="00A1054C">
        <w:rPr>
          <w:sz w:val="18"/>
          <w:szCs w:val="18"/>
        </w:rPr>
        <w:t>†</w:t>
      </w:r>
      <w:r>
        <w:rPr>
          <w:sz w:val="18"/>
          <w:szCs w:val="18"/>
        </w:rPr>
        <w:t>Three</w:t>
      </w:r>
      <w:r w:rsidRPr="00A1054C">
        <w:rPr>
          <w:sz w:val="18"/>
          <w:szCs w:val="18"/>
        </w:rPr>
        <w:t xml:space="preserve"> Nicor Gas projects (</w:t>
      </w:r>
      <w:r>
        <w:rPr>
          <w:sz w:val="18"/>
          <w:szCs w:val="18"/>
        </w:rPr>
        <w:t>CINC-1609, CINC-1365, CINC-1529</w:t>
      </w:r>
      <w:r w:rsidRPr="00A1054C">
        <w:rPr>
          <w:sz w:val="18"/>
          <w:szCs w:val="18"/>
        </w:rPr>
        <w:t xml:space="preserve">) were included in the population during sampling, with </w:t>
      </w:r>
      <w:r>
        <w:rPr>
          <w:sz w:val="18"/>
          <w:szCs w:val="18"/>
        </w:rPr>
        <w:t>two</w:t>
      </w:r>
      <w:r w:rsidRPr="00A1054C">
        <w:rPr>
          <w:sz w:val="18"/>
          <w:szCs w:val="18"/>
        </w:rPr>
        <w:t xml:space="preserve"> of them (CINC-</w:t>
      </w:r>
      <w:r>
        <w:rPr>
          <w:sz w:val="18"/>
          <w:szCs w:val="18"/>
        </w:rPr>
        <w:t>1609, CINC-1365</w:t>
      </w:r>
      <w:r w:rsidRPr="00A1054C">
        <w:rPr>
          <w:sz w:val="18"/>
          <w:szCs w:val="18"/>
        </w:rPr>
        <w:t xml:space="preserve">) being selected. </w:t>
      </w:r>
      <w:r>
        <w:rPr>
          <w:sz w:val="18"/>
          <w:szCs w:val="18"/>
        </w:rPr>
        <w:t xml:space="preserve">Although ComEd claimed the electric savings for these projects in 2023, </w:t>
      </w:r>
      <w:r w:rsidRPr="00A1054C">
        <w:rPr>
          <w:sz w:val="18"/>
          <w:szCs w:val="18"/>
        </w:rPr>
        <w:t>Nicor Gas elected to claim the gas savings in program year 202</w:t>
      </w:r>
      <w:r>
        <w:rPr>
          <w:sz w:val="18"/>
          <w:szCs w:val="18"/>
        </w:rPr>
        <w:t>5</w:t>
      </w:r>
      <w:r w:rsidRPr="00A1054C">
        <w:rPr>
          <w:sz w:val="18"/>
          <w:szCs w:val="18"/>
        </w:rPr>
        <w:t xml:space="preserve">. </w:t>
      </w:r>
    </w:p>
    <w:p w14:paraId="35FC558F" w14:textId="3955FF1C" w:rsidR="00B0596B" w:rsidRDefault="00A1054C" w:rsidP="00A1054C">
      <w:pPr>
        <w:tabs>
          <w:tab w:val="left" w:pos="8820"/>
        </w:tabs>
        <w:spacing w:before="0"/>
        <w:rPr>
          <w:i/>
          <w:iCs/>
          <w:sz w:val="18"/>
          <w:szCs w:val="18"/>
        </w:rPr>
      </w:pPr>
      <w:r w:rsidRPr="00A1054C">
        <w:rPr>
          <w:i/>
          <w:iCs/>
          <w:sz w:val="18"/>
          <w:szCs w:val="18"/>
        </w:rPr>
        <w:t xml:space="preserve">Source: </w:t>
      </w:r>
      <w:r>
        <w:rPr>
          <w:i/>
          <w:iCs/>
          <w:sz w:val="18"/>
          <w:szCs w:val="18"/>
        </w:rPr>
        <w:t>E</w:t>
      </w:r>
      <w:r w:rsidRPr="00A1054C">
        <w:rPr>
          <w:i/>
          <w:iCs/>
          <w:sz w:val="18"/>
          <w:szCs w:val="18"/>
        </w:rPr>
        <w:t>valuation team analysis.</w:t>
      </w:r>
    </w:p>
    <w:p w14:paraId="1372E208" w14:textId="08AF384C" w:rsidR="00A1054C" w:rsidRPr="00C179E2" w:rsidRDefault="00B0596B" w:rsidP="00C179E2">
      <w:pPr>
        <w:suppressAutoHyphens w:val="0"/>
        <w:autoSpaceDN/>
        <w:spacing w:before="0" w:after="0"/>
        <w:rPr>
          <w:i/>
          <w:iCs/>
          <w:sz w:val="18"/>
          <w:szCs w:val="18"/>
        </w:rPr>
      </w:pPr>
      <w:r>
        <w:rPr>
          <w:i/>
          <w:iCs/>
          <w:sz w:val="18"/>
          <w:szCs w:val="18"/>
        </w:rPr>
        <w:br w:type="page"/>
      </w:r>
    </w:p>
    <w:p w14:paraId="3C135BCE" w14:textId="6A896EC9" w:rsidR="00A1054C" w:rsidRDefault="00A1054C" w:rsidP="00A1054C">
      <w:pPr>
        <w:pStyle w:val="Caption"/>
      </w:pPr>
      <w:bookmarkStart w:id="48" w:name="_Ref192504317"/>
      <w:bookmarkStart w:id="49" w:name="_Toc192512595"/>
      <w:r>
        <w:lastRenderedPageBreak/>
        <w:t xml:space="preserve">Table </w:t>
      </w:r>
      <w:r>
        <w:fldChar w:fldCharType="begin"/>
      </w:r>
      <w:r>
        <w:instrText>STYLEREF 5 \s</w:instrText>
      </w:r>
      <w:r>
        <w:fldChar w:fldCharType="separate"/>
      </w:r>
      <w:r>
        <w:rPr>
          <w:noProof/>
        </w:rPr>
        <w:t>A</w:t>
      </w:r>
      <w:r>
        <w:fldChar w:fldCharType="end"/>
      </w:r>
      <w:r w:rsidR="076C093C">
        <w:t>-</w:t>
      </w:r>
      <w:r>
        <w:fldChar w:fldCharType="begin"/>
      </w:r>
      <w:r>
        <w:instrText>SEQ Table_Apx \* ARABIC \s 5</w:instrText>
      </w:r>
      <w:r>
        <w:fldChar w:fldCharType="separate"/>
      </w:r>
      <w:r>
        <w:rPr>
          <w:noProof/>
        </w:rPr>
        <w:t>2</w:t>
      </w:r>
      <w:r>
        <w:fldChar w:fldCharType="end"/>
      </w:r>
      <w:bookmarkEnd w:id="48"/>
      <w:r>
        <w:t>.</w:t>
      </w:r>
      <w:r w:rsidDel="00146395">
        <w:t xml:space="preserve"> </w:t>
      </w:r>
      <w:r w:rsidRPr="00A1054C">
        <w:t>202</w:t>
      </w:r>
      <w:r>
        <w:t>4</w:t>
      </w:r>
      <w:r w:rsidRPr="00A1054C">
        <w:t xml:space="preserve"> BNC Program Profile of Gross Impact Sample for Projects and Realization Rate</w:t>
      </w:r>
      <w:bookmarkEnd w:id="49"/>
    </w:p>
    <w:tbl>
      <w:tblPr>
        <w:tblW w:w="5000" w:type="pct"/>
        <w:tblLook w:val="04A0" w:firstRow="1" w:lastRow="0" w:firstColumn="1" w:lastColumn="0" w:noHBand="0" w:noVBand="1"/>
      </w:tblPr>
      <w:tblGrid>
        <w:gridCol w:w="1409"/>
        <w:gridCol w:w="955"/>
        <w:gridCol w:w="1060"/>
        <w:gridCol w:w="1014"/>
        <w:gridCol w:w="530"/>
        <w:gridCol w:w="1133"/>
        <w:gridCol w:w="1222"/>
        <w:gridCol w:w="1082"/>
        <w:gridCol w:w="955"/>
      </w:tblGrid>
      <w:tr w:rsidR="00A1054C" w:rsidRPr="00A1054C" w14:paraId="593B69EF" w14:textId="77777777" w:rsidTr="00C179E2">
        <w:trPr>
          <w:trHeight w:val="555"/>
          <w:tblHeader/>
        </w:trPr>
        <w:tc>
          <w:tcPr>
            <w:tcW w:w="753" w:type="pct"/>
            <w:tcBorders>
              <w:top w:val="nil"/>
              <w:left w:val="nil"/>
              <w:bottom w:val="single" w:sz="12" w:space="0" w:color="95D600"/>
              <w:right w:val="nil"/>
            </w:tcBorders>
            <w:shd w:val="clear" w:color="000000" w:fill="036479"/>
            <w:vAlign w:val="center"/>
            <w:hideMark/>
          </w:tcPr>
          <w:p w14:paraId="158C1680" w14:textId="77777777" w:rsidR="00A1054C" w:rsidRPr="00A1054C" w:rsidRDefault="00A1054C" w:rsidP="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 </w:t>
            </w:r>
          </w:p>
        </w:tc>
        <w:tc>
          <w:tcPr>
            <w:tcW w:w="1619" w:type="pct"/>
            <w:gridSpan w:val="3"/>
            <w:tcBorders>
              <w:top w:val="nil"/>
              <w:left w:val="nil"/>
              <w:bottom w:val="single" w:sz="12" w:space="0" w:color="95D600"/>
              <w:right w:val="single" w:sz="12" w:space="0" w:color="95D600"/>
            </w:tcBorders>
            <w:shd w:val="clear" w:color="000000" w:fill="036479"/>
            <w:vAlign w:val="center"/>
            <w:hideMark/>
          </w:tcPr>
          <w:p w14:paraId="3A47DF61" w14:textId="44F7B51F" w:rsidR="00A1054C" w:rsidRPr="00A1054C" w:rsidRDefault="00A1054C" w:rsidP="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Population Summary*</w:t>
            </w:r>
            <w:r w:rsidR="00DA384D" w:rsidRPr="00DA384D">
              <w:rPr>
                <w:rFonts w:ascii="Arial Narrow" w:hAnsi="Arial Narrow" w:cs="Calibri"/>
                <w:b/>
                <w:bCs/>
                <w:color w:val="FFFFFF"/>
                <w:sz w:val="20"/>
                <w:szCs w:val="20"/>
              </w:rPr>
              <w:t>†</w:t>
            </w:r>
          </w:p>
        </w:tc>
        <w:tc>
          <w:tcPr>
            <w:tcW w:w="1541" w:type="pct"/>
            <w:gridSpan w:val="3"/>
            <w:tcBorders>
              <w:top w:val="nil"/>
              <w:left w:val="nil"/>
              <w:bottom w:val="single" w:sz="12" w:space="0" w:color="95D600"/>
              <w:right w:val="nil"/>
            </w:tcBorders>
            <w:shd w:val="clear" w:color="000000" w:fill="036479"/>
            <w:vAlign w:val="center"/>
            <w:hideMark/>
          </w:tcPr>
          <w:p w14:paraId="72514C86" w14:textId="77777777" w:rsidR="00A1054C" w:rsidRPr="00A1054C" w:rsidRDefault="00A1054C" w:rsidP="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Sample Summary*</w:t>
            </w:r>
          </w:p>
        </w:tc>
        <w:tc>
          <w:tcPr>
            <w:tcW w:w="1088" w:type="pct"/>
            <w:gridSpan w:val="2"/>
            <w:tcBorders>
              <w:top w:val="nil"/>
              <w:left w:val="single" w:sz="12" w:space="0" w:color="95D600"/>
              <w:bottom w:val="single" w:sz="12" w:space="0" w:color="95D600"/>
              <w:right w:val="nil"/>
            </w:tcBorders>
            <w:shd w:val="clear" w:color="000000" w:fill="036479"/>
            <w:vAlign w:val="center"/>
            <w:hideMark/>
          </w:tcPr>
          <w:p w14:paraId="33F1AB0A" w14:textId="77777777" w:rsidR="00A1054C" w:rsidRPr="00A1054C" w:rsidRDefault="00A1054C" w:rsidP="00A1054C">
            <w:pPr>
              <w:suppressAutoHyphens w:val="0"/>
              <w:autoSpaceDN/>
              <w:spacing w:before="0" w:after="0"/>
              <w:jc w:val="center"/>
              <w:rPr>
                <w:rFonts w:ascii="Arial Narrow" w:hAnsi="Arial Narrow" w:cs="Calibri"/>
                <w:b/>
                <w:bCs/>
                <w:color w:val="FFFFFF"/>
                <w:sz w:val="20"/>
                <w:szCs w:val="20"/>
              </w:rPr>
            </w:pPr>
            <w:r w:rsidRPr="00A1054C">
              <w:rPr>
                <w:rFonts w:ascii="Arial Narrow" w:hAnsi="Arial Narrow" w:cs="Calibri"/>
                <w:b/>
                <w:bCs/>
                <w:color w:val="FFFFFF"/>
                <w:sz w:val="20"/>
                <w:szCs w:val="20"/>
              </w:rPr>
              <w:t>Statistical Verification Results</w:t>
            </w:r>
          </w:p>
        </w:tc>
      </w:tr>
      <w:tr w:rsidR="00A1054C" w:rsidRPr="00A1054C" w14:paraId="524C29DE" w14:textId="77777777" w:rsidTr="00A1054C">
        <w:trPr>
          <w:trHeight w:val="525"/>
        </w:trPr>
        <w:tc>
          <w:tcPr>
            <w:tcW w:w="753" w:type="pct"/>
            <w:vMerge w:val="restart"/>
            <w:tcBorders>
              <w:top w:val="nil"/>
              <w:left w:val="nil"/>
              <w:bottom w:val="single" w:sz="12" w:space="0" w:color="95D600"/>
              <w:right w:val="nil"/>
            </w:tcBorders>
            <w:shd w:val="clear" w:color="000000" w:fill="036479"/>
            <w:vAlign w:val="center"/>
            <w:hideMark/>
          </w:tcPr>
          <w:p w14:paraId="575BE4B8" w14:textId="77777777" w:rsidR="00A1054C" w:rsidRPr="00A1054C" w:rsidRDefault="00A1054C" w:rsidP="00A1054C">
            <w:pPr>
              <w:suppressAutoHyphens w:val="0"/>
              <w:autoSpaceDN/>
              <w:spacing w:before="0" w:after="0"/>
              <w:rPr>
                <w:rFonts w:ascii="Arial Narrow" w:hAnsi="Arial Narrow" w:cs="Calibri"/>
                <w:b/>
                <w:bCs/>
                <w:color w:val="FFFFFF"/>
                <w:sz w:val="20"/>
                <w:szCs w:val="20"/>
              </w:rPr>
            </w:pPr>
            <w:r w:rsidRPr="00A1054C">
              <w:rPr>
                <w:rFonts w:ascii="Arial Narrow" w:hAnsi="Arial Narrow" w:cs="Calibri"/>
                <w:b/>
                <w:bCs/>
                <w:color w:val="FFFFFF"/>
                <w:sz w:val="20"/>
                <w:szCs w:val="20"/>
              </w:rPr>
              <w:t>Program</w:t>
            </w:r>
          </w:p>
        </w:tc>
        <w:tc>
          <w:tcPr>
            <w:tcW w:w="510" w:type="pct"/>
            <w:vMerge w:val="restart"/>
            <w:tcBorders>
              <w:top w:val="nil"/>
              <w:left w:val="nil"/>
              <w:bottom w:val="single" w:sz="12" w:space="0" w:color="95D600"/>
              <w:right w:val="nil"/>
            </w:tcBorders>
            <w:shd w:val="clear" w:color="000000" w:fill="036479"/>
            <w:vAlign w:val="center"/>
            <w:hideMark/>
          </w:tcPr>
          <w:p w14:paraId="7B623A16"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Sampling Strata</w:t>
            </w:r>
          </w:p>
        </w:tc>
        <w:tc>
          <w:tcPr>
            <w:tcW w:w="567" w:type="pct"/>
            <w:vMerge w:val="restart"/>
            <w:tcBorders>
              <w:top w:val="nil"/>
              <w:left w:val="nil"/>
              <w:bottom w:val="single" w:sz="12" w:space="0" w:color="95D600"/>
              <w:right w:val="nil"/>
            </w:tcBorders>
            <w:shd w:val="clear" w:color="000000" w:fill="036479"/>
            <w:vAlign w:val="center"/>
            <w:hideMark/>
          </w:tcPr>
          <w:p w14:paraId="025B56A1"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Number of Projects (N)</w:t>
            </w:r>
          </w:p>
        </w:tc>
        <w:tc>
          <w:tcPr>
            <w:tcW w:w="541" w:type="pct"/>
            <w:tcBorders>
              <w:top w:val="nil"/>
              <w:left w:val="nil"/>
              <w:bottom w:val="nil"/>
              <w:right w:val="nil"/>
            </w:tcBorders>
            <w:shd w:val="clear" w:color="000000" w:fill="036479"/>
            <w:vAlign w:val="center"/>
            <w:hideMark/>
          </w:tcPr>
          <w:p w14:paraId="0517230D"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Ex Ante Gross Savings</w:t>
            </w:r>
          </w:p>
        </w:tc>
        <w:tc>
          <w:tcPr>
            <w:tcW w:w="283" w:type="pct"/>
            <w:vMerge w:val="restart"/>
            <w:tcBorders>
              <w:top w:val="nil"/>
              <w:left w:val="nil"/>
              <w:bottom w:val="single" w:sz="12" w:space="0" w:color="95D600"/>
              <w:right w:val="nil"/>
            </w:tcBorders>
            <w:shd w:val="clear" w:color="000000" w:fill="036479"/>
            <w:vAlign w:val="center"/>
            <w:hideMark/>
          </w:tcPr>
          <w:p w14:paraId="63A864EB"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n</w:t>
            </w:r>
          </w:p>
        </w:tc>
        <w:tc>
          <w:tcPr>
            <w:tcW w:w="605" w:type="pct"/>
            <w:tcBorders>
              <w:top w:val="nil"/>
              <w:left w:val="nil"/>
              <w:bottom w:val="nil"/>
              <w:right w:val="nil"/>
            </w:tcBorders>
            <w:shd w:val="clear" w:color="000000" w:fill="036479"/>
            <w:vAlign w:val="center"/>
            <w:hideMark/>
          </w:tcPr>
          <w:p w14:paraId="4E3468DF"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Ex Ante Gross Savings</w:t>
            </w:r>
          </w:p>
        </w:tc>
        <w:tc>
          <w:tcPr>
            <w:tcW w:w="652" w:type="pct"/>
            <w:tcBorders>
              <w:top w:val="nil"/>
              <w:left w:val="nil"/>
              <w:bottom w:val="nil"/>
              <w:right w:val="nil"/>
            </w:tcBorders>
            <w:shd w:val="clear" w:color="000000" w:fill="036479"/>
            <w:vAlign w:val="center"/>
            <w:hideMark/>
          </w:tcPr>
          <w:p w14:paraId="4BA817F1"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Sampled % of Population</w:t>
            </w:r>
          </w:p>
        </w:tc>
        <w:tc>
          <w:tcPr>
            <w:tcW w:w="578" w:type="pct"/>
            <w:tcBorders>
              <w:top w:val="nil"/>
              <w:left w:val="nil"/>
              <w:bottom w:val="nil"/>
              <w:right w:val="nil"/>
            </w:tcBorders>
            <w:shd w:val="clear" w:color="000000" w:fill="036479"/>
            <w:vAlign w:val="center"/>
            <w:hideMark/>
          </w:tcPr>
          <w:p w14:paraId="0AAB45BB"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Realization Rate</w:t>
            </w:r>
          </w:p>
        </w:tc>
        <w:tc>
          <w:tcPr>
            <w:tcW w:w="510" w:type="pct"/>
            <w:tcBorders>
              <w:top w:val="nil"/>
              <w:left w:val="nil"/>
              <w:bottom w:val="nil"/>
              <w:right w:val="nil"/>
            </w:tcBorders>
            <w:shd w:val="clear" w:color="000000" w:fill="036479"/>
            <w:vAlign w:val="center"/>
            <w:hideMark/>
          </w:tcPr>
          <w:p w14:paraId="679ECDDB"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Precision</w:t>
            </w:r>
          </w:p>
        </w:tc>
      </w:tr>
      <w:tr w:rsidR="00A1054C" w:rsidRPr="00A1054C" w14:paraId="189F6C20" w14:textId="77777777" w:rsidTr="00A1054C">
        <w:trPr>
          <w:trHeight w:val="315"/>
        </w:trPr>
        <w:tc>
          <w:tcPr>
            <w:tcW w:w="753" w:type="pct"/>
            <w:vMerge/>
            <w:tcBorders>
              <w:top w:val="nil"/>
              <w:left w:val="nil"/>
              <w:bottom w:val="single" w:sz="12" w:space="0" w:color="95D600"/>
              <w:right w:val="nil"/>
            </w:tcBorders>
            <w:vAlign w:val="center"/>
            <w:hideMark/>
          </w:tcPr>
          <w:p w14:paraId="4EEF0549" w14:textId="77777777" w:rsidR="00A1054C" w:rsidRPr="00A1054C" w:rsidRDefault="00A1054C" w:rsidP="00A1054C">
            <w:pPr>
              <w:suppressAutoHyphens w:val="0"/>
              <w:autoSpaceDN/>
              <w:spacing w:before="0" w:after="0"/>
              <w:rPr>
                <w:rFonts w:ascii="Arial Narrow" w:hAnsi="Arial Narrow" w:cs="Calibri"/>
                <w:b/>
                <w:bCs/>
                <w:color w:val="FFFFFF"/>
                <w:sz w:val="20"/>
                <w:szCs w:val="20"/>
              </w:rPr>
            </w:pPr>
          </w:p>
        </w:tc>
        <w:tc>
          <w:tcPr>
            <w:tcW w:w="510" w:type="pct"/>
            <w:vMerge/>
            <w:tcBorders>
              <w:top w:val="nil"/>
              <w:left w:val="nil"/>
              <w:bottom w:val="single" w:sz="12" w:space="0" w:color="95D600"/>
              <w:right w:val="nil"/>
            </w:tcBorders>
            <w:vAlign w:val="center"/>
            <w:hideMark/>
          </w:tcPr>
          <w:p w14:paraId="42AAA0FA" w14:textId="77777777" w:rsidR="00A1054C" w:rsidRPr="00A1054C" w:rsidRDefault="00A1054C" w:rsidP="00A1054C">
            <w:pPr>
              <w:suppressAutoHyphens w:val="0"/>
              <w:autoSpaceDN/>
              <w:spacing w:before="0" w:after="0"/>
              <w:rPr>
                <w:rFonts w:ascii="Arial Narrow" w:hAnsi="Arial Narrow" w:cs="Calibri"/>
                <w:b/>
                <w:bCs/>
                <w:color w:val="FFFFFF"/>
                <w:sz w:val="20"/>
                <w:szCs w:val="20"/>
              </w:rPr>
            </w:pPr>
          </w:p>
        </w:tc>
        <w:tc>
          <w:tcPr>
            <w:tcW w:w="567" w:type="pct"/>
            <w:vMerge/>
            <w:tcBorders>
              <w:top w:val="nil"/>
              <w:left w:val="nil"/>
              <w:bottom w:val="single" w:sz="12" w:space="0" w:color="95D600"/>
              <w:right w:val="nil"/>
            </w:tcBorders>
            <w:vAlign w:val="center"/>
            <w:hideMark/>
          </w:tcPr>
          <w:p w14:paraId="26EE8065" w14:textId="77777777" w:rsidR="00A1054C" w:rsidRPr="00A1054C" w:rsidRDefault="00A1054C" w:rsidP="00A1054C">
            <w:pPr>
              <w:suppressAutoHyphens w:val="0"/>
              <w:autoSpaceDN/>
              <w:spacing w:before="0" w:after="0"/>
              <w:rPr>
                <w:rFonts w:ascii="Arial Narrow" w:hAnsi="Arial Narrow" w:cs="Calibri"/>
                <w:b/>
                <w:bCs/>
                <w:color w:val="FFFFFF"/>
                <w:sz w:val="20"/>
                <w:szCs w:val="20"/>
              </w:rPr>
            </w:pPr>
          </w:p>
        </w:tc>
        <w:tc>
          <w:tcPr>
            <w:tcW w:w="541" w:type="pct"/>
            <w:tcBorders>
              <w:top w:val="nil"/>
              <w:left w:val="nil"/>
              <w:bottom w:val="single" w:sz="12" w:space="0" w:color="95D600"/>
              <w:right w:val="nil"/>
            </w:tcBorders>
            <w:shd w:val="clear" w:color="000000" w:fill="036479"/>
            <w:vAlign w:val="center"/>
            <w:hideMark/>
          </w:tcPr>
          <w:p w14:paraId="26C079E9"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(Therms)</w:t>
            </w:r>
          </w:p>
        </w:tc>
        <w:tc>
          <w:tcPr>
            <w:tcW w:w="283" w:type="pct"/>
            <w:vMerge/>
            <w:tcBorders>
              <w:top w:val="nil"/>
              <w:left w:val="nil"/>
              <w:bottom w:val="single" w:sz="12" w:space="0" w:color="95D600"/>
              <w:right w:val="nil"/>
            </w:tcBorders>
            <w:vAlign w:val="center"/>
            <w:hideMark/>
          </w:tcPr>
          <w:p w14:paraId="4111A39B" w14:textId="77777777" w:rsidR="00A1054C" w:rsidRPr="00A1054C" w:rsidRDefault="00A1054C" w:rsidP="00A1054C">
            <w:pPr>
              <w:suppressAutoHyphens w:val="0"/>
              <w:autoSpaceDN/>
              <w:spacing w:before="0" w:after="0"/>
              <w:rPr>
                <w:rFonts w:ascii="Arial Narrow" w:hAnsi="Arial Narrow" w:cs="Calibri"/>
                <w:b/>
                <w:bCs/>
                <w:color w:val="FFFFFF"/>
                <w:sz w:val="20"/>
                <w:szCs w:val="20"/>
              </w:rPr>
            </w:pPr>
          </w:p>
        </w:tc>
        <w:tc>
          <w:tcPr>
            <w:tcW w:w="605" w:type="pct"/>
            <w:tcBorders>
              <w:top w:val="nil"/>
              <w:left w:val="nil"/>
              <w:bottom w:val="single" w:sz="12" w:space="0" w:color="95D600"/>
              <w:right w:val="nil"/>
            </w:tcBorders>
            <w:shd w:val="clear" w:color="000000" w:fill="036479"/>
            <w:vAlign w:val="center"/>
            <w:hideMark/>
          </w:tcPr>
          <w:p w14:paraId="5CBE417B"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(Therms)</w:t>
            </w:r>
          </w:p>
        </w:tc>
        <w:tc>
          <w:tcPr>
            <w:tcW w:w="652" w:type="pct"/>
            <w:tcBorders>
              <w:top w:val="nil"/>
              <w:left w:val="nil"/>
              <w:bottom w:val="single" w:sz="12" w:space="0" w:color="95D600"/>
              <w:right w:val="nil"/>
            </w:tcBorders>
            <w:shd w:val="clear" w:color="000000" w:fill="036479"/>
            <w:vAlign w:val="center"/>
            <w:hideMark/>
          </w:tcPr>
          <w:p w14:paraId="09E2F32A"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xml:space="preserve"> (% Therms)</w:t>
            </w:r>
          </w:p>
        </w:tc>
        <w:tc>
          <w:tcPr>
            <w:tcW w:w="578" w:type="pct"/>
            <w:tcBorders>
              <w:top w:val="nil"/>
              <w:left w:val="nil"/>
              <w:bottom w:val="single" w:sz="12" w:space="0" w:color="95D600"/>
              <w:right w:val="nil"/>
            </w:tcBorders>
            <w:shd w:val="clear" w:color="000000" w:fill="036479"/>
            <w:vAlign w:val="center"/>
            <w:hideMark/>
          </w:tcPr>
          <w:p w14:paraId="62973FD0"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(Therms)</w:t>
            </w:r>
          </w:p>
        </w:tc>
        <w:tc>
          <w:tcPr>
            <w:tcW w:w="510" w:type="pct"/>
            <w:tcBorders>
              <w:top w:val="nil"/>
              <w:left w:val="nil"/>
              <w:bottom w:val="single" w:sz="12" w:space="0" w:color="95D600"/>
              <w:right w:val="nil"/>
            </w:tcBorders>
            <w:shd w:val="clear" w:color="000000" w:fill="036479"/>
            <w:vAlign w:val="center"/>
            <w:hideMark/>
          </w:tcPr>
          <w:p w14:paraId="5F77F92F" w14:textId="77777777" w:rsidR="00A1054C" w:rsidRPr="00A1054C" w:rsidRDefault="00A1054C" w:rsidP="00A1054C">
            <w:pPr>
              <w:suppressAutoHyphens w:val="0"/>
              <w:autoSpaceDN/>
              <w:spacing w:before="0" w:after="0"/>
              <w:jc w:val="right"/>
              <w:rPr>
                <w:rFonts w:ascii="Arial Narrow" w:hAnsi="Arial Narrow" w:cs="Calibri"/>
                <w:b/>
                <w:bCs/>
                <w:color w:val="FFFFFF"/>
                <w:sz w:val="20"/>
                <w:szCs w:val="20"/>
              </w:rPr>
            </w:pPr>
            <w:r w:rsidRPr="00A1054C">
              <w:rPr>
                <w:rFonts w:ascii="Arial Narrow" w:hAnsi="Arial Narrow" w:cs="Calibri"/>
                <w:b/>
                <w:bCs/>
                <w:color w:val="FFFFFF"/>
                <w:sz w:val="20"/>
                <w:szCs w:val="20"/>
              </w:rPr>
              <w:t> </w:t>
            </w:r>
          </w:p>
        </w:tc>
      </w:tr>
      <w:tr w:rsidR="00A1054C" w:rsidRPr="00A1054C" w14:paraId="1705C64F" w14:textId="77777777" w:rsidTr="00A1054C">
        <w:trPr>
          <w:trHeight w:val="330"/>
        </w:trPr>
        <w:tc>
          <w:tcPr>
            <w:tcW w:w="753" w:type="pct"/>
            <w:vMerge w:val="restart"/>
            <w:tcBorders>
              <w:top w:val="nil"/>
              <w:left w:val="nil"/>
              <w:bottom w:val="nil"/>
              <w:right w:val="nil"/>
            </w:tcBorders>
            <w:shd w:val="clear" w:color="000000" w:fill="FFFFFF"/>
            <w:vAlign w:val="center"/>
            <w:hideMark/>
          </w:tcPr>
          <w:p w14:paraId="3703B841" w14:textId="77777777" w:rsidR="00A1054C" w:rsidRPr="00A1054C" w:rsidRDefault="00A1054C" w:rsidP="00A1054C">
            <w:pPr>
              <w:suppressAutoHyphens w:val="0"/>
              <w:autoSpaceDN/>
              <w:spacing w:before="0" w:after="0"/>
              <w:rPr>
                <w:rFonts w:ascii="Arial Narrow" w:hAnsi="Arial Narrow" w:cs="Arial"/>
                <w:color w:val="000000"/>
                <w:sz w:val="20"/>
                <w:szCs w:val="20"/>
              </w:rPr>
            </w:pPr>
            <w:r w:rsidRPr="00A1054C">
              <w:rPr>
                <w:rFonts w:ascii="Arial Narrow" w:hAnsi="Arial Narrow" w:cs="Arial"/>
                <w:color w:val="000000"/>
                <w:sz w:val="20"/>
                <w:szCs w:val="20"/>
              </w:rPr>
              <w:t>Coordinated Non-Residential New Construction</w:t>
            </w:r>
          </w:p>
        </w:tc>
        <w:tc>
          <w:tcPr>
            <w:tcW w:w="510" w:type="pct"/>
            <w:tcBorders>
              <w:top w:val="nil"/>
              <w:left w:val="nil"/>
              <w:bottom w:val="single" w:sz="8" w:space="0" w:color="DCDDDE"/>
              <w:right w:val="nil"/>
            </w:tcBorders>
            <w:shd w:val="clear" w:color="000000" w:fill="FFFFFF"/>
            <w:noWrap/>
            <w:vAlign w:val="center"/>
            <w:hideMark/>
          </w:tcPr>
          <w:p w14:paraId="24C06B09"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567" w:type="pct"/>
            <w:tcBorders>
              <w:top w:val="nil"/>
              <w:left w:val="nil"/>
              <w:bottom w:val="single" w:sz="8" w:space="0" w:color="DCDDDE"/>
              <w:right w:val="nil"/>
            </w:tcBorders>
            <w:shd w:val="clear" w:color="000000" w:fill="FFFFFF"/>
            <w:noWrap/>
            <w:vAlign w:val="center"/>
            <w:hideMark/>
          </w:tcPr>
          <w:p w14:paraId="04D6EE72" w14:textId="1A010849"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14</w:t>
            </w:r>
          </w:p>
        </w:tc>
        <w:tc>
          <w:tcPr>
            <w:tcW w:w="541" w:type="pct"/>
            <w:tcBorders>
              <w:top w:val="nil"/>
              <w:left w:val="nil"/>
              <w:bottom w:val="single" w:sz="8" w:space="0" w:color="DCDDDE"/>
              <w:right w:val="nil"/>
            </w:tcBorders>
            <w:shd w:val="clear" w:color="000000" w:fill="FFFFFF"/>
            <w:noWrap/>
            <w:vAlign w:val="center"/>
            <w:hideMark/>
          </w:tcPr>
          <w:p w14:paraId="44864B67" w14:textId="1F0AF543"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30,166</w:t>
            </w:r>
          </w:p>
        </w:tc>
        <w:tc>
          <w:tcPr>
            <w:tcW w:w="283" w:type="pct"/>
            <w:tcBorders>
              <w:top w:val="nil"/>
              <w:left w:val="nil"/>
              <w:bottom w:val="single" w:sz="8" w:space="0" w:color="DCDDDE"/>
              <w:right w:val="nil"/>
            </w:tcBorders>
            <w:shd w:val="clear" w:color="000000" w:fill="FFFFFF"/>
            <w:noWrap/>
            <w:vAlign w:val="center"/>
            <w:hideMark/>
          </w:tcPr>
          <w:p w14:paraId="6F078CE6" w14:textId="165C6E0E"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9</w:t>
            </w:r>
          </w:p>
        </w:tc>
        <w:tc>
          <w:tcPr>
            <w:tcW w:w="605" w:type="pct"/>
            <w:tcBorders>
              <w:top w:val="nil"/>
              <w:left w:val="nil"/>
              <w:bottom w:val="single" w:sz="8" w:space="0" w:color="DCDDDE"/>
              <w:right w:val="nil"/>
            </w:tcBorders>
            <w:shd w:val="clear" w:color="000000" w:fill="FFFFFF"/>
            <w:noWrap/>
            <w:vAlign w:val="center"/>
            <w:hideMark/>
          </w:tcPr>
          <w:p w14:paraId="0FB555A2" w14:textId="00310FE1"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15,611</w:t>
            </w:r>
          </w:p>
        </w:tc>
        <w:tc>
          <w:tcPr>
            <w:tcW w:w="652" w:type="pct"/>
            <w:tcBorders>
              <w:top w:val="nil"/>
              <w:left w:val="nil"/>
              <w:bottom w:val="single" w:sz="8" w:space="0" w:color="DCDDDE"/>
              <w:right w:val="nil"/>
            </w:tcBorders>
            <w:shd w:val="clear" w:color="000000" w:fill="FFFFFF"/>
            <w:vAlign w:val="center"/>
            <w:hideMark/>
          </w:tcPr>
          <w:p w14:paraId="3AA2E7EA"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52%</w:t>
            </w:r>
          </w:p>
        </w:tc>
        <w:tc>
          <w:tcPr>
            <w:tcW w:w="578" w:type="pct"/>
            <w:tcBorders>
              <w:top w:val="nil"/>
              <w:left w:val="nil"/>
              <w:bottom w:val="single" w:sz="8" w:space="0" w:color="DCDDDE"/>
              <w:right w:val="nil"/>
            </w:tcBorders>
            <w:shd w:val="clear" w:color="000000" w:fill="FFFFFF"/>
            <w:noWrap/>
            <w:vAlign w:val="center"/>
            <w:hideMark/>
          </w:tcPr>
          <w:p w14:paraId="16A7E177" w14:textId="753AD838" w:rsidR="00A1054C" w:rsidRPr="00A1054C" w:rsidRDefault="00A1054C" w:rsidP="00A1054C">
            <w:pPr>
              <w:suppressAutoHyphens w:val="0"/>
              <w:autoSpaceDN/>
              <w:spacing w:before="0" w:after="0"/>
              <w:jc w:val="right"/>
              <w:rPr>
                <w:rFonts w:ascii="Arial Narrow" w:hAnsi="Arial Narrow" w:cs="Calibri"/>
                <w:color w:val="000000"/>
                <w:sz w:val="20"/>
                <w:szCs w:val="20"/>
              </w:rPr>
            </w:pPr>
          </w:p>
        </w:tc>
        <w:tc>
          <w:tcPr>
            <w:tcW w:w="510" w:type="pct"/>
            <w:tcBorders>
              <w:top w:val="nil"/>
              <w:left w:val="nil"/>
              <w:bottom w:val="single" w:sz="8" w:space="0" w:color="DCDDDE"/>
              <w:right w:val="nil"/>
            </w:tcBorders>
            <w:shd w:val="clear" w:color="000000" w:fill="FFFFFF"/>
            <w:noWrap/>
            <w:vAlign w:val="center"/>
            <w:hideMark/>
          </w:tcPr>
          <w:p w14:paraId="41814375" w14:textId="6D85BFFF" w:rsidR="00A1054C" w:rsidRPr="00A1054C" w:rsidRDefault="00A1054C" w:rsidP="00A1054C">
            <w:pPr>
              <w:suppressAutoHyphens w:val="0"/>
              <w:autoSpaceDN/>
              <w:spacing w:before="0" w:after="0"/>
              <w:jc w:val="right"/>
              <w:rPr>
                <w:rFonts w:ascii="Arial Narrow" w:hAnsi="Arial Narrow" w:cs="Calibri"/>
                <w:color w:val="000000"/>
                <w:sz w:val="20"/>
                <w:szCs w:val="20"/>
              </w:rPr>
            </w:pPr>
          </w:p>
        </w:tc>
      </w:tr>
      <w:tr w:rsidR="00A1054C" w:rsidRPr="00A1054C" w14:paraId="2EDDFDFF" w14:textId="77777777" w:rsidTr="00A1054C">
        <w:trPr>
          <w:trHeight w:val="315"/>
        </w:trPr>
        <w:tc>
          <w:tcPr>
            <w:tcW w:w="753" w:type="pct"/>
            <w:vMerge/>
            <w:tcBorders>
              <w:top w:val="nil"/>
              <w:left w:val="nil"/>
              <w:bottom w:val="nil"/>
              <w:right w:val="nil"/>
            </w:tcBorders>
            <w:vAlign w:val="center"/>
            <w:hideMark/>
          </w:tcPr>
          <w:p w14:paraId="53958044" w14:textId="77777777" w:rsidR="00A1054C" w:rsidRPr="00A1054C" w:rsidRDefault="00A1054C" w:rsidP="00A1054C">
            <w:pPr>
              <w:suppressAutoHyphens w:val="0"/>
              <w:autoSpaceDN/>
              <w:spacing w:before="0" w:after="0"/>
              <w:rPr>
                <w:rFonts w:cs="Arial"/>
                <w:color w:val="000000"/>
                <w:sz w:val="20"/>
                <w:szCs w:val="20"/>
              </w:rPr>
            </w:pPr>
          </w:p>
        </w:tc>
        <w:tc>
          <w:tcPr>
            <w:tcW w:w="510" w:type="pct"/>
            <w:tcBorders>
              <w:top w:val="nil"/>
              <w:left w:val="nil"/>
              <w:bottom w:val="single" w:sz="8" w:space="0" w:color="DCDDDE"/>
              <w:right w:val="nil"/>
            </w:tcBorders>
            <w:shd w:val="clear" w:color="000000" w:fill="FFFFFF"/>
            <w:noWrap/>
            <w:vAlign w:val="center"/>
            <w:hideMark/>
          </w:tcPr>
          <w:p w14:paraId="29669A0E"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2</w:t>
            </w:r>
          </w:p>
        </w:tc>
        <w:tc>
          <w:tcPr>
            <w:tcW w:w="567" w:type="pct"/>
            <w:tcBorders>
              <w:top w:val="nil"/>
              <w:left w:val="nil"/>
              <w:bottom w:val="single" w:sz="8" w:space="0" w:color="DCDDDE"/>
              <w:right w:val="nil"/>
            </w:tcBorders>
            <w:shd w:val="clear" w:color="000000" w:fill="FFFFFF"/>
            <w:noWrap/>
            <w:vAlign w:val="center"/>
            <w:hideMark/>
          </w:tcPr>
          <w:p w14:paraId="6030CD65" w14:textId="539261B2"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8</w:t>
            </w:r>
          </w:p>
        </w:tc>
        <w:tc>
          <w:tcPr>
            <w:tcW w:w="541" w:type="pct"/>
            <w:tcBorders>
              <w:top w:val="nil"/>
              <w:left w:val="nil"/>
              <w:bottom w:val="single" w:sz="8" w:space="0" w:color="DCDDDE"/>
              <w:right w:val="nil"/>
            </w:tcBorders>
            <w:shd w:val="clear" w:color="000000" w:fill="FFFFFF"/>
            <w:noWrap/>
            <w:vAlign w:val="center"/>
            <w:hideMark/>
          </w:tcPr>
          <w:p w14:paraId="4B449261" w14:textId="67FBBA3A"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86,607</w:t>
            </w:r>
          </w:p>
        </w:tc>
        <w:tc>
          <w:tcPr>
            <w:tcW w:w="283" w:type="pct"/>
            <w:tcBorders>
              <w:top w:val="nil"/>
              <w:left w:val="nil"/>
              <w:bottom w:val="single" w:sz="8" w:space="0" w:color="DCDDDE"/>
              <w:right w:val="nil"/>
            </w:tcBorders>
            <w:shd w:val="clear" w:color="000000" w:fill="FFFFFF"/>
            <w:noWrap/>
            <w:vAlign w:val="center"/>
            <w:hideMark/>
          </w:tcPr>
          <w:p w14:paraId="20B0624A" w14:textId="6B445C79"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6</w:t>
            </w:r>
          </w:p>
        </w:tc>
        <w:tc>
          <w:tcPr>
            <w:tcW w:w="605" w:type="pct"/>
            <w:tcBorders>
              <w:top w:val="nil"/>
              <w:left w:val="nil"/>
              <w:bottom w:val="single" w:sz="8" w:space="0" w:color="DCDDDE"/>
              <w:right w:val="nil"/>
            </w:tcBorders>
            <w:shd w:val="clear" w:color="000000" w:fill="FFFFFF"/>
            <w:noWrap/>
            <w:vAlign w:val="center"/>
            <w:hideMark/>
          </w:tcPr>
          <w:p w14:paraId="29B77C90" w14:textId="669108E3"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74,918</w:t>
            </w:r>
          </w:p>
        </w:tc>
        <w:tc>
          <w:tcPr>
            <w:tcW w:w="652" w:type="pct"/>
            <w:tcBorders>
              <w:top w:val="nil"/>
              <w:left w:val="nil"/>
              <w:bottom w:val="single" w:sz="8" w:space="0" w:color="DCDDDE"/>
              <w:right w:val="nil"/>
            </w:tcBorders>
            <w:shd w:val="clear" w:color="000000" w:fill="FFFFFF"/>
            <w:vAlign w:val="center"/>
            <w:hideMark/>
          </w:tcPr>
          <w:p w14:paraId="7F326551"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87%</w:t>
            </w:r>
          </w:p>
        </w:tc>
        <w:tc>
          <w:tcPr>
            <w:tcW w:w="578" w:type="pct"/>
            <w:tcBorders>
              <w:top w:val="nil"/>
              <w:left w:val="nil"/>
              <w:bottom w:val="single" w:sz="8" w:space="0" w:color="DCDDDE"/>
              <w:right w:val="nil"/>
            </w:tcBorders>
            <w:shd w:val="clear" w:color="000000" w:fill="FFFFFF"/>
            <w:vAlign w:val="center"/>
            <w:hideMark/>
          </w:tcPr>
          <w:p w14:paraId="4B65DFCB" w14:textId="650EDA02" w:rsidR="00A1054C" w:rsidRPr="00A1054C" w:rsidRDefault="00A1054C" w:rsidP="00A1054C">
            <w:pPr>
              <w:suppressAutoHyphens w:val="0"/>
              <w:autoSpaceDN/>
              <w:spacing w:before="0" w:after="0"/>
              <w:jc w:val="right"/>
              <w:rPr>
                <w:rFonts w:ascii="Arial Narrow" w:hAnsi="Arial Narrow" w:cs="Calibri"/>
                <w:color w:val="000000"/>
                <w:sz w:val="20"/>
                <w:szCs w:val="20"/>
              </w:rPr>
            </w:pPr>
          </w:p>
        </w:tc>
        <w:tc>
          <w:tcPr>
            <w:tcW w:w="510" w:type="pct"/>
            <w:tcBorders>
              <w:top w:val="nil"/>
              <w:left w:val="nil"/>
              <w:bottom w:val="single" w:sz="8" w:space="0" w:color="DCDDDE"/>
              <w:right w:val="nil"/>
            </w:tcBorders>
            <w:shd w:val="clear" w:color="000000" w:fill="FFFFFF"/>
            <w:vAlign w:val="center"/>
            <w:hideMark/>
          </w:tcPr>
          <w:p w14:paraId="1E4742E5" w14:textId="05CE6E00" w:rsidR="00A1054C" w:rsidRPr="00A1054C" w:rsidRDefault="00A1054C" w:rsidP="00A1054C">
            <w:pPr>
              <w:suppressAutoHyphens w:val="0"/>
              <w:autoSpaceDN/>
              <w:spacing w:before="0" w:after="0"/>
              <w:jc w:val="right"/>
              <w:rPr>
                <w:rFonts w:ascii="Arial Narrow" w:hAnsi="Arial Narrow" w:cs="Calibri"/>
                <w:color w:val="000000"/>
                <w:sz w:val="20"/>
                <w:szCs w:val="20"/>
              </w:rPr>
            </w:pPr>
          </w:p>
        </w:tc>
      </w:tr>
      <w:tr w:rsidR="00A1054C" w:rsidRPr="00A1054C" w14:paraId="23A1F1FB" w14:textId="77777777" w:rsidTr="00A1054C">
        <w:trPr>
          <w:trHeight w:val="315"/>
        </w:trPr>
        <w:tc>
          <w:tcPr>
            <w:tcW w:w="753" w:type="pct"/>
            <w:vMerge/>
            <w:tcBorders>
              <w:top w:val="nil"/>
              <w:left w:val="nil"/>
              <w:bottom w:val="nil"/>
              <w:right w:val="nil"/>
            </w:tcBorders>
            <w:vAlign w:val="center"/>
            <w:hideMark/>
          </w:tcPr>
          <w:p w14:paraId="1565D8F6" w14:textId="77777777" w:rsidR="00A1054C" w:rsidRPr="00A1054C" w:rsidRDefault="00A1054C" w:rsidP="00A1054C">
            <w:pPr>
              <w:suppressAutoHyphens w:val="0"/>
              <w:autoSpaceDN/>
              <w:spacing w:before="0" w:after="0"/>
              <w:rPr>
                <w:rFonts w:cs="Arial"/>
                <w:color w:val="000000"/>
                <w:sz w:val="20"/>
                <w:szCs w:val="20"/>
              </w:rPr>
            </w:pPr>
          </w:p>
        </w:tc>
        <w:tc>
          <w:tcPr>
            <w:tcW w:w="510" w:type="pct"/>
            <w:tcBorders>
              <w:top w:val="nil"/>
              <w:left w:val="nil"/>
              <w:bottom w:val="single" w:sz="8" w:space="0" w:color="DCDDDE"/>
              <w:right w:val="nil"/>
            </w:tcBorders>
            <w:shd w:val="clear" w:color="000000" w:fill="FFFFFF"/>
            <w:noWrap/>
            <w:vAlign w:val="center"/>
            <w:hideMark/>
          </w:tcPr>
          <w:p w14:paraId="7F41071E"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3</w:t>
            </w:r>
          </w:p>
        </w:tc>
        <w:tc>
          <w:tcPr>
            <w:tcW w:w="567" w:type="pct"/>
            <w:tcBorders>
              <w:top w:val="nil"/>
              <w:left w:val="nil"/>
              <w:bottom w:val="single" w:sz="8" w:space="0" w:color="DCDDDE"/>
              <w:right w:val="nil"/>
            </w:tcBorders>
            <w:shd w:val="clear" w:color="000000" w:fill="FFFFFF"/>
            <w:noWrap/>
            <w:vAlign w:val="center"/>
            <w:hideMark/>
          </w:tcPr>
          <w:p w14:paraId="7CBAFB1D" w14:textId="58147073"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w:t>
            </w:r>
          </w:p>
        </w:tc>
        <w:tc>
          <w:tcPr>
            <w:tcW w:w="541" w:type="pct"/>
            <w:tcBorders>
              <w:top w:val="nil"/>
              <w:left w:val="nil"/>
              <w:bottom w:val="single" w:sz="8" w:space="0" w:color="DCDDDE"/>
              <w:right w:val="nil"/>
            </w:tcBorders>
            <w:shd w:val="clear" w:color="000000" w:fill="FFFFFF"/>
            <w:noWrap/>
            <w:vAlign w:val="center"/>
            <w:hideMark/>
          </w:tcPr>
          <w:p w14:paraId="2C40730F" w14:textId="3DBD8F9C"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231,253</w:t>
            </w:r>
          </w:p>
        </w:tc>
        <w:tc>
          <w:tcPr>
            <w:tcW w:w="283" w:type="pct"/>
            <w:tcBorders>
              <w:top w:val="nil"/>
              <w:left w:val="nil"/>
              <w:bottom w:val="single" w:sz="8" w:space="0" w:color="DCDDDE"/>
              <w:right w:val="nil"/>
            </w:tcBorders>
            <w:shd w:val="clear" w:color="000000" w:fill="FFFFFF"/>
            <w:noWrap/>
            <w:vAlign w:val="center"/>
            <w:hideMark/>
          </w:tcPr>
          <w:p w14:paraId="3F8AD31A" w14:textId="75732A94"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w:t>
            </w:r>
          </w:p>
        </w:tc>
        <w:tc>
          <w:tcPr>
            <w:tcW w:w="605" w:type="pct"/>
            <w:tcBorders>
              <w:top w:val="nil"/>
              <w:left w:val="nil"/>
              <w:bottom w:val="single" w:sz="8" w:space="0" w:color="DCDDDE"/>
              <w:right w:val="nil"/>
            </w:tcBorders>
            <w:shd w:val="clear" w:color="000000" w:fill="FFFFFF"/>
            <w:noWrap/>
            <w:vAlign w:val="center"/>
            <w:hideMark/>
          </w:tcPr>
          <w:p w14:paraId="4BD15F51" w14:textId="40BC89F2"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231,253</w:t>
            </w:r>
          </w:p>
        </w:tc>
        <w:tc>
          <w:tcPr>
            <w:tcW w:w="652" w:type="pct"/>
            <w:tcBorders>
              <w:top w:val="nil"/>
              <w:left w:val="nil"/>
              <w:bottom w:val="single" w:sz="8" w:space="0" w:color="DCDDDE"/>
              <w:right w:val="nil"/>
            </w:tcBorders>
            <w:shd w:val="clear" w:color="000000" w:fill="FFFFFF"/>
            <w:vAlign w:val="center"/>
            <w:hideMark/>
          </w:tcPr>
          <w:p w14:paraId="3A427C38"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100%</w:t>
            </w:r>
          </w:p>
        </w:tc>
        <w:tc>
          <w:tcPr>
            <w:tcW w:w="578" w:type="pct"/>
            <w:tcBorders>
              <w:top w:val="nil"/>
              <w:left w:val="nil"/>
              <w:bottom w:val="single" w:sz="8" w:space="0" w:color="DCDDDE"/>
              <w:right w:val="nil"/>
            </w:tcBorders>
            <w:shd w:val="clear" w:color="000000" w:fill="FFFFFF"/>
            <w:vAlign w:val="center"/>
            <w:hideMark/>
          </w:tcPr>
          <w:p w14:paraId="23A4495C" w14:textId="1C04DB30" w:rsidR="00A1054C" w:rsidRPr="00A1054C" w:rsidRDefault="00A1054C" w:rsidP="00A1054C">
            <w:pPr>
              <w:suppressAutoHyphens w:val="0"/>
              <w:autoSpaceDN/>
              <w:spacing w:before="0" w:after="0"/>
              <w:jc w:val="right"/>
              <w:rPr>
                <w:rFonts w:ascii="Arial Narrow" w:hAnsi="Arial Narrow" w:cs="Calibri"/>
                <w:color w:val="000000"/>
                <w:sz w:val="20"/>
                <w:szCs w:val="20"/>
              </w:rPr>
            </w:pPr>
          </w:p>
        </w:tc>
        <w:tc>
          <w:tcPr>
            <w:tcW w:w="510" w:type="pct"/>
            <w:tcBorders>
              <w:top w:val="nil"/>
              <w:left w:val="nil"/>
              <w:bottom w:val="single" w:sz="8" w:space="0" w:color="DCDDDE"/>
              <w:right w:val="nil"/>
            </w:tcBorders>
            <w:shd w:val="clear" w:color="000000" w:fill="FFFFFF"/>
            <w:vAlign w:val="center"/>
            <w:hideMark/>
          </w:tcPr>
          <w:p w14:paraId="709F202A" w14:textId="015984DA" w:rsidR="00A1054C" w:rsidRPr="00A1054C" w:rsidRDefault="00A1054C" w:rsidP="00A1054C">
            <w:pPr>
              <w:suppressAutoHyphens w:val="0"/>
              <w:autoSpaceDN/>
              <w:spacing w:before="0" w:after="0"/>
              <w:jc w:val="right"/>
              <w:rPr>
                <w:rFonts w:ascii="Arial Narrow" w:hAnsi="Arial Narrow" w:cs="Calibri"/>
                <w:color w:val="000000"/>
                <w:sz w:val="20"/>
                <w:szCs w:val="20"/>
              </w:rPr>
            </w:pPr>
          </w:p>
        </w:tc>
      </w:tr>
      <w:tr w:rsidR="00A1054C" w:rsidRPr="00A1054C" w14:paraId="63A7C32A" w14:textId="77777777" w:rsidTr="00A1054C">
        <w:trPr>
          <w:trHeight w:val="315"/>
        </w:trPr>
        <w:tc>
          <w:tcPr>
            <w:tcW w:w="753" w:type="pct"/>
            <w:vMerge/>
            <w:tcBorders>
              <w:top w:val="nil"/>
              <w:left w:val="nil"/>
              <w:bottom w:val="nil"/>
              <w:right w:val="nil"/>
            </w:tcBorders>
            <w:vAlign w:val="center"/>
            <w:hideMark/>
          </w:tcPr>
          <w:p w14:paraId="16CCF471" w14:textId="77777777" w:rsidR="00A1054C" w:rsidRPr="00A1054C" w:rsidRDefault="00A1054C" w:rsidP="00A1054C">
            <w:pPr>
              <w:suppressAutoHyphens w:val="0"/>
              <w:autoSpaceDN/>
              <w:spacing w:before="0" w:after="0"/>
              <w:rPr>
                <w:rFonts w:cs="Arial"/>
                <w:color w:val="000000"/>
                <w:sz w:val="20"/>
                <w:szCs w:val="20"/>
              </w:rPr>
            </w:pPr>
          </w:p>
        </w:tc>
        <w:tc>
          <w:tcPr>
            <w:tcW w:w="510" w:type="pct"/>
            <w:tcBorders>
              <w:top w:val="nil"/>
              <w:left w:val="nil"/>
              <w:bottom w:val="single" w:sz="8" w:space="0" w:color="DCDDDE"/>
              <w:right w:val="nil"/>
            </w:tcBorders>
            <w:shd w:val="clear" w:color="000000" w:fill="FFFFFF"/>
            <w:noWrap/>
            <w:vAlign w:val="center"/>
            <w:hideMark/>
          </w:tcPr>
          <w:p w14:paraId="4FCA46C0"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Certainty</w:t>
            </w:r>
          </w:p>
        </w:tc>
        <w:tc>
          <w:tcPr>
            <w:tcW w:w="567" w:type="pct"/>
            <w:tcBorders>
              <w:top w:val="nil"/>
              <w:left w:val="nil"/>
              <w:bottom w:val="single" w:sz="8" w:space="0" w:color="DCDDDE"/>
              <w:right w:val="nil"/>
            </w:tcBorders>
            <w:shd w:val="clear" w:color="000000" w:fill="FFFFFF"/>
            <w:noWrap/>
            <w:vAlign w:val="center"/>
            <w:hideMark/>
          </w:tcPr>
          <w:p w14:paraId="1E091A54" w14:textId="5763CCE4"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541" w:type="pct"/>
            <w:tcBorders>
              <w:top w:val="nil"/>
              <w:left w:val="nil"/>
              <w:bottom w:val="single" w:sz="8" w:space="0" w:color="DCDDDE"/>
              <w:right w:val="nil"/>
            </w:tcBorders>
            <w:shd w:val="clear" w:color="000000" w:fill="FFFFFF"/>
            <w:noWrap/>
            <w:vAlign w:val="center"/>
            <w:hideMark/>
          </w:tcPr>
          <w:p w14:paraId="5E43D58A" w14:textId="75F5045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33,509</w:t>
            </w:r>
          </w:p>
        </w:tc>
        <w:tc>
          <w:tcPr>
            <w:tcW w:w="283" w:type="pct"/>
            <w:tcBorders>
              <w:top w:val="nil"/>
              <w:left w:val="nil"/>
              <w:bottom w:val="single" w:sz="8" w:space="0" w:color="DCDDDE"/>
              <w:right w:val="nil"/>
            </w:tcBorders>
            <w:shd w:val="clear" w:color="000000" w:fill="FFFFFF"/>
            <w:noWrap/>
            <w:vAlign w:val="center"/>
            <w:hideMark/>
          </w:tcPr>
          <w:p w14:paraId="6B6404D8" w14:textId="4D3D0C1A"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w:t>
            </w:r>
          </w:p>
        </w:tc>
        <w:tc>
          <w:tcPr>
            <w:tcW w:w="605" w:type="pct"/>
            <w:tcBorders>
              <w:top w:val="nil"/>
              <w:left w:val="nil"/>
              <w:bottom w:val="single" w:sz="8" w:space="0" w:color="DCDDDE"/>
              <w:right w:val="nil"/>
            </w:tcBorders>
            <w:shd w:val="clear" w:color="000000" w:fill="FFFFFF"/>
            <w:noWrap/>
            <w:vAlign w:val="center"/>
            <w:hideMark/>
          </w:tcPr>
          <w:p w14:paraId="771ABA04" w14:textId="18DB5F7A"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33,509</w:t>
            </w:r>
          </w:p>
        </w:tc>
        <w:tc>
          <w:tcPr>
            <w:tcW w:w="652" w:type="pct"/>
            <w:tcBorders>
              <w:top w:val="nil"/>
              <w:left w:val="nil"/>
              <w:bottom w:val="single" w:sz="8" w:space="0" w:color="DCDDDE"/>
              <w:right w:val="nil"/>
            </w:tcBorders>
            <w:shd w:val="clear" w:color="000000" w:fill="FFFFFF"/>
            <w:vAlign w:val="center"/>
            <w:hideMark/>
          </w:tcPr>
          <w:p w14:paraId="575F2CDA" w14:textId="77777777" w:rsidR="00A1054C" w:rsidRPr="00A1054C" w:rsidRDefault="00A1054C" w:rsidP="00A1054C">
            <w:pPr>
              <w:suppressAutoHyphens w:val="0"/>
              <w:autoSpaceDN/>
              <w:spacing w:before="0" w:after="0"/>
              <w:jc w:val="right"/>
              <w:rPr>
                <w:rFonts w:ascii="Arial Narrow" w:hAnsi="Arial Narrow" w:cs="Calibri"/>
                <w:color w:val="000000"/>
                <w:sz w:val="20"/>
                <w:szCs w:val="20"/>
              </w:rPr>
            </w:pPr>
            <w:r w:rsidRPr="00A1054C">
              <w:rPr>
                <w:rFonts w:ascii="Arial Narrow" w:hAnsi="Arial Narrow" w:cs="Calibri"/>
                <w:color w:val="000000"/>
                <w:sz w:val="20"/>
                <w:szCs w:val="20"/>
              </w:rPr>
              <w:t>100%</w:t>
            </w:r>
          </w:p>
        </w:tc>
        <w:tc>
          <w:tcPr>
            <w:tcW w:w="578" w:type="pct"/>
            <w:tcBorders>
              <w:top w:val="nil"/>
              <w:left w:val="nil"/>
              <w:bottom w:val="single" w:sz="8" w:space="0" w:color="DCDDDE"/>
              <w:right w:val="nil"/>
            </w:tcBorders>
            <w:shd w:val="clear" w:color="000000" w:fill="FFFFFF"/>
            <w:vAlign w:val="center"/>
            <w:hideMark/>
          </w:tcPr>
          <w:p w14:paraId="79489BB5" w14:textId="32EA8936" w:rsidR="00A1054C" w:rsidRPr="00A1054C" w:rsidRDefault="00A1054C" w:rsidP="00A1054C">
            <w:pPr>
              <w:suppressAutoHyphens w:val="0"/>
              <w:autoSpaceDN/>
              <w:spacing w:before="0" w:after="0"/>
              <w:jc w:val="right"/>
              <w:rPr>
                <w:rFonts w:ascii="Arial Narrow" w:hAnsi="Arial Narrow" w:cs="Calibri"/>
                <w:color w:val="000000"/>
                <w:sz w:val="20"/>
                <w:szCs w:val="20"/>
              </w:rPr>
            </w:pPr>
          </w:p>
        </w:tc>
        <w:tc>
          <w:tcPr>
            <w:tcW w:w="510" w:type="pct"/>
            <w:tcBorders>
              <w:top w:val="nil"/>
              <w:left w:val="nil"/>
              <w:bottom w:val="single" w:sz="8" w:space="0" w:color="DCDDDE"/>
              <w:right w:val="nil"/>
            </w:tcBorders>
            <w:shd w:val="clear" w:color="000000" w:fill="FFFFFF"/>
            <w:vAlign w:val="center"/>
            <w:hideMark/>
          </w:tcPr>
          <w:p w14:paraId="718A59E6" w14:textId="6A9EB7CD" w:rsidR="00A1054C" w:rsidRPr="00A1054C" w:rsidRDefault="00A1054C" w:rsidP="00A1054C">
            <w:pPr>
              <w:suppressAutoHyphens w:val="0"/>
              <w:autoSpaceDN/>
              <w:spacing w:before="0" w:after="0"/>
              <w:jc w:val="right"/>
              <w:rPr>
                <w:rFonts w:ascii="Arial Narrow" w:hAnsi="Arial Narrow" w:cs="Calibri"/>
                <w:color w:val="000000"/>
                <w:sz w:val="20"/>
                <w:szCs w:val="20"/>
              </w:rPr>
            </w:pPr>
          </w:p>
        </w:tc>
      </w:tr>
      <w:tr w:rsidR="00A1054C" w:rsidRPr="00A1054C" w14:paraId="3D7821FD" w14:textId="77777777" w:rsidTr="00A1054C">
        <w:trPr>
          <w:trHeight w:val="315"/>
        </w:trPr>
        <w:tc>
          <w:tcPr>
            <w:tcW w:w="753" w:type="pct"/>
            <w:tcBorders>
              <w:top w:val="nil"/>
              <w:left w:val="nil"/>
              <w:bottom w:val="single" w:sz="8" w:space="0" w:color="545759"/>
              <w:right w:val="nil"/>
            </w:tcBorders>
            <w:shd w:val="clear" w:color="000000" w:fill="FFFFFF"/>
            <w:noWrap/>
            <w:vAlign w:val="center"/>
            <w:hideMark/>
          </w:tcPr>
          <w:p w14:paraId="35F710C7" w14:textId="77777777" w:rsidR="00A1054C" w:rsidRPr="00A1054C" w:rsidRDefault="00A1054C" w:rsidP="00A1054C">
            <w:pPr>
              <w:suppressAutoHyphens w:val="0"/>
              <w:autoSpaceDN/>
              <w:spacing w:before="0" w:after="0"/>
              <w:jc w:val="center"/>
              <w:rPr>
                <w:rFonts w:ascii="Arial Narrow" w:hAnsi="Arial Narrow" w:cs="Calibri"/>
                <w:b/>
                <w:bCs/>
                <w:color w:val="000000"/>
                <w:sz w:val="20"/>
                <w:szCs w:val="20"/>
              </w:rPr>
            </w:pPr>
            <w:r w:rsidRPr="00A1054C">
              <w:rPr>
                <w:rFonts w:ascii="Arial Narrow" w:hAnsi="Arial Narrow" w:cs="Calibri"/>
                <w:b/>
                <w:bCs/>
                <w:color w:val="000000"/>
                <w:sz w:val="20"/>
                <w:szCs w:val="20"/>
              </w:rPr>
              <w:t>Total</w:t>
            </w:r>
          </w:p>
        </w:tc>
        <w:tc>
          <w:tcPr>
            <w:tcW w:w="510" w:type="pct"/>
            <w:tcBorders>
              <w:top w:val="nil"/>
              <w:left w:val="nil"/>
              <w:bottom w:val="single" w:sz="8" w:space="0" w:color="545759"/>
              <w:right w:val="nil"/>
            </w:tcBorders>
            <w:shd w:val="clear" w:color="000000" w:fill="FFFFFF"/>
            <w:noWrap/>
            <w:vAlign w:val="center"/>
            <w:hideMark/>
          </w:tcPr>
          <w:p w14:paraId="624B790F" w14:textId="65FE35D9" w:rsidR="00A1054C" w:rsidRPr="00A1054C" w:rsidRDefault="00A1054C" w:rsidP="00A1054C">
            <w:pPr>
              <w:suppressAutoHyphens w:val="0"/>
              <w:autoSpaceDN/>
              <w:spacing w:before="0" w:after="0"/>
              <w:jc w:val="right"/>
              <w:rPr>
                <w:rFonts w:ascii="Arial Narrow" w:hAnsi="Arial Narrow" w:cs="Calibri"/>
                <w:b/>
                <w:bCs/>
                <w:color w:val="000000"/>
                <w:sz w:val="20"/>
                <w:szCs w:val="20"/>
              </w:rPr>
            </w:pPr>
          </w:p>
        </w:tc>
        <w:tc>
          <w:tcPr>
            <w:tcW w:w="567" w:type="pct"/>
            <w:tcBorders>
              <w:top w:val="nil"/>
              <w:left w:val="nil"/>
              <w:bottom w:val="single" w:sz="8" w:space="0" w:color="545759"/>
              <w:right w:val="nil"/>
            </w:tcBorders>
            <w:shd w:val="clear" w:color="000000" w:fill="FFFFFF"/>
            <w:noWrap/>
            <w:vAlign w:val="center"/>
            <w:hideMark/>
          </w:tcPr>
          <w:p w14:paraId="04701B54" w14:textId="039ED78A"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33</w:t>
            </w:r>
          </w:p>
        </w:tc>
        <w:tc>
          <w:tcPr>
            <w:tcW w:w="541" w:type="pct"/>
            <w:tcBorders>
              <w:top w:val="nil"/>
              <w:left w:val="nil"/>
              <w:bottom w:val="single" w:sz="8" w:space="0" w:color="545759"/>
              <w:right w:val="nil"/>
            </w:tcBorders>
            <w:shd w:val="clear" w:color="000000" w:fill="FFFFFF"/>
            <w:noWrap/>
            <w:vAlign w:val="center"/>
            <w:hideMark/>
          </w:tcPr>
          <w:p w14:paraId="5BD5280D" w14:textId="6FFF7FA2"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381,535</w:t>
            </w:r>
          </w:p>
        </w:tc>
        <w:tc>
          <w:tcPr>
            <w:tcW w:w="283" w:type="pct"/>
            <w:tcBorders>
              <w:top w:val="nil"/>
              <w:left w:val="nil"/>
              <w:bottom w:val="single" w:sz="8" w:space="0" w:color="545759"/>
              <w:right w:val="nil"/>
            </w:tcBorders>
            <w:shd w:val="clear" w:color="000000" w:fill="FFFFFF"/>
            <w:noWrap/>
            <w:vAlign w:val="center"/>
            <w:hideMark/>
          </w:tcPr>
          <w:p w14:paraId="1B6E5FF4" w14:textId="51DD68B2"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26</w:t>
            </w:r>
          </w:p>
        </w:tc>
        <w:tc>
          <w:tcPr>
            <w:tcW w:w="605" w:type="pct"/>
            <w:tcBorders>
              <w:top w:val="nil"/>
              <w:left w:val="nil"/>
              <w:bottom w:val="single" w:sz="8" w:space="0" w:color="545759"/>
              <w:right w:val="nil"/>
            </w:tcBorders>
            <w:shd w:val="clear" w:color="000000" w:fill="FFFFFF"/>
            <w:noWrap/>
            <w:vAlign w:val="center"/>
            <w:hideMark/>
          </w:tcPr>
          <w:p w14:paraId="7463D653" w14:textId="2974AE41"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355,291</w:t>
            </w:r>
          </w:p>
        </w:tc>
        <w:tc>
          <w:tcPr>
            <w:tcW w:w="652" w:type="pct"/>
            <w:tcBorders>
              <w:top w:val="nil"/>
              <w:left w:val="nil"/>
              <w:bottom w:val="single" w:sz="8" w:space="0" w:color="545759"/>
              <w:right w:val="nil"/>
            </w:tcBorders>
            <w:shd w:val="clear" w:color="000000" w:fill="FFFFFF"/>
            <w:noWrap/>
            <w:vAlign w:val="center"/>
            <w:hideMark/>
          </w:tcPr>
          <w:p w14:paraId="35222151"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93%</w:t>
            </w:r>
          </w:p>
        </w:tc>
        <w:tc>
          <w:tcPr>
            <w:tcW w:w="578" w:type="pct"/>
            <w:tcBorders>
              <w:top w:val="nil"/>
              <w:left w:val="nil"/>
              <w:bottom w:val="single" w:sz="8" w:space="0" w:color="545759"/>
              <w:right w:val="nil"/>
            </w:tcBorders>
            <w:shd w:val="clear" w:color="000000" w:fill="FFFFFF"/>
            <w:vAlign w:val="center"/>
            <w:hideMark/>
          </w:tcPr>
          <w:p w14:paraId="7965014E"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1.01</w:t>
            </w:r>
          </w:p>
        </w:tc>
        <w:tc>
          <w:tcPr>
            <w:tcW w:w="510" w:type="pct"/>
            <w:tcBorders>
              <w:top w:val="nil"/>
              <w:left w:val="nil"/>
              <w:bottom w:val="single" w:sz="8" w:space="0" w:color="545759"/>
              <w:right w:val="nil"/>
            </w:tcBorders>
            <w:shd w:val="clear" w:color="000000" w:fill="FFFFFF"/>
            <w:vAlign w:val="center"/>
            <w:hideMark/>
          </w:tcPr>
          <w:p w14:paraId="32F00838" w14:textId="77777777" w:rsidR="00A1054C" w:rsidRPr="00A1054C" w:rsidRDefault="00A1054C" w:rsidP="00A1054C">
            <w:pPr>
              <w:suppressAutoHyphens w:val="0"/>
              <w:autoSpaceDN/>
              <w:spacing w:before="0" w:after="0"/>
              <w:jc w:val="right"/>
              <w:rPr>
                <w:rFonts w:ascii="Arial Narrow" w:hAnsi="Arial Narrow" w:cs="Calibri"/>
                <w:b/>
                <w:bCs/>
                <w:color w:val="000000"/>
                <w:sz w:val="20"/>
                <w:szCs w:val="20"/>
              </w:rPr>
            </w:pPr>
            <w:r w:rsidRPr="00A1054C">
              <w:rPr>
                <w:rFonts w:ascii="Arial Narrow" w:hAnsi="Arial Narrow" w:cs="Calibri"/>
                <w:b/>
                <w:bCs/>
                <w:color w:val="000000"/>
                <w:sz w:val="20"/>
                <w:szCs w:val="20"/>
              </w:rPr>
              <w:t>0.5%</w:t>
            </w:r>
          </w:p>
        </w:tc>
      </w:tr>
    </w:tbl>
    <w:p w14:paraId="1CB382AB" w14:textId="77777777" w:rsidR="00A1054C" w:rsidRPr="00A1054C" w:rsidRDefault="00A1054C" w:rsidP="00A1054C">
      <w:pPr>
        <w:tabs>
          <w:tab w:val="left" w:pos="8820"/>
        </w:tabs>
        <w:spacing w:before="0" w:after="0"/>
        <w:rPr>
          <w:sz w:val="18"/>
          <w:szCs w:val="18"/>
        </w:rPr>
      </w:pPr>
      <w:r w:rsidRPr="00A1054C">
        <w:rPr>
          <w:sz w:val="18"/>
          <w:szCs w:val="18"/>
        </w:rPr>
        <w:t>*The gross impact population and sample include MMBtu savings for Nicor Gas, as well as P</w:t>
      </w:r>
      <w:r>
        <w:rPr>
          <w:sz w:val="18"/>
          <w:szCs w:val="18"/>
        </w:rPr>
        <w:t>eoples Gas</w:t>
      </w:r>
      <w:r w:rsidRPr="00A1054C">
        <w:rPr>
          <w:sz w:val="18"/>
          <w:szCs w:val="18"/>
        </w:rPr>
        <w:t>, N</w:t>
      </w:r>
      <w:r>
        <w:rPr>
          <w:sz w:val="18"/>
          <w:szCs w:val="18"/>
        </w:rPr>
        <w:t>orth Shore Gas,</w:t>
      </w:r>
      <w:r w:rsidRPr="00A1054C">
        <w:rPr>
          <w:sz w:val="18"/>
          <w:szCs w:val="18"/>
        </w:rPr>
        <w:t xml:space="preserve"> and ComEd.</w:t>
      </w:r>
    </w:p>
    <w:p w14:paraId="2DA8ABDF" w14:textId="75C99CBE" w:rsidR="00A1054C" w:rsidRDefault="00A1054C" w:rsidP="00A1054C">
      <w:pPr>
        <w:tabs>
          <w:tab w:val="left" w:pos="8820"/>
        </w:tabs>
        <w:spacing w:before="0" w:after="0"/>
        <w:rPr>
          <w:sz w:val="18"/>
          <w:szCs w:val="18"/>
        </w:rPr>
      </w:pPr>
      <w:r w:rsidRPr="00A1054C">
        <w:rPr>
          <w:sz w:val="18"/>
          <w:szCs w:val="18"/>
        </w:rPr>
        <w:t>†</w:t>
      </w:r>
      <w:r>
        <w:rPr>
          <w:sz w:val="18"/>
          <w:szCs w:val="18"/>
        </w:rPr>
        <w:t>Three</w:t>
      </w:r>
      <w:r w:rsidRPr="00A1054C">
        <w:rPr>
          <w:sz w:val="18"/>
          <w:szCs w:val="18"/>
        </w:rPr>
        <w:t xml:space="preserve"> Nicor Gas projects (</w:t>
      </w:r>
      <w:r>
        <w:rPr>
          <w:sz w:val="18"/>
          <w:szCs w:val="18"/>
        </w:rPr>
        <w:t>CINC-1609, CINC-1365, CINC-1529</w:t>
      </w:r>
      <w:r w:rsidRPr="00A1054C">
        <w:rPr>
          <w:sz w:val="18"/>
          <w:szCs w:val="18"/>
        </w:rPr>
        <w:t xml:space="preserve">) were included in the population during sampling, with </w:t>
      </w:r>
      <w:r>
        <w:rPr>
          <w:sz w:val="18"/>
          <w:szCs w:val="18"/>
        </w:rPr>
        <w:t>two</w:t>
      </w:r>
      <w:r w:rsidRPr="00A1054C">
        <w:rPr>
          <w:sz w:val="18"/>
          <w:szCs w:val="18"/>
        </w:rPr>
        <w:t xml:space="preserve"> of them (CINC-</w:t>
      </w:r>
      <w:r>
        <w:rPr>
          <w:sz w:val="18"/>
          <w:szCs w:val="18"/>
        </w:rPr>
        <w:t>1609, CINC-1365</w:t>
      </w:r>
      <w:r w:rsidRPr="00A1054C">
        <w:rPr>
          <w:sz w:val="18"/>
          <w:szCs w:val="18"/>
        </w:rPr>
        <w:t xml:space="preserve">) being selected. </w:t>
      </w:r>
      <w:r>
        <w:rPr>
          <w:sz w:val="18"/>
          <w:szCs w:val="18"/>
        </w:rPr>
        <w:t xml:space="preserve">Although ComEd claimed the electric savings for these projects in 2023, </w:t>
      </w:r>
      <w:r w:rsidRPr="00A1054C">
        <w:rPr>
          <w:sz w:val="18"/>
          <w:szCs w:val="18"/>
        </w:rPr>
        <w:t>Nicor Gas elected to claim the gas savings in program year 202</w:t>
      </w:r>
      <w:r>
        <w:rPr>
          <w:sz w:val="18"/>
          <w:szCs w:val="18"/>
        </w:rPr>
        <w:t>5</w:t>
      </w:r>
      <w:r w:rsidRPr="00A1054C">
        <w:rPr>
          <w:sz w:val="18"/>
          <w:szCs w:val="18"/>
        </w:rPr>
        <w:t>.</w:t>
      </w:r>
    </w:p>
    <w:p w14:paraId="3AD64402" w14:textId="47FA35FD" w:rsidR="00A1054C" w:rsidRPr="00A1054C" w:rsidRDefault="00A1054C" w:rsidP="00A1054C">
      <w:pPr>
        <w:tabs>
          <w:tab w:val="left" w:pos="8820"/>
        </w:tabs>
        <w:spacing w:before="0"/>
        <w:rPr>
          <w:sz w:val="18"/>
          <w:szCs w:val="18"/>
        </w:rPr>
      </w:pPr>
      <w:r w:rsidRPr="00A1054C">
        <w:rPr>
          <w:i/>
          <w:iCs/>
          <w:sz w:val="18"/>
          <w:szCs w:val="18"/>
        </w:rPr>
        <w:t xml:space="preserve">Source: </w:t>
      </w:r>
      <w:r>
        <w:rPr>
          <w:i/>
          <w:iCs/>
          <w:sz w:val="18"/>
          <w:szCs w:val="18"/>
        </w:rPr>
        <w:t>Evaluation</w:t>
      </w:r>
      <w:r w:rsidRPr="00A1054C">
        <w:rPr>
          <w:i/>
          <w:iCs/>
          <w:sz w:val="18"/>
          <w:szCs w:val="18"/>
        </w:rPr>
        <w:t xml:space="preserve"> team analysis.</w:t>
      </w:r>
    </w:p>
    <w:p w14:paraId="331C3A3E" w14:textId="77777777" w:rsidR="00A1054C" w:rsidRDefault="00A1054C">
      <w:pPr>
        <w:pStyle w:val="BodyTextBold"/>
      </w:pPr>
      <w:bookmarkStart w:id="50" w:name="_Ref60835960"/>
      <w:r>
        <w:t xml:space="preserve">Impact Analysis </w:t>
      </w:r>
      <w:bookmarkEnd w:id="50"/>
      <w:r>
        <w:t>Supplemental Information</w:t>
      </w:r>
    </w:p>
    <w:bookmarkStart w:id="51" w:name="_Hlk501714572"/>
    <w:bookmarkStart w:id="52" w:name="_Toc507870205"/>
    <w:bookmarkStart w:id="53" w:name="_Toc512873036"/>
    <w:p w14:paraId="6A326BF1" w14:textId="4AC7B1C8" w:rsidR="00A1054C" w:rsidRDefault="000145F5">
      <w:r>
        <w:rPr>
          <w:highlight w:val="yellow"/>
        </w:rPr>
        <w:fldChar w:fldCharType="begin"/>
      </w:r>
      <w:r>
        <w:rPr>
          <w:highlight w:val="yellow"/>
        </w:rPr>
        <w:instrText xml:space="preserve"> REF _Ref192512534 \h </w:instrText>
      </w:r>
      <w:r>
        <w:rPr>
          <w:highlight w:val="yellow"/>
        </w:rPr>
      </w:r>
      <w:r>
        <w:rPr>
          <w:highlight w:val="yellow"/>
        </w:rPr>
        <w:fldChar w:fldCharType="separate"/>
      </w:r>
      <w:r>
        <w:t>Table A</w:t>
      </w:r>
      <w:r>
        <w:noBreakHyphen/>
      </w:r>
      <w:r>
        <w:rPr>
          <w:noProof/>
        </w:rPr>
        <w:t>3</w:t>
      </w:r>
      <w:r>
        <w:rPr>
          <w:highlight w:val="yellow"/>
        </w:rPr>
        <w:fldChar w:fldCharType="end"/>
      </w:r>
      <w:r w:rsidR="00A1054C">
        <w:t xml:space="preserve"> </w:t>
      </w:r>
      <w:r w:rsidR="00A1054C" w:rsidRPr="00A1054C">
        <w:t xml:space="preserve">shows the results of the engineering desk review for Nicor Gas projects, including the </w:t>
      </w:r>
      <w:proofErr w:type="spellStart"/>
      <w:proofErr w:type="gramStart"/>
      <w:r w:rsidR="00A1054C" w:rsidRPr="00A1054C">
        <w:t>ex ante</w:t>
      </w:r>
      <w:proofErr w:type="spellEnd"/>
      <w:proofErr w:type="gramEnd"/>
      <w:r w:rsidR="00A1054C" w:rsidRPr="00A1054C">
        <w:t xml:space="preserve"> savings, verified savings, and the resulting RR for each project in the desk review sample. The table also includes, where applicable, a narrative describing the reasons for any discrepancies between ex ante and verified savings. A RR less than 1.00 indicates that a project received a downward adjustment to energy savings while a RR more than 1.00 indicates that a project received an upward adjustment to energy savings. All energy savings exclude interactive effects.</w:t>
      </w:r>
      <w:bookmarkEnd w:id="51"/>
    </w:p>
    <w:p w14:paraId="137C70EC" w14:textId="0189707C" w:rsidR="00A1054C" w:rsidRDefault="00DA384D" w:rsidP="00A1054C">
      <w:pPr>
        <w:pStyle w:val="Caption"/>
      </w:pPr>
      <w:bookmarkStart w:id="54" w:name="_Ref97037812"/>
      <w:bookmarkStart w:id="55" w:name="_Hlk128667451"/>
      <w:bookmarkStart w:id="56" w:name="_Ref192512534"/>
      <w:bookmarkStart w:id="57" w:name="_Toc192512596"/>
      <w:r>
        <w:t xml:space="preserve">Table </w:t>
      </w:r>
      <w:bookmarkEnd w:id="54"/>
      <w:bookmarkEnd w:id="55"/>
      <w:r w:rsidR="004757E5">
        <w:t>A</w:t>
      </w:r>
      <w:r w:rsidR="216ACCF7">
        <w:t>-</w:t>
      </w:r>
      <w:r w:rsidR="008F2560">
        <w:fldChar w:fldCharType="begin"/>
      </w:r>
      <w:r w:rsidR="008F2560">
        <w:instrText>SEQ Table_Apx \* ARABIC \s 5</w:instrText>
      </w:r>
      <w:r w:rsidR="008F2560">
        <w:fldChar w:fldCharType="separate"/>
      </w:r>
      <w:r w:rsidR="004757E5">
        <w:rPr>
          <w:noProof/>
        </w:rPr>
        <w:t>3</w:t>
      </w:r>
      <w:r w:rsidR="008F2560">
        <w:fldChar w:fldCharType="end"/>
      </w:r>
      <w:bookmarkEnd w:id="56"/>
      <w:r w:rsidR="008F2560">
        <w:t>.</w:t>
      </w:r>
      <w:r w:rsidDel="00146395">
        <w:t xml:space="preserve"> </w:t>
      </w:r>
      <w:r w:rsidR="00A1054C" w:rsidRPr="00A1054C">
        <w:t>202</w:t>
      </w:r>
      <w:r w:rsidR="00A1054C">
        <w:t>4</w:t>
      </w:r>
      <w:r w:rsidR="00A1054C" w:rsidRPr="00A1054C">
        <w:t xml:space="preserve"> BNC Program Researched Gross Savings for Sampled Projects</w:t>
      </w:r>
      <w:bookmarkEnd w:id="57"/>
      <w:r w:rsidR="00A1054C" w:rsidRPr="00A1054C">
        <w:t xml:space="preserve"> </w:t>
      </w:r>
    </w:p>
    <w:tbl>
      <w:tblPr>
        <w:tblW w:w="5328" w:type="pct"/>
        <w:tblLook w:val="04A0" w:firstRow="1" w:lastRow="0" w:firstColumn="1" w:lastColumn="0" w:noHBand="0" w:noVBand="1"/>
      </w:tblPr>
      <w:tblGrid>
        <w:gridCol w:w="1037"/>
        <w:gridCol w:w="1218"/>
        <w:gridCol w:w="132"/>
        <w:gridCol w:w="130"/>
        <w:gridCol w:w="417"/>
        <w:gridCol w:w="571"/>
        <w:gridCol w:w="1283"/>
        <w:gridCol w:w="130"/>
        <w:gridCol w:w="134"/>
        <w:gridCol w:w="221"/>
        <w:gridCol w:w="1037"/>
        <w:gridCol w:w="626"/>
        <w:gridCol w:w="413"/>
        <w:gridCol w:w="76"/>
        <w:gridCol w:w="281"/>
        <w:gridCol w:w="1179"/>
        <w:gridCol w:w="1089"/>
      </w:tblGrid>
      <w:tr w:rsidR="00B320BB" w:rsidRPr="0033015C" w14:paraId="6C8C5FAC" w14:textId="77777777" w:rsidTr="00B320BB">
        <w:trPr>
          <w:trHeight w:val="390"/>
        </w:trPr>
        <w:tc>
          <w:tcPr>
            <w:tcW w:w="520" w:type="pct"/>
            <w:tcBorders>
              <w:top w:val="nil"/>
              <w:left w:val="nil"/>
              <w:bottom w:val="single" w:sz="12" w:space="0" w:color="93D500" w:themeColor="accent1"/>
              <w:right w:val="nil"/>
            </w:tcBorders>
            <w:shd w:val="clear" w:color="auto" w:fill="036479" w:themeFill="accent3"/>
            <w:vAlign w:val="center"/>
            <w:hideMark/>
          </w:tcPr>
          <w:p w14:paraId="0155F988"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677" w:type="pct"/>
            <w:gridSpan w:val="2"/>
            <w:tcBorders>
              <w:top w:val="nil"/>
              <w:left w:val="nil"/>
              <w:bottom w:val="single" w:sz="12" w:space="0" w:color="93D500" w:themeColor="accent1"/>
              <w:right w:val="nil"/>
            </w:tcBorders>
            <w:shd w:val="clear" w:color="auto" w:fill="036479" w:themeFill="accent3"/>
            <w:vAlign w:val="center"/>
            <w:hideMark/>
          </w:tcPr>
          <w:p w14:paraId="5A5284DC"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274" w:type="pct"/>
            <w:gridSpan w:val="2"/>
            <w:tcBorders>
              <w:top w:val="nil"/>
              <w:left w:val="nil"/>
              <w:bottom w:val="nil"/>
              <w:right w:val="nil"/>
            </w:tcBorders>
            <w:shd w:val="clear" w:color="auto" w:fill="036479" w:themeFill="accent3"/>
            <w:vAlign w:val="center"/>
            <w:hideMark/>
          </w:tcPr>
          <w:p w14:paraId="2ABFDD71"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929" w:type="pct"/>
            <w:gridSpan w:val="2"/>
            <w:tcBorders>
              <w:top w:val="nil"/>
              <w:left w:val="nil"/>
              <w:bottom w:val="single" w:sz="12" w:space="0" w:color="93D500" w:themeColor="accent1"/>
              <w:right w:val="nil"/>
            </w:tcBorders>
            <w:shd w:val="clear" w:color="auto" w:fill="036479" w:themeFill="accent3"/>
            <w:vAlign w:val="center"/>
            <w:hideMark/>
          </w:tcPr>
          <w:p w14:paraId="1D9EFE1C"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Ex Ante</w:t>
            </w:r>
          </w:p>
        </w:tc>
        <w:tc>
          <w:tcPr>
            <w:tcW w:w="132" w:type="pct"/>
            <w:gridSpan w:val="2"/>
            <w:tcBorders>
              <w:top w:val="nil"/>
              <w:left w:val="nil"/>
              <w:bottom w:val="nil"/>
              <w:right w:val="nil"/>
            </w:tcBorders>
            <w:shd w:val="clear" w:color="auto" w:fill="036479" w:themeFill="accent3"/>
            <w:vAlign w:val="center"/>
            <w:hideMark/>
          </w:tcPr>
          <w:p w14:paraId="77874BA4"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945" w:type="pct"/>
            <w:gridSpan w:val="3"/>
            <w:tcBorders>
              <w:top w:val="nil"/>
              <w:left w:val="nil"/>
              <w:bottom w:val="single" w:sz="12" w:space="0" w:color="93D500" w:themeColor="accent1"/>
              <w:right w:val="nil"/>
            </w:tcBorders>
            <w:shd w:val="clear" w:color="auto" w:fill="036479" w:themeFill="accent3"/>
            <w:vAlign w:val="center"/>
            <w:hideMark/>
          </w:tcPr>
          <w:p w14:paraId="1C6DB9C2"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Verified</w:t>
            </w:r>
          </w:p>
        </w:tc>
        <w:tc>
          <w:tcPr>
            <w:tcW w:w="245" w:type="pct"/>
            <w:gridSpan w:val="2"/>
            <w:tcBorders>
              <w:top w:val="nil"/>
              <w:left w:val="nil"/>
              <w:bottom w:val="nil"/>
              <w:right w:val="nil"/>
            </w:tcBorders>
            <w:shd w:val="clear" w:color="auto" w:fill="036479" w:themeFill="accent3"/>
            <w:vAlign w:val="center"/>
            <w:hideMark/>
          </w:tcPr>
          <w:p w14:paraId="387BFF99"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1277" w:type="pct"/>
            <w:gridSpan w:val="3"/>
            <w:tcBorders>
              <w:top w:val="nil"/>
              <w:left w:val="nil"/>
              <w:bottom w:val="single" w:sz="12" w:space="0" w:color="93D500" w:themeColor="accent1"/>
              <w:right w:val="nil"/>
            </w:tcBorders>
            <w:shd w:val="clear" w:color="auto" w:fill="036479" w:themeFill="accent3"/>
            <w:vAlign w:val="center"/>
            <w:hideMark/>
          </w:tcPr>
          <w:p w14:paraId="08096C4C" w14:textId="77777777" w:rsidR="00B320BB" w:rsidRPr="0033015C" w:rsidRDefault="00B320BB" w:rsidP="00B320BB">
            <w:pPr>
              <w:tabs>
                <w:tab w:val="left" w:pos="8820"/>
              </w:tabs>
              <w:spacing w:before="0" w:after="0"/>
              <w:rPr>
                <w:rFonts w:ascii="Arial Narrow" w:hAnsi="Arial Narrow" w:cs="Arial"/>
                <w:b/>
                <w:bCs/>
                <w:color w:val="FFFFFF"/>
                <w:sz w:val="20"/>
                <w:szCs w:val="20"/>
              </w:rPr>
            </w:pPr>
            <w:r w:rsidRPr="0033015C">
              <w:rPr>
                <w:rFonts w:ascii="Arial Narrow" w:hAnsi="Arial Narrow" w:cs="Arial"/>
                <w:b/>
                <w:bCs/>
                <w:color w:val="FFFFFF"/>
                <w:sz w:val="20"/>
                <w:szCs w:val="20"/>
              </w:rPr>
              <w:t>Realization Rate</w:t>
            </w:r>
          </w:p>
        </w:tc>
      </w:tr>
      <w:tr w:rsidR="00C179E2" w:rsidRPr="0033015C" w14:paraId="3F6BBC51" w14:textId="77777777" w:rsidTr="00C179E2">
        <w:trPr>
          <w:trHeight w:val="1200"/>
          <w:tblHeader/>
        </w:trPr>
        <w:tc>
          <w:tcPr>
            <w:tcW w:w="520" w:type="pct"/>
            <w:tcBorders>
              <w:top w:val="nil"/>
              <w:left w:val="nil"/>
              <w:bottom w:val="single" w:sz="12" w:space="0" w:color="93D500" w:themeColor="accent1"/>
              <w:right w:val="nil"/>
            </w:tcBorders>
            <w:shd w:val="clear" w:color="auto" w:fill="036479" w:themeFill="accent3"/>
            <w:vAlign w:val="center"/>
            <w:hideMark/>
          </w:tcPr>
          <w:p w14:paraId="603F2EF0" w14:textId="77777777" w:rsidR="00B320BB" w:rsidRPr="0033015C" w:rsidRDefault="00B320BB" w:rsidP="00092EBA">
            <w:pPr>
              <w:rPr>
                <w:rFonts w:ascii="Arial Narrow" w:hAnsi="Arial Narrow" w:cs="Arial"/>
                <w:b/>
                <w:bCs/>
                <w:color w:val="FFFFFF"/>
                <w:sz w:val="20"/>
                <w:szCs w:val="20"/>
              </w:rPr>
            </w:pPr>
            <w:r w:rsidRPr="0033015C">
              <w:rPr>
                <w:rFonts w:ascii="Arial Narrow" w:hAnsi="Arial Narrow" w:cs="Arial"/>
                <w:b/>
                <w:bCs/>
                <w:color w:val="FFFFFF"/>
                <w:sz w:val="20"/>
                <w:szCs w:val="20"/>
              </w:rPr>
              <w:t>Project ID</w:t>
            </w:r>
          </w:p>
        </w:tc>
        <w:tc>
          <w:tcPr>
            <w:tcW w:w="611" w:type="pct"/>
            <w:tcBorders>
              <w:top w:val="nil"/>
              <w:left w:val="nil"/>
              <w:bottom w:val="single" w:sz="12" w:space="0" w:color="93D500" w:themeColor="accent1"/>
              <w:right w:val="nil"/>
            </w:tcBorders>
            <w:shd w:val="clear" w:color="auto" w:fill="036479" w:themeFill="accent3"/>
            <w:vAlign w:val="center"/>
            <w:hideMark/>
          </w:tcPr>
          <w:p w14:paraId="72F884ED" w14:textId="77777777" w:rsidR="00B320BB" w:rsidRPr="0033015C" w:rsidRDefault="00B320BB" w:rsidP="00092EBA">
            <w:pPr>
              <w:rPr>
                <w:rFonts w:ascii="Arial Narrow" w:hAnsi="Arial Narrow" w:cs="Arial"/>
                <w:b/>
                <w:bCs/>
                <w:color w:val="FFFFFF"/>
                <w:sz w:val="20"/>
                <w:szCs w:val="20"/>
              </w:rPr>
            </w:pPr>
            <w:r w:rsidRPr="0033015C">
              <w:rPr>
                <w:rFonts w:ascii="Arial Narrow" w:hAnsi="Arial Narrow" w:cs="Arial"/>
                <w:b/>
                <w:bCs/>
                <w:color w:val="FFFFFF"/>
                <w:sz w:val="20"/>
                <w:szCs w:val="20"/>
              </w:rPr>
              <w:t>Gas Utility</w:t>
            </w:r>
          </w:p>
        </w:tc>
        <w:tc>
          <w:tcPr>
            <w:tcW w:w="131" w:type="pct"/>
            <w:gridSpan w:val="2"/>
            <w:tcBorders>
              <w:top w:val="nil"/>
              <w:left w:val="nil"/>
              <w:bottom w:val="single" w:sz="12" w:space="0" w:color="93D500" w:themeColor="accent1"/>
              <w:right w:val="nil"/>
            </w:tcBorders>
            <w:shd w:val="clear" w:color="auto" w:fill="036479" w:themeFill="accent3"/>
            <w:vAlign w:val="center"/>
            <w:hideMark/>
          </w:tcPr>
          <w:p w14:paraId="43106CD6" w14:textId="77777777" w:rsidR="00B320BB" w:rsidRPr="0033015C" w:rsidRDefault="00B320BB" w:rsidP="00092EBA">
            <w:pPr>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495" w:type="pct"/>
            <w:gridSpan w:val="2"/>
            <w:tcBorders>
              <w:top w:val="nil"/>
              <w:left w:val="nil"/>
              <w:bottom w:val="single" w:sz="12" w:space="0" w:color="93D500" w:themeColor="accent1"/>
              <w:right w:val="nil"/>
            </w:tcBorders>
            <w:shd w:val="clear" w:color="auto" w:fill="036479" w:themeFill="accent3"/>
            <w:vAlign w:val="center"/>
            <w:hideMark/>
          </w:tcPr>
          <w:p w14:paraId="682C2794"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Electric Savings (kWh/yr)</w:t>
            </w:r>
          </w:p>
        </w:tc>
        <w:tc>
          <w:tcPr>
            <w:tcW w:w="708" w:type="pct"/>
            <w:gridSpan w:val="2"/>
            <w:tcBorders>
              <w:top w:val="nil"/>
              <w:left w:val="nil"/>
              <w:bottom w:val="single" w:sz="12" w:space="0" w:color="93D500" w:themeColor="accent1"/>
              <w:right w:val="nil"/>
            </w:tcBorders>
            <w:shd w:val="clear" w:color="auto" w:fill="036479" w:themeFill="accent3"/>
            <w:vAlign w:val="center"/>
            <w:hideMark/>
          </w:tcPr>
          <w:p w14:paraId="00F750CE"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Gas Savings (therm/</w:t>
            </w:r>
            <w:proofErr w:type="spellStart"/>
            <w:r w:rsidRPr="0033015C">
              <w:rPr>
                <w:rFonts w:ascii="Arial Narrow" w:hAnsi="Arial Narrow" w:cs="Arial"/>
                <w:b/>
                <w:bCs/>
                <w:color w:val="FFFFFF"/>
                <w:sz w:val="20"/>
                <w:szCs w:val="20"/>
              </w:rPr>
              <w:t>yr</w:t>
            </w:r>
            <w:proofErr w:type="spellEnd"/>
            <w:r w:rsidRPr="0033015C">
              <w:rPr>
                <w:rFonts w:ascii="Arial Narrow" w:hAnsi="Arial Narrow" w:cs="Arial"/>
                <w:b/>
                <w:bCs/>
                <w:color w:val="FFFFFF"/>
                <w:sz w:val="20"/>
                <w:szCs w:val="20"/>
              </w:rPr>
              <w:t>)</w:t>
            </w:r>
          </w:p>
        </w:tc>
        <w:tc>
          <w:tcPr>
            <w:tcW w:w="178" w:type="pct"/>
            <w:gridSpan w:val="2"/>
            <w:tcBorders>
              <w:top w:val="nil"/>
              <w:left w:val="nil"/>
              <w:bottom w:val="single" w:sz="12" w:space="0" w:color="93D500" w:themeColor="accent1"/>
              <w:right w:val="nil"/>
            </w:tcBorders>
            <w:shd w:val="clear" w:color="auto" w:fill="036479" w:themeFill="accent3"/>
            <w:vAlign w:val="center"/>
            <w:hideMark/>
          </w:tcPr>
          <w:p w14:paraId="2AE3A1DD"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520" w:type="pct"/>
            <w:tcBorders>
              <w:top w:val="nil"/>
              <w:left w:val="nil"/>
              <w:bottom w:val="single" w:sz="12" w:space="0" w:color="93D500" w:themeColor="accent1"/>
              <w:right w:val="nil"/>
            </w:tcBorders>
            <w:shd w:val="clear" w:color="auto" w:fill="036479" w:themeFill="accent3"/>
            <w:vAlign w:val="center"/>
            <w:hideMark/>
          </w:tcPr>
          <w:p w14:paraId="79C56982"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Electric Savings (kWh/yr)</w:t>
            </w:r>
          </w:p>
        </w:tc>
        <w:tc>
          <w:tcPr>
            <w:tcW w:w="521" w:type="pct"/>
            <w:gridSpan w:val="2"/>
            <w:tcBorders>
              <w:top w:val="nil"/>
              <w:left w:val="nil"/>
              <w:bottom w:val="single" w:sz="12" w:space="0" w:color="93D500" w:themeColor="accent1"/>
              <w:right w:val="nil"/>
            </w:tcBorders>
            <w:shd w:val="clear" w:color="auto" w:fill="036479" w:themeFill="accent3"/>
            <w:vAlign w:val="center"/>
            <w:hideMark/>
          </w:tcPr>
          <w:p w14:paraId="256D9DD9"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Gas Savings (therm/</w:t>
            </w:r>
            <w:proofErr w:type="spellStart"/>
            <w:r w:rsidRPr="0033015C">
              <w:rPr>
                <w:rFonts w:ascii="Arial Narrow" w:hAnsi="Arial Narrow" w:cs="Arial"/>
                <w:b/>
                <w:bCs/>
                <w:color w:val="FFFFFF"/>
                <w:sz w:val="20"/>
                <w:szCs w:val="20"/>
              </w:rPr>
              <w:t>yr</w:t>
            </w:r>
            <w:proofErr w:type="spellEnd"/>
            <w:r w:rsidRPr="0033015C">
              <w:rPr>
                <w:rFonts w:ascii="Arial Narrow" w:hAnsi="Arial Narrow" w:cs="Arial"/>
                <w:b/>
                <w:bCs/>
                <w:color w:val="FFFFFF"/>
                <w:sz w:val="20"/>
                <w:szCs w:val="20"/>
              </w:rPr>
              <w:t>)</w:t>
            </w:r>
          </w:p>
        </w:tc>
        <w:tc>
          <w:tcPr>
            <w:tcW w:w="179" w:type="pct"/>
            <w:gridSpan w:val="2"/>
            <w:tcBorders>
              <w:top w:val="nil"/>
              <w:left w:val="nil"/>
              <w:bottom w:val="single" w:sz="12" w:space="0" w:color="93D500" w:themeColor="accent1"/>
              <w:right w:val="nil"/>
            </w:tcBorders>
            <w:shd w:val="clear" w:color="auto" w:fill="036479" w:themeFill="accent3"/>
            <w:vAlign w:val="center"/>
            <w:hideMark/>
          </w:tcPr>
          <w:p w14:paraId="794D4234"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 </w:t>
            </w:r>
          </w:p>
        </w:tc>
        <w:tc>
          <w:tcPr>
            <w:tcW w:w="591" w:type="pct"/>
            <w:tcBorders>
              <w:top w:val="nil"/>
              <w:left w:val="nil"/>
              <w:bottom w:val="single" w:sz="12" w:space="0" w:color="93D500" w:themeColor="accent1"/>
              <w:right w:val="nil"/>
            </w:tcBorders>
            <w:shd w:val="clear" w:color="auto" w:fill="036479" w:themeFill="accent3"/>
            <w:vAlign w:val="center"/>
            <w:hideMark/>
          </w:tcPr>
          <w:p w14:paraId="23F1C3D2"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Electric (kWh) Savings Realization Rate</w:t>
            </w:r>
          </w:p>
        </w:tc>
        <w:tc>
          <w:tcPr>
            <w:tcW w:w="546" w:type="pct"/>
            <w:tcBorders>
              <w:top w:val="nil"/>
              <w:left w:val="nil"/>
              <w:bottom w:val="single" w:sz="12" w:space="0" w:color="93D500" w:themeColor="accent1"/>
              <w:right w:val="nil"/>
            </w:tcBorders>
            <w:shd w:val="clear" w:color="auto" w:fill="036479" w:themeFill="accent3"/>
            <w:vAlign w:val="center"/>
            <w:hideMark/>
          </w:tcPr>
          <w:p w14:paraId="0CF21DBE" w14:textId="77777777" w:rsidR="00B320BB" w:rsidRPr="0033015C" w:rsidRDefault="00B320BB" w:rsidP="00092EBA">
            <w:pPr>
              <w:jc w:val="right"/>
              <w:rPr>
                <w:rFonts w:ascii="Arial Narrow" w:hAnsi="Arial Narrow" w:cs="Arial"/>
                <w:b/>
                <w:bCs/>
                <w:color w:val="FFFFFF"/>
                <w:sz w:val="20"/>
                <w:szCs w:val="20"/>
              </w:rPr>
            </w:pPr>
            <w:r w:rsidRPr="0033015C">
              <w:rPr>
                <w:rFonts w:ascii="Arial Narrow" w:hAnsi="Arial Narrow" w:cs="Arial"/>
                <w:b/>
                <w:bCs/>
                <w:color w:val="FFFFFF"/>
                <w:sz w:val="20"/>
                <w:szCs w:val="20"/>
              </w:rPr>
              <w:t>Gas (therm) Savings Realization Rate</w:t>
            </w:r>
          </w:p>
        </w:tc>
      </w:tr>
      <w:tr w:rsidR="00C179E2" w:rsidRPr="0033015C" w14:paraId="3FB0FDF6"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F855E2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CINC-1430</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2A7AB38C"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046DB79"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95E941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544,163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C63F5B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17,611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1D76DA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095EA7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597,884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250D8C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16,550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2994CA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2E1F180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1.10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79EACC6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0.94</w:t>
            </w:r>
          </w:p>
        </w:tc>
      </w:tr>
      <w:tr w:rsidR="00B320BB" w:rsidRPr="0033015C" w14:paraId="20EDAD05" w14:textId="77777777" w:rsidTr="00C179E2">
        <w:trPr>
          <w:trHeight w:val="1164"/>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040B9F29"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4CE5A4BC"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xml:space="preserve">Based on the available window documentation, the evaluation team changed the achieved glazing U-value from 0.30 to 0.28 and the SHGC from 0.28 to 0.29. For the PTHP measure, the evaluation team adjusted the baseline because the units were packaged vertical heat pumps, not packaged terminal heat pumps. The evaluation team also made changes to the low-flow fixtures measure, switching from a per-fixture to a per-apartment basis for calculations to align more closely with the </w:t>
            </w:r>
            <w:r>
              <w:rPr>
                <w:rFonts w:ascii="Arial Narrow" w:hAnsi="Arial Narrow" w:cs="Calibri"/>
                <w:color w:val="000000"/>
                <w:sz w:val="20"/>
                <w:szCs w:val="20"/>
              </w:rPr>
              <w:t>Illinois Technical Reference Manual (</w:t>
            </w:r>
            <w:r w:rsidRPr="0033015C">
              <w:rPr>
                <w:rFonts w:ascii="Arial Narrow" w:hAnsi="Arial Narrow" w:cs="Calibri"/>
                <w:color w:val="000000"/>
                <w:sz w:val="20"/>
                <w:szCs w:val="20"/>
              </w:rPr>
              <w:t>IL</w:t>
            </w:r>
            <w:r>
              <w:rPr>
                <w:rFonts w:ascii="Arial Narrow" w:hAnsi="Arial Narrow" w:cs="Calibri"/>
                <w:color w:val="000000"/>
                <w:sz w:val="20"/>
                <w:szCs w:val="20"/>
              </w:rPr>
              <w:t>-</w:t>
            </w:r>
            <w:r w:rsidRPr="0033015C">
              <w:rPr>
                <w:rFonts w:ascii="Arial Narrow" w:hAnsi="Arial Narrow" w:cs="Calibri"/>
                <w:color w:val="000000"/>
                <w:sz w:val="20"/>
                <w:szCs w:val="20"/>
              </w:rPr>
              <w:t>TRM</w:t>
            </w:r>
            <w:r>
              <w:rPr>
                <w:rFonts w:ascii="Arial Narrow" w:hAnsi="Arial Narrow" w:cs="Calibri"/>
                <w:color w:val="000000"/>
                <w:sz w:val="20"/>
                <w:szCs w:val="20"/>
              </w:rPr>
              <w:t>)</w:t>
            </w:r>
            <w:r w:rsidRPr="0033015C">
              <w:rPr>
                <w:rFonts w:ascii="Arial Narrow" w:hAnsi="Arial Narrow" w:cs="Calibri"/>
                <w:color w:val="000000"/>
                <w:sz w:val="20"/>
                <w:szCs w:val="20"/>
              </w:rPr>
              <w:t>.</w:t>
            </w:r>
          </w:p>
        </w:tc>
      </w:tr>
      <w:tr w:rsidR="00C179E2" w:rsidRPr="0033015C" w14:paraId="2EC0DCBA"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BEE1D75"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CINC-1451</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18ECC43C"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E30E42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4AD620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171,829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A970A7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903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F79B2E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AD20850"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213,733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0695B33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1,749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80909C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4DC8744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1.24</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1E228E7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1.94</w:t>
            </w:r>
          </w:p>
        </w:tc>
      </w:tr>
      <w:tr w:rsidR="00B320BB" w:rsidRPr="0033015C" w14:paraId="4F14BF5A" w14:textId="77777777" w:rsidTr="00C179E2">
        <w:trPr>
          <w:trHeight w:val="1176"/>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37E08F75"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lastRenderedPageBreak/>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3CEC44B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xml:space="preserve">The evaluation team changed the achieved window assembly U-value from 0.37 to 0.28. From the provided documentation, it appeared that 0.37 was the U-value for the curtainwall windows. The evaluation team calculated a weighted average of apartment windows and curtainwall windows to arrive at the new U-value of 0.28. The evaluation team also made changes to LPD measures, with the living unit LPD achieved value changing from 0.6 W/sf to 0.531 W/sf and the corridor achieved LPD changing from 0.59 W/sf to 0.78 W/sf. </w:t>
            </w:r>
          </w:p>
        </w:tc>
      </w:tr>
      <w:tr w:rsidR="00C179E2" w:rsidRPr="0033015C" w14:paraId="2A6193EB"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4ED50565"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CINC-1487</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5D3CC0F1"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EC2C1C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091D70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967,819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5F2DD4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33,509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11F5C9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B309D8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967,819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317D0C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33,509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3B15E0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166FFB92"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6112D42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3F4ACD88"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C74573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1643BA32"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3465F352"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9A0FF87"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CINC-1512</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5077A453"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8E7EC88"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469D1D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31,601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AA49E1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395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851C8E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5494F2A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32,273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12DB500"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451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0185B40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0157D06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1.02</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20E2B5D2"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1.14</w:t>
            </w:r>
          </w:p>
        </w:tc>
      </w:tr>
      <w:tr w:rsidR="00B320BB" w:rsidRPr="0033015C" w14:paraId="74D468B2" w14:textId="77777777" w:rsidTr="00C179E2">
        <w:trPr>
          <w:trHeight w:val="1128"/>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46345A8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6182DFE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xml:space="preserve">The evaluation team increased the achieved interior LPD from 0.56 W/sf to 0.58 W/sf. The evaluation team also changed the RTU cooling efficiency baseline from 9.7 EER to 9.57 EER, using a baseline of 9.5 EER for the RTUs, and weighting it with the efficiencies of two air conditioners. The </w:t>
            </w:r>
            <w:proofErr w:type="spellStart"/>
            <w:r w:rsidRPr="0033015C">
              <w:rPr>
                <w:rFonts w:ascii="Arial Narrow" w:hAnsi="Arial Narrow" w:cs="Calibri"/>
                <w:color w:val="000000"/>
                <w:sz w:val="20"/>
                <w:szCs w:val="20"/>
              </w:rPr>
              <w:t>eQuest</w:t>
            </w:r>
            <w:proofErr w:type="spellEnd"/>
            <w:r w:rsidRPr="0033015C">
              <w:rPr>
                <w:rFonts w:ascii="Arial Narrow" w:hAnsi="Arial Narrow" w:cs="Calibri"/>
                <w:color w:val="000000"/>
                <w:sz w:val="20"/>
                <w:szCs w:val="20"/>
              </w:rPr>
              <w:t xml:space="preserve"> model for this measure uses EIR, and the evaluation team could not replicate the model's EIR value using 9.5 or 9.7 EER. The evaluation team changed the </w:t>
            </w:r>
            <w:proofErr w:type="spellStart"/>
            <w:r w:rsidRPr="0033015C">
              <w:rPr>
                <w:rFonts w:ascii="Arial Narrow" w:hAnsi="Arial Narrow" w:cs="Calibri"/>
                <w:color w:val="000000"/>
                <w:sz w:val="20"/>
                <w:szCs w:val="20"/>
              </w:rPr>
              <w:t>eQuest</w:t>
            </w:r>
            <w:proofErr w:type="spellEnd"/>
            <w:r w:rsidRPr="0033015C">
              <w:rPr>
                <w:rFonts w:ascii="Arial Narrow" w:hAnsi="Arial Narrow" w:cs="Calibri"/>
                <w:color w:val="000000"/>
                <w:sz w:val="20"/>
                <w:szCs w:val="20"/>
              </w:rPr>
              <w:t xml:space="preserve"> model to include updated EIR values for the baseline and achieved cases. </w:t>
            </w:r>
          </w:p>
        </w:tc>
      </w:tr>
      <w:tr w:rsidR="00C179E2" w:rsidRPr="0033015C" w14:paraId="2992F238"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3C17552"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CINC-1564</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7FBE799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94C9065"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94C3F0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72,239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D1B665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4,973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F32975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2E495C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72,229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652134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4,973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5BBA3C0"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3A85E5B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3DCAD67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2DCE2545"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05631767"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458581B7"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28E27740"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58788F19"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CINC-1598</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2416936A"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122217A"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56B023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554,986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541AB7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13,015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35C9F4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356F12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554,986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96D81B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13,015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917081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639DA7A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3234A67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63C0B2CF"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3059431"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5812C948"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0B53EDC0"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2989F5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CINC-1106</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6426AFC3"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B31CB25"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004B153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313,152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B79E9D2"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15,687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F0C0D6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3C6A46A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298,986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424B38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15,687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F092E5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3E43C50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0.95</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48EB70D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7C98D717" w14:textId="77777777" w:rsidTr="00C179E2">
        <w:trPr>
          <w:trHeight w:val="1212"/>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DD4A0D7"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512B138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xml:space="preserve">The </w:t>
            </w:r>
            <w:proofErr w:type="spellStart"/>
            <w:proofErr w:type="gramStart"/>
            <w:r w:rsidRPr="0033015C">
              <w:rPr>
                <w:rFonts w:ascii="Arial Narrow" w:hAnsi="Arial Narrow" w:cs="Calibri"/>
                <w:color w:val="000000"/>
                <w:sz w:val="20"/>
                <w:szCs w:val="20"/>
              </w:rPr>
              <w:t>ex ante</w:t>
            </w:r>
            <w:proofErr w:type="spellEnd"/>
            <w:proofErr w:type="gramEnd"/>
            <w:r w:rsidRPr="0033015C">
              <w:rPr>
                <w:rFonts w:ascii="Arial Narrow" w:hAnsi="Arial Narrow" w:cs="Calibri"/>
                <w:color w:val="000000"/>
                <w:sz w:val="20"/>
                <w:szCs w:val="20"/>
              </w:rPr>
              <w:t xml:space="preserve"> analysis claimed decreasing occupancy sensor shutoff time from 20 minutes (per code) to 15 minutes would double the savings (increase from a 10% reduction in hours to a 20% reduction in hours). Based on a </w:t>
            </w:r>
            <w:r w:rsidRPr="003A651C">
              <w:rPr>
                <w:rFonts w:ascii="Arial Narrow" w:hAnsi="Arial Narrow" w:cs="Calibri"/>
                <w:color w:val="000000"/>
                <w:sz w:val="20"/>
                <w:szCs w:val="20"/>
              </w:rPr>
              <w:t xml:space="preserve">National Electrical Manufacturers Association </w:t>
            </w:r>
            <w:r>
              <w:rPr>
                <w:rFonts w:ascii="Arial Narrow" w:hAnsi="Arial Narrow" w:cs="Calibri"/>
                <w:color w:val="000000"/>
                <w:sz w:val="20"/>
                <w:szCs w:val="20"/>
              </w:rPr>
              <w:t>(</w:t>
            </w:r>
            <w:r w:rsidRPr="0033015C">
              <w:rPr>
                <w:rFonts w:ascii="Arial Narrow" w:hAnsi="Arial Narrow" w:cs="Calibri"/>
                <w:color w:val="000000"/>
                <w:sz w:val="20"/>
                <w:szCs w:val="20"/>
              </w:rPr>
              <w:t>NEMA</w:t>
            </w:r>
            <w:r>
              <w:rPr>
                <w:rFonts w:ascii="Arial Narrow" w:hAnsi="Arial Narrow" w:cs="Calibri"/>
                <w:color w:val="000000"/>
                <w:sz w:val="20"/>
                <w:szCs w:val="20"/>
              </w:rPr>
              <w:t>)</w:t>
            </w:r>
            <w:r w:rsidRPr="0033015C">
              <w:rPr>
                <w:rFonts w:ascii="Arial Narrow" w:hAnsi="Arial Narrow" w:cs="Calibri"/>
                <w:color w:val="000000"/>
                <w:sz w:val="20"/>
                <w:szCs w:val="20"/>
              </w:rPr>
              <w:t xml:space="preserve"> study</w:t>
            </w:r>
            <w:r>
              <w:rPr>
                <w:rFonts w:ascii="Arial Narrow" w:hAnsi="Arial Narrow" w:cs="Calibri"/>
                <w:color w:val="000000"/>
                <w:sz w:val="20"/>
                <w:szCs w:val="20"/>
              </w:rPr>
              <w:t>,</w:t>
            </w:r>
            <w:r w:rsidRPr="0033015C">
              <w:rPr>
                <w:rStyle w:val="FootnoteReference"/>
                <w:rFonts w:ascii="Arial Narrow" w:hAnsi="Arial Narrow" w:cs="Calibri"/>
                <w:sz w:val="20"/>
                <w:szCs w:val="20"/>
              </w:rPr>
              <w:footnoteReference w:id="3"/>
            </w:r>
            <w:r w:rsidRPr="0033015C">
              <w:rPr>
                <w:rFonts w:ascii="Arial Narrow" w:hAnsi="Arial Narrow" w:cs="Calibri"/>
                <w:color w:val="000000"/>
                <w:sz w:val="20"/>
                <w:szCs w:val="20"/>
              </w:rPr>
              <w:t xml:space="preserve"> going from a 20-minute shutoff time to a 5-minute shutoff time resulted in a 28% reduction in hours. Based on linear interpolation, the evaluation team used a 12% reduction in hours for the reduction from 20 minutes to 15 minutes.</w:t>
            </w:r>
          </w:p>
        </w:tc>
      </w:tr>
      <w:tr w:rsidR="00C179E2" w:rsidRPr="0033015C" w14:paraId="4A87ED1C"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679876CF"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CINC-1365</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5F12D384"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0495381"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81572E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75,936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9E6B9B2"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2,768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236EEC6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171211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75,936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C0F1CC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2,768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0ACF41A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4C1765B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38A5C51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10A18D6B"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5BA02383"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297F385A"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792DB987"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73959B0"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CINC-1478</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5E32849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3154B8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30050F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909,221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E2FE1E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22,784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DFA85F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4EF2BC09"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909,221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5124748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22,784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E97D91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226FB34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323D6A8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7788E06A"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6A33581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4EC85C47"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37AE6B4C"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59162D6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CINC-1479</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42D9B698"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53EB2B2"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15A297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452,272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AF562B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38,547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2D7FD6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6322830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452,272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E0ABA7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38,547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CA0C6F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7EFDDA1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6BA5189F"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0AD1C0EA"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39570CDD"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5B955459"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2A776C1A"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EB92624"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CINC-1554</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1FF93CCC"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79E328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B064043"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892,454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9DC198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17,758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BCC9CC0"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13A62E8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892,454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95363B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17,758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3F24E3D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05461EE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6E1B5ACD"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19A7409E"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427ADE36"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7EABA35E"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r w:rsidR="00C179E2" w:rsidRPr="0033015C" w14:paraId="1BA5C580"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090281C"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lastRenderedPageBreak/>
              <w:t>CINC-1607</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655FA551"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21560B0A"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CF246B6"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193,998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58FAA4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7,868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238450D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61F1DD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196,865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2C91FCC"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8,676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8D5824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41F43F07"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1.01</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5222C9D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1.10</w:t>
            </w:r>
          </w:p>
        </w:tc>
      </w:tr>
      <w:tr w:rsidR="00B320BB" w:rsidRPr="0033015C" w14:paraId="62C631EB" w14:textId="77777777" w:rsidTr="00C179E2">
        <w:trPr>
          <w:trHeight w:val="648"/>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4196802A"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45BF9BBB"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xml:space="preserve">The evaluation team updated the achieved exterior lighting power to match the claimed installed wattage per the supplied project documentation. </w:t>
            </w:r>
          </w:p>
        </w:tc>
      </w:tr>
      <w:tr w:rsidR="00C179E2" w:rsidRPr="0033015C" w14:paraId="15ACC911"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6875EE2B"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CINC-1609</w:t>
            </w:r>
          </w:p>
        </w:tc>
        <w:tc>
          <w:tcPr>
            <w:tcW w:w="611" w:type="pct"/>
            <w:tcBorders>
              <w:top w:val="nil"/>
              <w:left w:val="nil"/>
              <w:bottom w:val="single" w:sz="8" w:space="0" w:color="D9D9D9" w:themeColor="background1" w:themeShade="D9"/>
              <w:right w:val="nil"/>
            </w:tcBorders>
            <w:shd w:val="clear" w:color="auto" w:fill="FFFFFF" w:themeFill="background1"/>
            <w:noWrap/>
            <w:vAlign w:val="center"/>
            <w:hideMark/>
          </w:tcPr>
          <w:p w14:paraId="0F3ED3BF"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Nicor Gas</w:t>
            </w:r>
          </w:p>
        </w:tc>
        <w:tc>
          <w:tcPr>
            <w:tcW w:w="13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784DFDFB"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95"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63157DD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647,999 </w:t>
            </w:r>
          </w:p>
        </w:tc>
        <w:tc>
          <w:tcPr>
            <w:tcW w:w="70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4A89A474"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43,212 </w:t>
            </w:r>
          </w:p>
        </w:tc>
        <w:tc>
          <w:tcPr>
            <w:tcW w:w="178"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1D76DFF1"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7479E64E"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647,999 </w:t>
            </w:r>
          </w:p>
        </w:tc>
        <w:tc>
          <w:tcPr>
            <w:tcW w:w="521"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038542AA"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xml:space="preserve">       43,212 </w:t>
            </w:r>
          </w:p>
        </w:tc>
        <w:tc>
          <w:tcPr>
            <w:tcW w:w="179" w:type="pct"/>
            <w:gridSpan w:val="2"/>
            <w:tcBorders>
              <w:top w:val="nil"/>
              <w:left w:val="nil"/>
              <w:bottom w:val="single" w:sz="8" w:space="0" w:color="D9D9D9" w:themeColor="background1" w:themeShade="D9"/>
              <w:right w:val="nil"/>
            </w:tcBorders>
            <w:shd w:val="clear" w:color="auto" w:fill="FFFFFF" w:themeFill="background1"/>
            <w:noWrap/>
            <w:vAlign w:val="center"/>
            <w:hideMark/>
          </w:tcPr>
          <w:p w14:paraId="2A5B1ED8"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 </w:t>
            </w:r>
          </w:p>
        </w:tc>
        <w:tc>
          <w:tcPr>
            <w:tcW w:w="591" w:type="pct"/>
            <w:tcBorders>
              <w:top w:val="nil"/>
              <w:left w:val="nil"/>
              <w:bottom w:val="single" w:sz="8" w:space="0" w:color="D9D9D9" w:themeColor="background1" w:themeShade="D9"/>
              <w:right w:val="nil"/>
            </w:tcBorders>
            <w:shd w:val="clear" w:color="auto" w:fill="FFFFFF" w:themeFill="background1"/>
            <w:noWrap/>
            <w:vAlign w:val="center"/>
            <w:hideMark/>
          </w:tcPr>
          <w:p w14:paraId="04BB08F5"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c>
          <w:tcPr>
            <w:tcW w:w="546" w:type="pct"/>
            <w:tcBorders>
              <w:top w:val="nil"/>
              <w:left w:val="nil"/>
              <w:bottom w:val="single" w:sz="8" w:space="0" w:color="D9D9D9" w:themeColor="background1" w:themeShade="D9"/>
              <w:right w:val="nil"/>
            </w:tcBorders>
            <w:shd w:val="clear" w:color="auto" w:fill="FFFFFF" w:themeFill="background1"/>
            <w:noWrap/>
            <w:vAlign w:val="center"/>
            <w:hideMark/>
          </w:tcPr>
          <w:p w14:paraId="1653533B" w14:textId="77777777" w:rsidR="00B320BB" w:rsidRPr="0033015C" w:rsidRDefault="00B320BB" w:rsidP="00092EBA">
            <w:pPr>
              <w:jc w:val="right"/>
              <w:rPr>
                <w:rFonts w:ascii="Arial Narrow" w:hAnsi="Arial Narrow" w:cs="Calibri"/>
                <w:color w:val="000000"/>
                <w:sz w:val="20"/>
                <w:szCs w:val="20"/>
              </w:rPr>
            </w:pPr>
            <w:r w:rsidRPr="0033015C">
              <w:rPr>
                <w:rFonts w:ascii="Arial Narrow" w:hAnsi="Arial Narrow" w:cs="Calibri"/>
                <w:color w:val="000000"/>
                <w:sz w:val="20"/>
                <w:szCs w:val="20"/>
              </w:rPr>
              <w:t>1.00</w:t>
            </w:r>
          </w:p>
        </w:tc>
      </w:tr>
      <w:tr w:rsidR="00B320BB" w:rsidRPr="0033015C" w14:paraId="37B28BCE" w14:textId="77777777" w:rsidTr="00C179E2">
        <w:trPr>
          <w:trHeight w:val="300"/>
        </w:trPr>
        <w:tc>
          <w:tcPr>
            <w:tcW w:w="520" w:type="pct"/>
            <w:tcBorders>
              <w:top w:val="nil"/>
              <w:left w:val="nil"/>
              <w:bottom w:val="single" w:sz="8" w:space="0" w:color="D9D9D9" w:themeColor="background1" w:themeShade="D9"/>
              <w:right w:val="nil"/>
            </w:tcBorders>
            <w:shd w:val="clear" w:color="auto" w:fill="FFFFFF" w:themeFill="background1"/>
            <w:noWrap/>
            <w:vAlign w:val="center"/>
            <w:hideMark/>
          </w:tcPr>
          <w:p w14:paraId="20AA415B"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 </w:t>
            </w:r>
          </w:p>
        </w:tc>
        <w:tc>
          <w:tcPr>
            <w:tcW w:w="4480" w:type="pct"/>
            <w:gridSpan w:val="16"/>
            <w:tcBorders>
              <w:top w:val="single" w:sz="8" w:space="0" w:color="D9D9D9" w:themeColor="background1" w:themeShade="D9"/>
              <w:left w:val="nil"/>
              <w:bottom w:val="single" w:sz="8" w:space="0" w:color="D9D9D9" w:themeColor="background1" w:themeShade="D9"/>
              <w:right w:val="nil"/>
            </w:tcBorders>
            <w:shd w:val="clear" w:color="auto" w:fill="FFFFFF" w:themeFill="background1"/>
            <w:vAlign w:val="center"/>
            <w:hideMark/>
          </w:tcPr>
          <w:p w14:paraId="3E9A1208" w14:textId="77777777" w:rsidR="00B320BB" w:rsidRPr="0033015C" w:rsidRDefault="00B320BB" w:rsidP="00092EBA">
            <w:pPr>
              <w:rPr>
                <w:rFonts w:ascii="Arial Narrow" w:hAnsi="Arial Narrow" w:cs="Calibri"/>
                <w:color w:val="000000"/>
                <w:sz w:val="20"/>
                <w:szCs w:val="20"/>
              </w:rPr>
            </w:pPr>
            <w:r w:rsidRPr="0033015C">
              <w:rPr>
                <w:rFonts w:ascii="Arial Narrow" w:hAnsi="Arial Narrow" w:cs="Calibri"/>
                <w:color w:val="000000"/>
                <w:sz w:val="20"/>
                <w:szCs w:val="20"/>
              </w:rPr>
              <w:t>No changes.</w:t>
            </w:r>
          </w:p>
        </w:tc>
      </w:tr>
    </w:tbl>
    <w:p w14:paraId="1EB098D8" w14:textId="35C03DAC" w:rsidR="00A1054C" w:rsidRPr="00A1054C" w:rsidRDefault="00A1054C" w:rsidP="00A1054C">
      <w:pPr>
        <w:tabs>
          <w:tab w:val="left" w:pos="8820"/>
        </w:tabs>
        <w:spacing w:before="0" w:after="0"/>
        <w:rPr>
          <w:sz w:val="18"/>
          <w:szCs w:val="18"/>
        </w:rPr>
      </w:pPr>
      <w:r w:rsidRPr="0FAACDFC">
        <w:rPr>
          <w:sz w:val="18"/>
          <w:szCs w:val="18"/>
        </w:rPr>
        <w:t>EER – Energy Efficiency Ratio</w:t>
      </w:r>
    </w:p>
    <w:p w14:paraId="6E7918A3" w14:textId="77777777" w:rsidR="00A1054C" w:rsidRPr="00A1054C" w:rsidRDefault="00A1054C" w:rsidP="00A1054C">
      <w:pPr>
        <w:tabs>
          <w:tab w:val="left" w:pos="8820"/>
        </w:tabs>
        <w:spacing w:before="0" w:after="0"/>
        <w:rPr>
          <w:sz w:val="18"/>
          <w:szCs w:val="18"/>
        </w:rPr>
      </w:pPr>
      <w:r w:rsidRPr="0FAACDFC">
        <w:rPr>
          <w:sz w:val="18"/>
          <w:szCs w:val="18"/>
        </w:rPr>
        <w:t>PTHP – Packaged Terminal Heat Pump</w:t>
      </w:r>
    </w:p>
    <w:p w14:paraId="0F5F7346" w14:textId="0E30A627" w:rsidR="00A1054C" w:rsidRPr="00A1054C" w:rsidRDefault="00A1054C" w:rsidP="00A1054C">
      <w:pPr>
        <w:tabs>
          <w:tab w:val="left" w:pos="8820"/>
        </w:tabs>
        <w:spacing w:before="0" w:after="0"/>
        <w:rPr>
          <w:sz w:val="18"/>
          <w:szCs w:val="18"/>
        </w:rPr>
      </w:pPr>
      <w:r w:rsidRPr="0FAACDFC">
        <w:rPr>
          <w:sz w:val="18"/>
          <w:szCs w:val="18"/>
        </w:rPr>
        <w:t xml:space="preserve">SHGC – Solar Heat Gain </w:t>
      </w:r>
      <w:proofErr w:type="spellStart"/>
      <w:r w:rsidRPr="0FAACDFC">
        <w:rPr>
          <w:sz w:val="18"/>
          <w:szCs w:val="18"/>
        </w:rPr>
        <w:t>Coefficient</w:t>
      </w:r>
      <w:r w:rsidRPr="00F12636">
        <w:rPr>
          <w:sz w:val="18"/>
          <w:szCs w:val="18"/>
        </w:rPr>
        <w:t>RTU</w:t>
      </w:r>
      <w:proofErr w:type="spellEnd"/>
      <w:r w:rsidRPr="0FAACDFC">
        <w:rPr>
          <w:sz w:val="18"/>
          <w:szCs w:val="18"/>
        </w:rPr>
        <w:t xml:space="preserve"> - Rooftop Unit</w:t>
      </w:r>
    </w:p>
    <w:p w14:paraId="04D66343" w14:textId="7B62DA17" w:rsidR="00A1054C" w:rsidRDefault="00A1054C" w:rsidP="00A1054C">
      <w:pPr>
        <w:tabs>
          <w:tab w:val="left" w:pos="8820"/>
        </w:tabs>
        <w:spacing w:before="0" w:after="0"/>
        <w:rPr>
          <w:i/>
          <w:iCs/>
          <w:sz w:val="18"/>
          <w:szCs w:val="18"/>
        </w:rPr>
      </w:pPr>
      <w:r w:rsidRPr="00A1054C">
        <w:rPr>
          <w:i/>
          <w:iCs/>
          <w:sz w:val="18"/>
          <w:szCs w:val="18"/>
        </w:rPr>
        <w:t xml:space="preserve">Source: </w:t>
      </w:r>
      <w:r w:rsidR="00C47B0A">
        <w:rPr>
          <w:i/>
          <w:iCs/>
          <w:sz w:val="18"/>
          <w:szCs w:val="18"/>
        </w:rPr>
        <w:t>Nicor</w:t>
      </w:r>
      <w:r w:rsidR="00C47B0A" w:rsidRPr="00A1054C">
        <w:rPr>
          <w:i/>
          <w:iCs/>
          <w:sz w:val="18"/>
          <w:szCs w:val="18"/>
        </w:rPr>
        <w:t xml:space="preserve"> </w:t>
      </w:r>
      <w:r w:rsidRPr="00A1054C">
        <w:rPr>
          <w:i/>
          <w:iCs/>
          <w:sz w:val="18"/>
          <w:szCs w:val="18"/>
        </w:rPr>
        <w:t xml:space="preserve">tracking data and </w:t>
      </w:r>
      <w:r>
        <w:rPr>
          <w:i/>
          <w:iCs/>
          <w:sz w:val="18"/>
          <w:szCs w:val="18"/>
        </w:rPr>
        <w:t>evaluation team analysis.</w:t>
      </w:r>
    </w:p>
    <w:p w14:paraId="461BE424" w14:textId="77777777" w:rsidR="000E1FF4" w:rsidRDefault="000E1FF4" w:rsidP="00A1054C">
      <w:pPr>
        <w:tabs>
          <w:tab w:val="left" w:pos="8820"/>
        </w:tabs>
        <w:spacing w:before="0" w:after="0"/>
        <w:rPr>
          <w:i/>
          <w:iCs/>
          <w:sz w:val="18"/>
          <w:szCs w:val="18"/>
        </w:rPr>
      </w:pPr>
    </w:p>
    <w:p w14:paraId="2B63F9E8" w14:textId="03ADDA96" w:rsidR="00004DF4" w:rsidRPr="00A1054C" w:rsidRDefault="00004DF4" w:rsidP="00A1054C">
      <w:pPr>
        <w:tabs>
          <w:tab w:val="left" w:pos="8820"/>
        </w:tabs>
        <w:spacing w:before="0" w:after="0"/>
        <w:rPr>
          <w:i/>
          <w:iCs/>
          <w:sz w:val="18"/>
          <w:szCs w:val="18"/>
        </w:rPr>
        <w:sectPr w:rsidR="00004DF4" w:rsidRPr="00A1054C">
          <w:pgSz w:w="12240" w:h="15840" w:code="1"/>
          <w:pgMar w:top="1440" w:right="1440" w:bottom="1440" w:left="1440" w:header="720" w:footer="720" w:gutter="0"/>
          <w:pgNumType w:chapStyle="5"/>
          <w:cols w:space="720"/>
          <w:docGrid w:linePitch="360"/>
        </w:sectPr>
      </w:pPr>
    </w:p>
    <w:p w14:paraId="35770EB3" w14:textId="77777777" w:rsidR="00A1054C" w:rsidRPr="00391610" w:rsidRDefault="00A1054C" w:rsidP="00302DE0">
      <w:pPr>
        <w:pStyle w:val="Heading5"/>
      </w:pPr>
      <w:bookmarkStart w:id="58" w:name="_Toc189833651"/>
      <w:bookmarkStart w:id="59" w:name="_Ref192241754"/>
      <w:bookmarkStart w:id="60" w:name="_Ref192241757"/>
      <w:bookmarkStart w:id="61" w:name="_Ref192241760"/>
      <w:bookmarkEnd w:id="52"/>
      <w:bookmarkEnd w:id="53"/>
      <w:r>
        <w:t>Ap</w:t>
      </w:r>
      <w:r w:rsidRPr="00391610">
        <w:t>pendix B. Program Specific Inputs for the Illinois TRC</w:t>
      </w:r>
      <w:bookmarkEnd w:id="58"/>
      <w:bookmarkEnd w:id="59"/>
      <w:bookmarkEnd w:id="60"/>
      <w:bookmarkEnd w:id="61"/>
    </w:p>
    <w:p w14:paraId="5C67573E" w14:textId="7550FF9D" w:rsidR="00A1054C" w:rsidRPr="00391610" w:rsidRDefault="00A1054C">
      <w:r w:rsidRPr="00391610">
        <w:fldChar w:fldCharType="begin"/>
      </w:r>
      <w:r w:rsidRPr="00391610">
        <w:instrText xml:space="preserve"> REF _Ref66787029 \h </w:instrText>
      </w:r>
      <w:r w:rsidR="009A2D81" w:rsidRPr="00C179E2">
        <w:instrText xml:space="preserve"> \* MERGEFORMAT </w:instrText>
      </w:r>
      <w:r w:rsidRPr="00391610">
        <w:fldChar w:fldCharType="separate"/>
      </w:r>
      <w:r w:rsidRPr="00391610">
        <w:t xml:space="preserve">Table </w:t>
      </w:r>
      <w:r w:rsidRPr="00391610">
        <w:rPr>
          <w:noProof/>
        </w:rPr>
        <w:t>B</w:t>
      </w:r>
      <w:r w:rsidRPr="00391610">
        <w:noBreakHyphen/>
      </w:r>
      <w:r w:rsidRPr="00391610">
        <w:rPr>
          <w:noProof/>
        </w:rPr>
        <w:t>1</w:t>
      </w:r>
      <w:r w:rsidRPr="00391610">
        <w:fldChar w:fldCharType="end"/>
      </w:r>
      <w:r w:rsidRPr="00391610">
        <w:t xml:space="preserve"> shows the Total Resource Cost (TRC) cost-effectiveness analysis inputs available at the time of producing this impact evaluation report. Additional required cost data (e.g., measure costs, program level incentive and non-incentive costs) are not included in this table and will be provided to the evaluation team later. Guidehouse will include annual and lifetime water savings and greenhouse gas reductions in the end of year summary report.</w:t>
      </w:r>
    </w:p>
    <w:p w14:paraId="038AC13D" w14:textId="2535F422" w:rsidR="00A1054C" w:rsidRDefault="00A1054C">
      <w:pPr>
        <w:pStyle w:val="Caption"/>
      </w:pPr>
      <w:bookmarkStart w:id="62" w:name="_Ref66787029"/>
      <w:bookmarkStart w:id="63" w:name="_Ref63952142"/>
      <w:bookmarkStart w:id="64" w:name="_Toc367307499"/>
      <w:bookmarkStart w:id="65" w:name="_Toc398541812"/>
      <w:bookmarkStart w:id="66" w:name="_Toc398541925"/>
      <w:bookmarkStart w:id="67" w:name="_Toc398546657"/>
      <w:bookmarkStart w:id="68" w:name="_Toc423009519"/>
      <w:bookmarkStart w:id="69" w:name="_Toc426278637"/>
      <w:bookmarkStart w:id="70" w:name="_Toc63321485"/>
      <w:bookmarkStart w:id="71" w:name="_Toc63961488"/>
      <w:bookmarkStart w:id="72" w:name="_Toc61360851"/>
      <w:bookmarkStart w:id="73" w:name="_Toc192512597"/>
      <w:r w:rsidRPr="00391610">
        <w:t xml:space="preserve">Table </w:t>
      </w:r>
      <w:r w:rsidR="00391610" w:rsidRPr="000145F5">
        <w:t>B</w:t>
      </w:r>
      <w:r w:rsidRPr="00391610">
        <w:noBreakHyphen/>
      </w:r>
      <w:r w:rsidRPr="00391610">
        <w:fldChar w:fldCharType="begin"/>
      </w:r>
      <w:r w:rsidRPr="00391610">
        <w:instrText>SEQ Table_Apx \* ARABIC \s 5</w:instrText>
      </w:r>
      <w:r w:rsidRPr="00391610">
        <w:fldChar w:fldCharType="separate"/>
      </w:r>
      <w:r w:rsidRPr="00391610" w:rsidDel="004430C0">
        <w:rPr>
          <w:noProof/>
        </w:rPr>
        <w:t>1</w:t>
      </w:r>
      <w:r w:rsidRPr="00391610">
        <w:fldChar w:fldCharType="end"/>
      </w:r>
      <w:bookmarkEnd w:id="62"/>
      <w:r w:rsidRPr="00391610">
        <w:t>.</w:t>
      </w:r>
      <w:r w:rsidRPr="00391610" w:rsidDel="00146395">
        <w:t xml:space="preserve"> </w:t>
      </w:r>
      <w:bookmarkEnd w:id="63"/>
      <w:bookmarkEnd w:id="64"/>
      <w:bookmarkEnd w:id="65"/>
      <w:bookmarkEnd w:id="66"/>
      <w:bookmarkEnd w:id="67"/>
      <w:bookmarkEnd w:id="68"/>
      <w:bookmarkEnd w:id="69"/>
      <w:bookmarkEnd w:id="70"/>
      <w:bookmarkEnd w:id="71"/>
      <w:r w:rsidRPr="00391610">
        <w:t>Ver</w:t>
      </w:r>
      <w:r>
        <w:t>ified Cost Effectiveness Inputs</w:t>
      </w:r>
      <w:bookmarkStart w:id="74" w:name="Table_B_1"/>
      <w:bookmarkEnd w:id="72"/>
      <w:bookmarkEnd w:id="73"/>
      <w:bookmarkEnd w:id="74"/>
    </w:p>
    <w:tbl>
      <w:tblPr>
        <w:tblW w:w="0" w:type="auto"/>
        <w:jc w:val="center"/>
        <w:tblLayout w:type="fixed"/>
        <w:tblLook w:val="0420" w:firstRow="1" w:lastRow="0" w:firstColumn="0" w:lastColumn="0" w:noHBand="0" w:noVBand="1"/>
      </w:tblPr>
      <w:tblGrid>
        <w:gridCol w:w="780"/>
        <w:gridCol w:w="780"/>
        <w:gridCol w:w="780"/>
        <w:gridCol w:w="780"/>
        <w:gridCol w:w="780"/>
        <w:gridCol w:w="780"/>
        <w:gridCol w:w="780"/>
        <w:gridCol w:w="780"/>
        <w:gridCol w:w="780"/>
        <w:gridCol w:w="780"/>
        <w:gridCol w:w="780"/>
        <w:gridCol w:w="780"/>
      </w:tblGrid>
      <w:tr w:rsidR="00A95EEE" w:rsidRPr="000E1FF4" w14:paraId="0E786EFB" w14:textId="77777777" w:rsidTr="00C179E2">
        <w:trPr>
          <w:tblHeader/>
          <w:jc w:val="center"/>
        </w:trPr>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D240138" w14:textId="77777777" w:rsidR="00A95EEE" w:rsidRPr="00C179E2" w:rsidRDefault="00A1054C" w:rsidP="00CD04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Program Category</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94FCD28"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Program Path</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57E75A3"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Savings Category</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F73BC97" w14:textId="7056C056"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DAC Project</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616C68C"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Units</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2CBAC98"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Quantity</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AA924D9"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Effective Useful Life</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5F78CAB"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Early Replacement Flag</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4DC7548"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Verified Gross Annual Water Savings (Gallons)</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88C1A0F"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Ex Ante Gross Savings (Therms)</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1D06F32"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Verified Gross Savings (Therms)</w:t>
            </w:r>
          </w:p>
        </w:tc>
        <w:tc>
          <w:tcPr>
            <w:tcW w:w="7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446780E"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FFFFFF"/>
                <w:sz w:val="20"/>
                <w:szCs w:val="20"/>
              </w:rPr>
            </w:pPr>
            <w:r w:rsidRPr="00C179E2">
              <w:rPr>
                <w:rFonts w:ascii="Arial Narrow" w:eastAsia="DejaVu Sans" w:hAnsi="Arial Narrow" w:cs="DejaVu Sans"/>
                <w:b/>
                <w:bCs/>
                <w:color w:val="FFFFFF"/>
                <w:sz w:val="20"/>
                <w:szCs w:val="20"/>
              </w:rPr>
              <w:t>Verified Net Savings (Therms)</w:t>
            </w:r>
          </w:p>
        </w:tc>
      </w:tr>
      <w:tr w:rsidR="00A95EEE" w:rsidRPr="000E1FF4" w14:paraId="60509CB1" w14:textId="77777777" w:rsidTr="00C179E2">
        <w:trPr>
          <w:jc w:val="center"/>
        </w:trPr>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1EDF12" w14:textId="77777777" w:rsidR="00A95EEE" w:rsidRPr="00C179E2" w:rsidRDefault="00A1054C" w:rsidP="00CD04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Private</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607873"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Whole Building</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F9B57C"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DAC Ineligible Projects</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B42A7D"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CEF272"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37F4FB"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16</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BDF470"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20.60</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572974"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DE2CE5"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6D1A71"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227,282</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9C454E"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229,058</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1B9C87"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98,495</w:t>
            </w:r>
          </w:p>
        </w:tc>
      </w:tr>
      <w:tr w:rsidR="00A95EEE" w:rsidRPr="000E1FF4" w14:paraId="5567DDC0" w14:textId="77777777" w:rsidTr="00C179E2">
        <w:trPr>
          <w:jc w:val="center"/>
        </w:trPr>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899C9F" w14:textId="77777777" w:rsidR="00A95EEE" w:rsidRPr="00C179E2" w:rsidRDefault="00A1054C" w:rsidP="00CD04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Public</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4A2C0B"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Whole Building</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888940" w14:textId="77777777" w:rsidR="00A95EEE" w:rsidRPr="00C179E2" w:rsidRDefault="00A1054C"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DAC Ineligible Projects</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061B44"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FALSE</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50D054"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Project</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54EB14"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4</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CB1976"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20.60</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9C8A61"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NO</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755BCA"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N/A</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4F4933"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75,472</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B7E3E5"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76,062</w:t>
            </w:r>
          </w:p>
        </w:tc>
        <w:tc>
          <w:tcPr>
            <w:tcW w:w="7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AEB522" w14:textId="77777777" w:rsidR="00A95EEE" w:rsidRPr="00C179E2" w:rsidRDefault="00A1054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179E2">
              <w:rPr>
                <w:rFonts w:ascii="Arial Narrow" w:eastAsia="DejaVu Sans" w:hAnsi="Arial Narrow" w:cs="DejaVu Sans"/>
                <w:color w:val="000000"/>
                <w:sz w:val="20"/>
                <w:szCs w:val="20"/>
              </w:rPr>
              <w:t>32,707</w:t>
            </w:r>
          </w:p>
        </w:tc>
      </w:tr>
      <w:tr w:rsidR="000E1FF4" w:rsidRPr="000E1FF4" w14:paraId="1E2DBC1A" w14:textId="77777777" w:rsidTr="00C179E2">
        <w:trPr>
          <w:jc w:val="center"/>
        </w:trPr>
        <w:tc>
          <w:tcPr>
            <w:tcW w:w="2340" w:type="dxa"/>
            <w:gridSpan w:val="3"/>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22D609F" w14:textId="24154541" w:rsidR="000E1FF4" w:rsidRPr="00C179E2" w:rsidRDefault="000E1FF4" w:rsidP="00C179E2">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Total or Weighted Average</w:t>
            </w: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1E07A7E"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BC81F98"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770F2AB"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31A6C0D"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20.60</w:t>
            </w: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7B01813"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9985336"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N/A</w:t>
            </w: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3BD354D" w14:textId="098C404D"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themeColor="text1"/>
                <w:sz w:val="20"/>
                <w:szCs w:val="20"/>
              </w:rPr>
              <w:t>302,754</w:t>
            </w: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CB2C062"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305,119</w:t>
            </w:r>
          </w:p>
        </w:tc>
        <w:tc>
          <w:tcPr>
            <w:tcW w:w="7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08B61A5" w14:textId="77777777" w:rsidR="000E1FF4" w:rsidRPr="00C179E2" w:rsidRDefault="000E1FF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179E2">
              <w:rPr>
                <w:rFonts w:ascii="Arial Narrow" w:eastAsia="DejaVu Sans" w:hAnsi="Arial Narrow" w:cs="DejaVu Sans"/>
                <w:b/>
                <w:color w:val="000000"/>
                <w:sz w:val="20"/>
                <w:szCs w:val="20"/>
              </w:rPr>
              <w:t>131,201</w:t>
            </w:r>
          </w:p>
        </w:tc>
      </w:tr>
    </w:tbl>
    <w:p w14:paraId="5B95FE05" w14:textId="008FE0F9" w:rsidR="00A1054C" w:rsidRPr="00D12853" w:rsidRDefault="00F947E0" w:rsidP="00C179E2">
      <w:pPr>
        <w:keepNext/>
        <w:keepLines/>
        <w:spacing w:before="0"/>
        <w:rPr>
          <w:i/>
          <w:color w:val="000000" w:themeColor="text1"/>
          <w:sz w:val="16"/>
        </w:rPr>
      </w:pPr>
      <w:r w:rsidRPr="00C179E2">
        <w:rPr>
          <w:iCs/>
          <w:color w:val="000000" w:themeColor="text1"/>
          <w:sz w:val="16"/>
        </w:rPr>
        <w:t xml:space="preserve">Note: As of March 12, 2025, the evaluation team is still finalizing the application of the Net to Gross Policy for Disadvantaged Areas. The evaluation team applied a NTG ratio of 1.0 to the verified gross savings estimates of eligible projects, which, as of this time, included public and private projects in disadvantaged communities (ZIP codes) with square footage values under the area threshold for eligibility based on building type. The area threshold criteria </w:t>
      </w:r>
      <w:proofErr w:type="gramStart"/>
      <w:r w:rsidRPr="00C179E2">
        <w:rPr>
          <w:iCs/>
          <w:color w:val="000000" w:themeColor="text1"/>
          <w:sz w:val="16"/>
        </w:rPr>
        <w:t>acts</w:t>
      </w:r>
      <w:proofErr w:type="gramEnd"/>
      <w:r w:rsidRPr="00C179E2">
        <w:rPr>
          <w:iCs/>
          <w:color w:val="000000" w:themeColor="text1"/>
          <w:sz w:val="16"/>
        </w:rPr>
        <w:t xml:space="preserve"> as a proxy in the absence of reliable electric rate and annual gas consumption data. The second half of this policy, which assigns public sector projects in DAC municipalities qualified as general delivery service municipal, public school, or local government projects a NTG of 1.0 was not applied in the first draft but will be applied in subsequent drafts.</w:t>
      </w:r>
      <w:r>
        <w:rPr>
          <w:i/>
          <w:color w:val="000000" w:themeColor="text1"/>
          <w:sz w:val="16"/>
        </w:rPr>
        <w:br/>
      </w:r>
      <w:r w:rsidR="00A1054C" w:rsidRPr="00D12853">
        <w:rPr>
          <w:i/>
          <w:color w:val="000000" w:themeColor="text1"/>
          <w:sz w:val="16"/>
        </w:rPr>
        <w:t xml:space="preserve">Source: </w:t>
      </w:r>
      <w:r w:rsidR="00A1054C">
        <w:rPr>
          <w:i/>
          <w:color w:val="000000" w:themeColor="text1"/>
          <w:sz w:val="16"/>
        </w:rPr>
        <w:t xml:space="preserve">Evaluation </w:t>
      </w:r>
      <w:r w:rsidR="00A1054C" w:rsidRPr="00D12853">
        <w:rPr>
          <w:i/>
          <w:color w:val="000000" w:themeColor="text1"/>
          <w:sz w:val="16"/>
        </w:rPr>
        <w:t>team analysis.</w:t>
      </w:r>
    </w:p>
    <w:p w14:paraId="243EF816" w14:textId="77777777" w:rsidR="00A1054C" w:rsidRDefault="00A1054C"/>
    <w:sectPr w:rsidR="00A1054C">
      <w:headerReference w:type="default" r:id="rId20"/>
      <w:type w:val="continuous"/>
      <w:pgSz w:w="1224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2D77" w14:textId="77777777" w:rsidR="0066124F" w:rsidRDefault="0066124F">
      <w:pPr>
        <w:spacing w:before="0" w:after="0"/>
      </w:pPr>
      <w:r>
        <w:separator/>
      </w:r>
    </w:p>
  </w:endnote>
  <w:endnote w:type="continuationSeparator" w:id="0">
    <w:p w14:paraId="39E76C28" w14:textId="77777777" w:rsidR="0066124F" w:rsidRDefault="0066124F">
      <w:pPr>
        <w:spacing w:before="0" w:after="0"/>
      </w:pPr>
      <w:r>
        <w:continuationSeparator/>
      </w:r>
    </w:p>
  </w:endnote>
  <w:endnote w:type="continuationNotice" w:id="1">
    <w:p w14:paraId="1FB311DF" w14:textId="77777777" w:rsidR="0066124F" w:rsidRDefault="006612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tka Small Semibold">
    <w:charset w:val="00"/>
    <w:family w:val="auto"/>
    <w:pitch w:val="variable"/>
    <w:sig w:usb0="A00002EF" w:usb1="4000204B" w:usb2="00000000" w:usb3="00000000" w:csb0="000001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26BD" w14:textId="77777777" w:rsidR="00A1054C" w:rsidRDefault="00A1054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641F302" w14:textId="77777777" w:rsidR="00A1054C" w:rsidRDefault="00A1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44ED0DB0" w14:paraId="55B3D035" w14:textId="77777777" w:rsidTr="00C179E2">
      <w:trPr>
        <w:trHeight w:val="300"/>
      </w:trPr>
      <w:tc>
        <w:tcPr>
          <w:tcW w:w="3405" w:type="dxa"/>
        </w:tcPr>
        <w:p w14:paraId="20C7A7A2" w14:textId="6D4DFC30" w:rsidR="44ED0DB0" w:rsidRDefault="44ED0DB0" w:rsidP="00C179E2">
          <w:pPr>
            <w:pStyle w:val="Header"/>
            <w:ind w:left="-115"/>
          </w:pPr>
        </w:p>
      </w:tc>
      <w:tc>
        <w:tcPr>
          <w:tcW w:w="3405" w:type="dxa"/>
        </w:tcPr>
        <w:p w14:paraId="66E6780B" w14:textId="312595B3" w:rsidR="44ED0DB0" w:rsidRDefault="44ED0DB0" w:rsidP="00C179E2">
          <w:pPr>
            <w:pStyle w:val="Header"/>
            <w:jc w:val="center"/>
          </w:pPr>
        </w:p>
      </w:tc>
      <w:tc>
        <w:tcPr>
          <w:tcW w:w="3405" w:type="dxa"/>
        </w:tcPr>
        <w:p w14:paraId="42F0FFB9" w14:textId="4F3AFE45" w:rsidR="44ED0DB0" w:rsidRDefault="44ED0DB0" w:rsidP="00C179E2">
          <w:pPr>
            <w:pStyle w:val="Header"/>
            <w:ind w:right="-115"/>
            <w:jc w:val="right"/>
          </w:pPr>
        </w:p>
      </w:tc>
    </w:tr>
  </w:tbl>
  <w:p w14:paraId="3C57FAFA" w14:textId="24190401" w:rsidR="44ED0DB0" w:rsidRDefault="44ED0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71B8" w14:textId="77777777" w:rsidR="00A1054C" w:rsidRPr="006B38AE" w:rsidRDefault="00A105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A63BE2" w:rsidRPr="00582062" w14:paraId="14758F7D" w14:textId="77777777">
      <w:trPr>
        <w:trHeight w:val="144"/>
        <w:jc w:val="center"/>
      </w:trPr>
      <w:tc>
        <w:tcPr>
          <w:tcW w:w="7470" w:type="dxa"/>
          <w:tcBorders>
            <w:top w:val="single" w:sz="8" w:space="0" w:color="8C8C8C"/>
            <w:left w:val="nil"/>
            <w:bottom w:val="nil"/>
          </w:tcBorders>
        </w:tcPr>
        <w:p w14:paraId="0AA10472" w14:textId="77777777" w:rsidR="00A1054C" w:rsidRPr="00582062" w:rsidRDefault="00A1054C">
          <w:pPr>
            <w:pStyle w:val="Footer"/>
            <w:spacing w:before="120"/>
            <w:rPr>
              <w:sz w:val="2"/>
              <w:szCs w:val="2"/>
            </w:rPr>
          </w:pPr>
        </w:p>
      </w:tc>
      <w:tc>
        <w:tcPr>
          <w:tcW w:w="1890" w:type="dxa"/>
          <w:tcBorders>
            <w:top w:val="single" w:sz="8" w:space="0" w:color="8C8C8C"/>
          </w:tcBorders>
        </w:tcPr>
        <w:p w14:paraId="5E3438D8" w14:textId="77777777" w:rsidR="00A1054C" w:rsidRPr="00582062" w:rsidRDefault="00A1054C">
          <w:pPr>
            <w:pStyle w:val="Footer"/>
            <w:spacing w:before="120"/>
            <w:jc w:val="right"/>
            <w:rPr>
              <w:sz w:val="2"/>
              <w:szCs w:val="2"/>
            </w:rPr>
          </w:pPr>
        </w:p>
      </w:tc>
    </w:tr>
    <w:tr w:rsidR="00A63BE2" w:rsidRPr="00EA2FA5" w14:paraId="160C5311" w14:textId="77777777">
      <w:trPr>
        <w:trHeight w:val="195"/>
        <w:jc w:val="center"/>
      </w:trPr>
      <w:tc>
        <w:tcPr>
          <w:tcW w:w="7470" w:type="dxa"/>
          <w:tcBorders>
            <w:top w:val="nil"/>
            <w:left w:val="nil"/>
          </w:tcBorders>
          <w:vAlign w:val="center"/>
        </w:tcPr>
        <w:p w14:paraId="7D0E59CA" w14:textId="77777777" w:rsidR="00A1054C" w:rsidRPr="0075421C" w:rsidRDefault="00A1054C">
          <w:pPr>
            <w:pStyle w:val="Footer"/>
            <w:rPr>
              <w:i/>
              <w:iCs/>
              <w:sz w:val="18"/>
            </w:rPr>
          </w:pPr>
          <w:r w:rsidRPr="007B1C67">
            <w:rPr>
              <w:rFonts w:cs="Arial"/>
              <w:sz w:val="18"/>
              <w:szCs w:val="18"/>
            </w:rPr>
            <w:t>Guidehouse Inc.</w:t>
          </w:r>
        </w:p>
      </w:tc>
      <w:tc>
        <w:tcPr>
          <w:tcW w:w="1890" w:type="dxa"/>
          <w:vAlign w:val="center"/>
        </w:tcPr>
        <w:p w14:paraId="2A97A11B" w14:textId="77777777" w:rsidR="00A1054C" w:rsidRPr="0075421C" w:rsidRDefault="00A1054C">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71DB66E0" w14:textId="77777777" w:rsidR="00A1054C" w:rsidRPr="000C64C5" w:rsidRDefault="00A1054C">
    <w:pPr>
      <w:pStyle w:val="Footer"/>
      <w:ind w:right="360"/>
      <w:rPr>
        <w:sz w:val="2"/>
        <w:szCs w:val="2"/>
      </w:rPr>
    </w:pPr>
  </w:p>
  <w:p w14:paraId="090685F5" w14:textId="77777777" w:rsidR="00A1054C" w:rsidRPr="008B6585" w:rsidRDefault="00A1054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C406" w14:textId="77777777" w:rsidR="0066124F" w:rsidRDefault="0066124F">
      <w:pPr>
        <w:spacing w:before="0" w:after="0"/>
      </w:pPr>
      <w:r>
        <w:separator/>
      </w:r>
    </w:p>
  </w:footnote>
  <w:footnote w:type="continuationSeparator" w:id="0">
    <w:p w14:paraId="6EAC5ED0" w14:textId="77777777" w:rsidR="0066124F" w:rsidRDefault="0066124F">
      <w:pPr>
        <w:spacing w:before="0" w:after="0"/>
      </w:pPr>
      <w:r>
        <w:continuationSeparator/>
      </w:r>
    </w:p>
  </w:footnote>
  <w:footnote w:type="continuationNotice" w:id="1">
    <w:p w14:paraId="50BB44E1" w14:textId="77777777" w:rsidR="0066124F" w:rsidRDefault="0066124F">
      <w:pPr>
        <w:spacing w:before="0" w:after="0"/>
      </w:pPr>
    </w:p>
  </w:footnote>
  <w:footnote w:id="2">
    <w:p w14:paraId="01CCC367" w14:textId="5E0A8115" w:rsidR="006C2376" w:rsidRDefault="006C2376">
      <w:pPr>
        <w:pStyle w:val="FootnoteText"/>
      </w:pPr>
      <w:r>
        <w:rPr>
          <w:rStyle w:val="FootnoteReference"/>
        </w:rPr>
        <w:footnoteRef/>
      </w:r>
      <w:r>
        <w:t xml:space="preserve"> </w:t>
      </w:r>
      <w:r w:rsidR="00C47B0A">
        <w:t xml:space="preserve">National Electrical Manufacturers Association, </w:t>
      </w:r>
      <w:r w:rsidR="00C47B0A" w:rsidRPr="00C055A2">
        <w:rPr>
          <w:i/>
          <w:iCs/>
        </w:rPr>
        <w:t>Demand Reduction and Energy Savings Using Occupancy Sensors</w:t>
      </w:r>
      <w:r w:rsidR="00C47B0A">
        <w:t xml:space="preserve">, </w:t>
      </w:r>
      <w:hyperlink r:id="rId1" w:history="1">
        <w:r w:rsidR="00C47B0A" w:rsidRPr="00450681">
          <w:rPr>
            <w:rStyle w:val="Hyperlink"/>
          </w:rPr>
          <w:t>https://synergylightingusa.com/wp-content/uploads/2010/06/NEMA-Occupancy-Study.pdf</w:t>
        </w:r>
      </w:hyperlink>
      <w:r w:rsidR="00C47B0A">
        <w:t>, accessed March 21, 2025.</w:t>
      </w:r>
    </w:p>
  </w:footnote>
  <w:footnote w:id="3">
    <w:p w14:paraId="57AA41F0" w14:textId="77777777" w:rsidR="00B320BB" w:rsidRPr="000D7097" w:rsidRDefault="00B320BB" w:rsidP="00B320BB">
      <w:pPr>
        <w:pStyle w:val="FootnoteText"/>
      </w:pPr>
      <w:r>
        <w:rPr>
          <w:rStyle w:val="FootnoteReference"/>
        </w:rPr>
        <w:footnoteRef/>
      </w:r>
      <w:r>
        <w:t xml:space="preserve"> National Electrical Manufacturers Association, </w:t>
      </w:r>
      <w:r w:rsidRPr="00C055A2">
        <w:rPr>
          <w:i/>
          <w:iCs/>
        </w:rPr>
        <w:t>Demand Reduction and Energy Savings Using Occupancy Sensors</w:t>
      </w:r>
      <w:r>
        <w:t xml:space="preserve">, </w:t>
      </w:r>
      <w:hyperlink r:id="rId2" w:history="1">
        <w:r w:rsidRPr="00450681">
          <w:rPr>
            <w:rStyle w:val="Hyperlink"/>
          </w:rPr>
          <w:t>https://synergylightingusa.com/wp-content/uploads/2010/06/NEMA-Occupancy-Study.pdf</w:t>
        </w:r>
      </w:hyperlink>
      <w:r>
        <w:t>, accessed March 21,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A63BE2" w14:paraId="783873EA" w14:textId="77777777">
      <w:trPr>
        <w:jc w:val="center"/>
      </w:trPr>
      <w:tc>
        <w:tcPr>
          <w:tcW w:w="1980" w:type="dxa"/>
          <w:vAlign w:val="center"/>
        </w:tcPr>
        <w:p w14:paraId="3B2926F3" w14:textId="77777777" w:rsidR="00A1054C" w:rsidRPr="006A71F6" w:rsidRDefault="00A1054C">
          <w:pPr>
            <w:pStyle w:val="Header"/>
          </w:pPr>
          <w:r>
            <w:rPr>
              <w:noProof/>
            </w:rPr>
            <w:drawing>
              <wp:inline distT="0" distB="0" distL="0" distR="0" wp14:anchorId="3A733997" wp14:editId="71752859">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4C8036E" w14:textId="77777777" w:rsidR="00A1054C" w:rsidRPr="007B09EC" w:rsidRDefault="00A1054C">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28C3D9DC" w14:textId="77777777" w:rsidR="00A1054C" w:rsidRDefault="00A10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5E4E" w14:textId="77777777" w:rsidR="00A1054C" w:rsidRDefault="00A1054C">
    <w:pPr>
      <w:pStyle w:val="Header"/>
    </w:pPr>
    <w:r>
      <w:rPr>
        <w:noProof/>
      </w:rPr>
      <w:drawing>
        <wp:anchor distT="0" distB="0" distL="114300" distR="114300" simplePos="0" relativeHeight="251658240" behindDoc="0" locked="0" layoutInCell="1" allowOverlap="1" wp14:anchorId="3699DE03" wp14:editId="47E6E059">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EDBCBE5" w14:textId="77777777" w:rsidR="00A1054C" w:rsidRPr="00F2773B" w:rsidRDefault="00A10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230"/>
      <w:gridCol w:w="5130"/>
    </w:tblGrid>
    <w:tr w:rsidR="00A63BE2" w14:paraId="7E2884F6" w14:textId="77777777" w:rsidTr="00004DF4">
      <w:trPr>
        <w:jc w:val="center"/>
      </w:trPr>
      <w:tc>
        <w:tcPr>
          <w:tcW w:w="4230" w:type="dxa"/>
          <w:vAlign w:val="center"/>
        </w:tcPr>
        <w:p w14:paraId="55BB24C0" w14:textId="77777777" w:rsidR="00A1054C" w:rsidRPr="006A71F6" w:rsidRDefault="00A1054C">
          <w:pPr>
            <w:pStyle w:val="Header"/>
          </w:pPr>
          <w:r>
            <w:rPr>
              <w:noProof/>
            </w:rPr>
            <w:drawing>
              <wp:inline distT="0" distB="0" distL="0" distR="0" wp14:anchorId="7F398634" wp14:editId="5CDE6ADB">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130" w:type="dxa"/>
          <w:vAlign w:val="bottom"/>
        </w:tcPr>
        <w:p w14:paraId="077DBF82" w14:textId="5805B66A" w:rsidR="00A1054C" w:rsidRPr="00E063FB" w:rsidRDefault="00A1054C">
          <w:pPr>
            <w:pStyle w:val="Header"/>
            <w:rPr>
              <w:bCs/>
            </w:rPr>
          </w:pPr>
          <w:r w:rsidRPr="00E063FB">
            <w:rPr>
              <w:bCs/>
              <w:noProof/>
            </w:rPr>
            <w:fldChar w:fldCharType="begin"/>
          </w:r>
          <w:r w:rsidRPr="00E063FB">
            <w:rPr>
              <w:bCs/>
              <w:noProof/>
            </w:rPr>
            <w:instrText xml:space="preserve"> STYLEREF  Title,Cover_Title  \* MERGEFORMAT </w:instrText>
          </w:r>
          <w:r w:rsidRPr="00E063FB">
            <w:rPr>
              <w:bCs/>
              <w:noProof/>
            </w:rPr>
            <w:fldChar w:fldCharType="separate"/>
          </w:r>
          <w:r w:rsidR="00004DF4">
            <w:rPr>
              <w:bCs/>
              <w:noProof/>
            </w:rPr>
            <w:t>Business New Construction Impact Evaluation Report</w:t>
          </w:r>
          <w:r w:rsidRPr="00E063FB">
            <w:rPr>
              <w:bCs/>
              <w:noProof/>
            </w:rPr>
            <w:fldChar w:fldCharType="end"/>
          </w:r>
        </w:p>
      </w:tc>
    </w:tr>
  </w:tbl>
  <w:p w14:paraId="7381CE0C" w14:textId="77777777" w:rsidR="00A1054C" w:rsidRPr="00E656A1" w:rsidRDefault="00A10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A63BE2" w14:paraId="6DDDBA9B" w14:textId="77777777">
      <w:trPr>
        <w:jc w:val="center"/>
      </w:trPr>
      <w:tc>
        <w:tcPr>
          <w:tcW w:w="1980" w:type="dxa"/>
          <w:vAlign w:val="center"/>
        </w:tcPr>
        <w:p w14:paraId="71358557" w14:textId="77777777" w:rsidR="00A1054C" w:rsidRPr="006A71F6" w:rsidRDefault="00A1054C">
          <w:pPr>
            <w:pStyle w:val="Header"/>
          </w:pPr>
          <w:r>
            <w:rPr>
              <w:noProof/>
            </w:rPr>
            <w:drawing>
              <wp:inline distT="0" distB="0" distL="0" distR="0" wp14:anchorId="5BB63809" wp14:editId="7890A15C">
                <wp:extent cx="1097282" cy="277522"/>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2D493E09" w14:textId="5BD588E8" w:rsidR="00A1054C" w:rsidRPr="007B09EC" w:rsidRDefault="00A1054C">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B0596B" w:rsidRPr="00B0596B">
            <w:rPr>
              <w:b/>
              <w:noProof/>
            </w:rPr>
            <w:t>Business New Construction Impact Evaluation</w:t>
          </w:r>
          <w:r w:rsidR="00B0596B">
            <w:rPr>
              <w:bCs/>
              <w:noProof/>
            </w:rPr>
            <w:t xml:space="preserve"> Report</w:t>
          </w:r>
          <w:r>
            <w:rPr>
              <w:bCs/>
              <w:noProof/>
            </w:rPr>
            <w:fldChar w:fldCharType="end"/>
          </w:r>
        </w:p>
      </w:tc>
    </w:tr>
  </w:tbl>
  <w:p w14:paraId="6E4CB641" w14:textId="77777777" w:rsidR="00A1054C" w:rsidRPr="00E656A1" w:rsidRDefault="00A10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BC03F5C"/>
    <w:multiLevelType w:val="hybridMultilevel"/>
    <w:tmpl w:val="C81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0"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D20234"/>
    <w:multiLevelType w:val="hybridMultilevel"/>
    <w:tmpl w:val="7E1A2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6"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7" w15:restartNumberingAfterBreak="0">
    <w:nsid w:val="7C621BC6"/>
    <w:multiLevelType w:val="hybridMultilevel"/>
    <w:tmpl w:val="6E2C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2"/>
  </w:num>
  <w:num w:numId="2" w16cid:durableId="803624762">
    <w:abstractNumId w:val="12"/>
  </w:num>
  <w:num w:numId="3" w16cid:durableId="9726398">
    <w:abstractNumId w:val="16"/>
  </w:num>
  <w:num w:numId="4" w16cid:durableId="646207924">
    <w:abstractNumId w:val="47"/>
  </w:num>
  <w:num w:numId="5" w16cid:durableId="1778678908">
    <w:abstractNumId w:val="44"/>
  </w:num>
  <w:num w:numId="6" w16cid:durableId="129179713">
    <w:abstractNumId w:val="13"/>
  </w:num>
  <w:num w:numId="7" w16cid:durableId="1735278040">
    <w:abstractNumId w:val="39"/>
  </w:num>
  <w:num w:numId="8" w16cid:durableId="391200273">
    <w:abstractNumId w:val="30"/>
  </w:num>
  <w:num w:numId="9" w16cid:durableId="1815029820">
    <w:abstractNumId w:val="52"/>
  </w:num>
  <w:num w:numId="10" w16cid:durableId="1595625335">
    <w:abstractNumId w:val="49"/>
  </w:num>
  <w:num w:numId="11" w16cid:durableId="207108751">
    <w:abstractNumId w:val="56"/>
  </w:num>
  <w:num w:numId="12" w16cid:durableId="1519387041">
    <w:abstractNumId w:val="21"/>
  </w:num>
  <w:num w:numId="13" w16cid:durableId="941915311">
    <w:abstractNumId w:val="38"/>
  </w:num>
  <w:num w:numId="14" w16cid:durableId="2093163222">
    <w:abstractNumId w:val="51"/>
  </w:num>
  <w:num w:numId="15" w16cid:durableId="954873979">
    <w:abstractNumId w:val="48"/>
  </w:num>
  <w:num w:numId="16" w16cid:durableId="366292854">
    <w:abstractNumId w:val="55"/>
  </w:num>
  <w:num w:numId="17" w16cid:durableId="819809129">
    <w:abstractNumId w:val="10"/>
  </w:num>
  <w:num w:numId="18" w16cid:durableId="1235244614">
    <w:abstractNumId w:val="20"/>
  </w:num>
  <w:num w:numId="19" w16cid:durableId="1904296771">
    <w:abstractNumId w:val="58"/>
  </w:num>
  <w:num w:numId="20" w16cid:durableId="590821376">
    <w:abstractNumId w:val="17"/>
  </w:num>
  <w:num w:numId="21" w16cid:durableId="199242883">
    <w:abstractNumId w:val="45"/>
  </w:num>
  <w:num w:numId="22" w16cid:durableId="1032724391">
    <w:abstractNumId w:val="26"/>
  </w:num>
  <w:num w:numId="23" w16cid:durableId="118230274">
    <w:abstractNumId w:val="22"/>
  </w:num>
  <w:num w:numId="24" w16cid:durableId="626737538">
    <w:abstractNumId w:val="37"/>
  </w:num>
  <w:num w:numId="25" w16cid:durableId="1773158570">
    <w:abstractNumId w:val="18"/>
  </w:num>
  <w:num w:numId="26" w16cid:durableId="2068843606">
    <w:abstractNumId w:val="46"/>
  </w:num>
  <w:num w:numId="27" w16cid:durableId="1748187011">
    <w:abstractNumId w:val="27"/>
  </w:num>
  <w:num w:numId="28" w16cid:durableId="1842699578">
    <w:abstractNumId w:val="23"/>
  </w:num>
  <w:num w:numId="29" w16cid:durableId="1222788141">
    <w:abstractNumId w:val="31"/>
  </w:num>
  <w:num w:numId="30" w16cid:durableId="786697576">
    <w:abstractNumId w:val="43"/>
  </w:num>
  <w:num w:numId="31" w16cid:durableId="201064580">
    <w:abstractNumId w:val="36"/>
  </w:num>
  <w:num w:numId="32" w16cid:durableId="1767001644">
    <w:abstractNumId w:val="40"/>
  </w:num>
  <w:num w:numId="33" w16cid:durableId="701176498">
    <w:abstractNumId w:val="53"/>
  </w:num>
  <w:num w:numId="34" w16cid:durableId="1728335976">
    <w:abstractNumId w:val="32"/>
  </w:num>
  <w:num w:numId="35" w16cid:durableId="1518813320">
    <w:abstractNumId w:val="50"/>
  </w:num>
  <w:num w:numId="36" w16cid:durableId="1562211509">
    <w:abstractNumId w:val="28"/>
  </w:num>
  <w:num w:numId="37" w16cid:durableId="660625367">
    <w:abstractNumId w:val="33"/>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5"/>
  </w:num>
  <w:num w:numId="49" w16cid:durableId="1842045997">
    <w:abstractNumId w:val="35"/>
  </w:num>
  <w:num w:numId="50" w16cid:durableId="1822113845">
    <w:abstractNumId w:val="34"/>
  </w:num>
  <w:num w:numId="51" w16cid:durableId="1714428968">
    <w:abstractNumId w:val="14"/>
  </w:num>
  <w:num w:numId="52" w16cid:durableId="1948195692">
    <w:abstractNumId w:val="15"/>
  </w:num>
  <w:num w:numId="53" w16cid:durableId="665671986">
    <w:abstractNumId w:val="29"/>
  </w:num>
  <w:num w:numId="54" w16cid:durableId="231279709">
    <w:abstractNumId w:val="41"/>
  </w:num>
  <w:num w:numId="55" w16cid:durableId="2035227353">
    <w:abstractNumId w:val="24"/>
  </w:num>
  <w:num w:numId="56" w16cid:durableId="815026076">
    <w:abstractNumId w:val="11"/>
  </w:num>
  <w:num w:numId="57" w16cid:durableId="334497698">
    <w:abstractNumId w:val="57"/>
  </w:num>
  <w:num w:numId="58" w16cid:durableId="722171161">
    <w:abstractNumId w:val="19"/>
  </w:num>
  <w:num w:numId="59" w16cid:durableId="1823111328">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EE"/>
    <w:rsid w:val="00004DF4"/>
    <w:rsid w:val="000145F5"/>
    <w:rsid w:val="00035AEF"/>
    <w:rsid w:val="00061E14"/>
    <w:rsid w:val="00062862"/>
    <w:rsid w:val="00075BDE"/>
    <w:rsid w:val="000B0F74"/>
    <w:rsid w:val="000B1A7F"/>
    <w:rsid w:val="000B6088"/>
    <w:rsid w:val="000B6B9A"/>
    <w:rsid w:val="000C09E9"/>
    <w:rsid w:val="000E1FF4"/>
    <w:rsid w:val="00102BAD"/>
    <w:rsid w:val="00121062"/>
    <w:rsid w:val="00140F4F"/>
    <w:rsid w:val="00141E5D"/>
    <w:rsid w:val="00142D0A"/>
    <w:rsid w:val="00144A58"/>
    <w:rsid w:val="0016164E"/>
    <w:rsid w:val="00163FC7"/>
    <w:rsid w:val="00184358"/>
    <w:rsid w:val="0019498A"/>
    <w:rsid w:val="001959B0"/>
    <w:rsid w:val="001B118D"/>
    <w:rsid w:val="0022644B"/>
    <w:rsid w:val="00236F31"/>
    <w:rsid w:val="00260A15"/>
    <w:rsid w:val="00266218"/>
    <w:rsid w:val="002677E1"/>
    <w:rsid w:val="00270731"/>
    <w:rsid w:val="002D053C"/>
    <w:rsid w:val="002D2727"/>
    <w:rsid w:val="002E0FFB"/>
    <w:rsid w:val="002E63FF"/>
    <w:rsid w:val="002F3F82"/>
    <w:rsid w:val="00302DE0"/>
    <w:rsid w:val="00363BE7"/>
    <w:rsid w:val="00387AD0"/>
    <w:rsid w:val="00391610"/>
    <w:rsid w:val="003940F9"/>
    <w:rsid w:val="003A7478"/>
    <w:rsid w:val="003B4F43"/>
    <w:rsid w:val="003C3568"/>
    <w:rsid w:val="004053B5"/>
    <w:rsid w:val="00417494"/>
    <w:rsid w:val="004430C0"/>
    <w:rsid w:val="0046236A"/>
    <w:rsid w:val="00463678"/>
    <w:rsid w:val="0046455C"/>
    <w:rsid w:val="004757E5"/>
    <w:rsid w:val="004808ED"/>
    <w:rsid w:val="004B08F7"/>
    <w:rsid w:val="004C141F"/>
    <w:rsid w:val="004C29F1"/>
    <w:rsid w:val="004D3DAB"/>
    <w:rsid w:val="004D51ED"/>
    <w:rsid w:val="004E23A3"/>
    <w:rsid w:val="004F066C"/>
    <w:rsid w:val="004F3BC9"/>
    <w:rsid w:val="005112DC"/>
    <w:rsid w:val="00515EA0"/>
    <w:rsid w:val="00537110"/>
    <w:rsid w:val="00537992"/>
    <w:rsid w:val="00545B4B"/>
    <w:rsid w:val="005664F2"/>
    <w:rsid w:val="005762E4"/>
    <w:rsid w:val="00592E13"/>
    <w:rsid w:val="005A0B19"/>
    <w:rsid w:val="005B011B"/>
    <w:rsid w:val="005B426B"/>
    <w:rsid w:val="00635E58"/>
    <w:rsid w:val="0066124F"/>
    <w:rsid w:val="00663419"/>
    <w:rsid w:val="00666C42"/>
    <w:rsid w:val="006A3B84"/>
    <w:rsid w:val="006C2376"/>
    <w:rsid w:val="006C5343"/>
    <w:rsid w:val="006D2B2F"/>
    <w:rsid w:val="006D4DF5"/>
    <w:rsid w:val="006D5D5E"/>
    <w:rsid w:val="006D7AEB"/>
    <w:rsid w:val="006F6184"/>
    <w:rsid w:val="007075D9"/>
    <w:rsid w:val="007167B7"/>
    <w:rsid w:val="0073161D"/>
    <w:rsid w:val="00741DCB"/>
    <w:rsid w:val="007B09DF"/>
    <w:rsid w:val="007C1F17"/>
    <w:rsid w:val="007D52F0"/>
    <w:rsid w:val="007E5576"/>
    <w:rsid w:val="007F7D58"/>
    <w:rsid w:val="007F7F78"/>
    <w:rsid w:val="00813C30"/>
    <w:rsid w:val="008166D7"/>
    <w:rsid w:val="00816972"/>
    <w:rsid w:val="0083376B"/>
    <w:rsid w:val="008413F9"/>
    <w:rsid w:val="00846AC8"/>
    <w:rsid w:val="00861017"/>
    <w:rsid w:val="008675B3"/>
    <w:rsid w:val="00880FA9"/>
    <w:rsid w:val="008A72D8"/>
    <w:rsid w:val="008E168D"/>
    <w:rsid w:val="008E7B1D"/>
    <w:rsid w:val="008F2560"/>
    <w:rsid w:val="009011B7"/>
    <w:rsid w:val="00943904"/>
    <w:rsid w:val="009512D9"/>
    <w:rsid w:val="00953B34"/>
    <w:rsid w:val="009751B3"/>
    <w:rsid w:val="00977823"/>
    <w:rsid w:val="009A1F4A"/>
    <w:rsid w:val="009A2D81"/>
    <w:rsid w:val="00A1054C"/>
    <w:rsid w:val="00A1099C"/>
    <w:rsid w:val="00A32280"/>
    <w:rsid w:val="00A357B1"/>
    <w:rsid w:val="00A57D8E"/>
    <w:rsid w:val="00A63BE2"/>
    <w:rsid w:val="00A6483E"/>
    <w:rsid w:val="00A73D6D"/>
    <w:rsid w:val="00A95EEE"/>
    <w:rsid w:val="00AD2CEE"/>
    <w:rsid w:val="00AE5D8F"/>
    <w:rsid w:val="00AF46B8"/>
    <w:rsid w:val="00AF588E"/>
    <w:rsid w:val="00B004AF"/>
    <w:rsid w:val="00B0596B"/>
    <w:rsid w:val="00B174C0"/>
    <w:rsid w:val="00B245A7"/>
    <w:rsid w:val="00B320BB"/>
    <w:rsid w:val="00B42810"/>
    <w:rsid w:val="00B454F6"/>
    <w:rsid w:val="00B575D6"/>
    <w:rsid w:val="00B70949"/>
    <w:rsid w:val="00BE526A"/>
    <w:rsid w:val="00BE5B9A"/>
    <w:rsid w:val="00BF312E"/>
    <w:rsid w:val="00C11C3C"/>
    <w:rsid w:val="00C179E2"/>
    <w:rsid w:val="00C35207"/>
    <w:rsid w:val="00C47B0A"/>
    <w:rsid w:val="00C54314"/>
    <w:rsid w:val="00C847FD"/>
    <w:rsid w:val="00CD04DC"/>
    <w:rsid w:val="00CF7272"/>
    <w:rsid w:val="00D1421F"/>
    <w:rsid w:val="00D2053D"/>
    <w:rsid w:val="00D33A58"/>
    <w:rsid w:val="00D36860"/>
    <w:rsid w:val="00D52EF3"/>
    <w:rsid w:val="00D54D2D"/>
    <w:rsid w:val="00D87FA0"/>
    <w:rsid w:val="00D926BC"/>
    <w:rsid w:val="00D96F86"/>
    <w:rsid w:val="00DA384D"/>
    <w:rsid w:val="00DB059C"/>
    <w:rsid w:val="00DB0946"/>
    <w:rsid w:val="00DD14B4"/>
    <w:rsid w:val="00DF428B"/>
    <w:rsid w:val="00E05262"/>
    <w:rsid w:val="00E063FB"/>
    <w:rsid w:val="00E24741"/>
    <w:rsid w:val="00E41AD6"/>
    <w:rsid w:val="00E57296"/>
    <w:rsid w:val="00EF2FD7"/>
    <w:rsid w:val="00EF6930"/>
    <w:rsid w:val="00F24535"/>
    <w:rsid w:val="00F657CC"/>
    <w:rsid w:val="00F66295"/>
    <w:rsid w:val="00F856DF"/>
    <w:rsid w:val="00F947E0"/>
    <w:rsid w:val="00FB11FC"/>
    <w:rsid w:val="00FB23E0"/>
    <w:rsid w:val="00FC44B7"/>
    <w:rsid w:val="00FD57E0"/>
    <w:rsid w:val="00FE640F"/>
    <w:rsid w:val="0362B599"/>
    <w:rsid w:val="05B95818"/>
    <w:rsid w:val="06EE8980"/>
    <w:rsid w:val="076C093C"/>
    <w:rsid w:val="08EBDE5A"/>
    <w:rsid w:val="0B2A832A"/>
    <w:rsid w:val="0D2BC33D"/>
    <w:rsid w:val="0D535FC3"/>
    <w:rsid w:val="13CB94B6"/>
    <w:rsid w:val="14A16C79"/>
    <w:rsid w:val="1512308B"/>
    <w:rsid w:val="174A469F"/>
    <w:rsid w:val="1DCB2D3F"/>
    <w:rsid w:val="216ACCF7"/>
    <w:rsid w:val="225217AD"/>
    <w:rsid w:val="22DEE159"/>
    <w:rsid w:val="2862895F"/>
    <w:rsid w:val="28A164A4"/>
    <w:rsid w:val="29DEE09C"/>
    <w:rsid w:val="2BDDB23E"/>
    <w:rsid w:val="2E0DF0BB"/>
    <w:rsid w:val="2EF9F7DC"/>
    <w:rsid w:val="301E8894"/>
    <w:rsid w:val="3160DF8E"/>
    <w:rsid w:val="36088C84"/>
    <w:rsid w:val="3AE77B87"/>
    <w:rsid w:val="3BC71406"/>
    <w:rsid w:val="3FE787C3"/>
    <w:rsid w:val="44ED0DB0"/>
    <w:rsid w:val="45F144E8"/>
    <w:rsid w:val="476D8973"/>
    <w:rsid w:val="4A490099"/>
    <w:rsid w:val="4C05F93B"/>
    <w:rsid w:val="4D47F981"/>
    <w:rsid w:val="5A0F261F"/>
    <w:rsid w:val="5A5D61C9"/>
    <w:rsid w:val="5C7EFA69"/>
    <w:rsid w:val="5EA2D756"/>
    <w:rsid w:val="60DE0367"/>
    <w:rsid w:val="62D4FC37"/>
    <w:rsid w:val="648EDEBC"/>
    <w:rsid w:val="64C393F1"/>
    <w:rsid w:val="665A8420"/>
    <w:rsid w:val="6892D285"/>
    <w:rsid w:val="6A5BF04B"/>
    <w:rsid w:val="6DB81673"/>
    <w:rsid w:val="773652EB"/>
    <w:rsid w:val="79280108"/>
    <w:rsid w:val="7F82DA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A4B75"/>
  <w15:docId w15:val="{3FAC819D-984C-4FD9-A1C6-4D7B2D1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302DE0"/>
    <w:pPr>
      <w:keepNext/>
      <w:spacing w:before="240"/>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302DE0"/>
    <w:rPr>
      <w:rFonts w:ascii="Arial Bold" w:hAnsi="Arial Bold" w:cs="Arial"/>
      <w:b/>
      <w:bCs/>
      <w:kern w:val="3"/>
      <w:sz w:val="44"/>
      <w:szCs w:val="32"/>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Franklin Gothic Book" w:hAnsi="Franklin Gothic 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Small Semibold" w:hAnsi="Sitka Small Semibold" w:cs="Sitka Small Semibold"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Small Semibold" w:hAnsi="Sitka Small Semibold" w:cs="Sitka Small Semibold"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Small Semibold" w:hAnsi="Sitka Small Semibold"/>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Small Semibold" w:hAnsi="Sitka Small Semibold"/>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Franklin Gothic Book" w:hAnsi="Franklin Gothic 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Franklin Gothic Book" w:hAnsi="Franklin Gothic 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 w:type="paragraph" w:customStyle="1" w:styleId="Recommendation">
    <w:name w:val="Recommendation"/>
    <w:basedOn w:val="BodyText"/>
    <w:qFormat/>
    <w:rsid w:val="00A1054C"/>
    <w:pPr>
      <w:suppressAutoHyphens w:val="0"/>
      <w:spacing w:after="0"/>
      <w:ind w:left="720"/>
    </w:pPr>
    <w:rPr>
      <w:rFonts w:eastAsiaTheme="minorHAnsi" w:cstheme="minorBidi"/>
      <w:b/>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31704428">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41474666">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19624418">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lsag.info/evaluator-ntg-recommendations-fo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ynergylightingusa.com/wp-content/uploads/2010/06/NEMA-Occupancy-Study.pdf" TargetMode="External"/><Relationship Id="rId1" Type="http://schemas.openxmlformats.org/officeDocument/2006/relationships/hyperlink" Target="https://synergylightingusa.com/wp-content/uploads/2010/06/NEMA-Occupancy-Stu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3733</Words>
  <Characters>23843</Characters>
  <Application>Microsoft Office Word</Application>
  <DocSecurity>0</DocSecurity>
  <Lines>198</Lines>
  <Paragraphs>55</Paragraphs>
  <ScaleCrop>false</ScaleCrop>
  <Company/>
  <LinksUpToDate>false</LinksUpToDate>
  <CharactersWithSpaces>27521</CharactersWithSpaces>
  <SharedDoc>false</SharedDoc>
  <HLinks>
    <vt:vector size="168" baseType="variant">
      <vt:variant>
        <vt:i4>3801209</vt:i4>
      </vt:variant>
      <vt:variant>
        <vt:i4>135</vt:i4>
      </vt:variant>
      <vt:variant>
        <vt:i4>0</vt:i4>
      </vt:variant>
      <vt:variant>
        <vt:i4>5</vt:i4>
      </vt:variant>
      <vt:variant>
        <vt:lpwstr>https://www.ilsag.info/evaluator-ntg-recommendations-for-2024/</vt:lpwstr>
      </vt:variant>
      <vt:variant>
        <vt:lpwstr/>
      </vt:variant>
      <vt:variant>
        <vt:i4>1048631</vt:i4>
      </vt:variant>
      <vt:variant>
        <vt:i4>98</vt:i4>
      </vt:variant>
      <vt:variant>
        <vt:i4>0</vt:i4>
      </vt:variant>
      <vt:variant>
        <vt:i4>5</vt:i4>
      </vt:variant>
      <vt:variant>
        <vt:lpwstr/>
      </vt:variant>
      <vt:variant>
        <vt:lpwstr>_Toc192512597</vt:lpwstr>
      </vt:variant>
      <vt:variant>
        <vt:i4>1048631</vt:i4>
      </vt:variant>
      <vt:variant>
        <vt:i4>92</vt:i4>
      </vt:variant>
      <vt:variant>
        <vt:i4>0</vt:i4>
      </vt:variant>
      <vt:variant>
        <vt:i4>5</vt:i4>
      </vt:variant>
      <vt:variant>
        <vt:lpwstr/>
      </vt:variant>
      <vt:variant>
        <vt:lpwstr>_Toc192512596</vt:lpwstr>
      </vt:variant>
      <vt:variant>
        <vt:i4>1048631</vt:i4>
      </vt:variant>
      <vt:variant>
        <vt:i4>86</vt:i4>
      </vt:variant>
      <vt:variant>
        <vt:i4>0</vt:i4>
      </vt:variant>
      <vt:variant>
        <vt:i4>5</vt:i4>
      </vt:variant>
      <vt:variant>
        <vt:lpwstr/>
      </vt:variant>
      <vt:variant>
        <vt:lpwstr>_Toc192512595</vt:lpwstr>
      </vt:variant>
      <vt:variant>
        <vt:i4>1048631</vt:i4>
      </vt:variant>
      <vt:variant>
        <vt:i4>80</vt:i4>
      </vt:variant>
      <vt:variant>
        <vt:i4>0</vt:i4>
      </vt:variant>
      <vt:variant>
        <vt:i4>5</vt:i4>
      </vt:variant>
      <vt:variant>
        <vt:lpwstr/>
      </vt:variant>
      <vt:variant>
        <vt:lpwstr>_Toc192512594</vt:lpwstr>
      </vt:variant>
      <vt:variant>
        <vt:i4>1572916</vt:i4>
      </vt:variant>
      <vt:variant>
        <vt:i4>71</vt:i4>
      </vt:variant>
      <vt:variant>
        <vt:i4>0</vt:i4>
      </vt:variant>
      <vt:variant>
        <vt:i4>5</vt:i4>
      </vt:variant>
      <vt:variant>
        <vt:lpwstr/>
      </vt:variant>
      <vt:variant>
        <vt:lpwstr>_Toc192241353</vt:lpwstr>
      </vt:variant>
      <vt:variant>
        <vt:i4>1572916</vt:i4>
      </vt:variant>
      <vt:variant>
        <vt:i4>65</vt:i4>
      </vt:variant>
      <vt:variant>
        <vt:i4>0</vt:i4>
      </vt:variant>
      <vt:variant>
        <vt:i4>5</vt:i4>
      </vt:variant>
      <vt:variant>
        <vt:lpwstr/>
      </vt:variant>
      <vt:variant>
        <vt:lpwstr>_Toc192241352</vt:lpwstr>
      </vt:variant>
      <vt:variant>
        <vt:i4>1572916</vt:i4>
      </vt:variant>
      <vt:variant>
        <vt:i4>59</vt:i4>
      </vt:variant>
      <vt:variant>
        <vt:i4>0</vt:i4>
      </vt:variant>
      <vt:variant>
        <vt:i4>5</vt:i4>
      </vt:variant>
      <vt:variant>
        <vt:lpwstr/>
      </vt:variant>
      <vt:variant>
        <vt:lpwstr>_Toc192241351</vt:lpwstr>
      </vt:variant>
      <vt:variant>
        <vt:i4>1114173</vt:i4>
      </vt:variant>
      <vt:variant>
        <vt:i4>50</vt:i4>
      </vt:variant>
      <vt:variant>
        <vt:i4>0</vt:i4>
      </vt:variant>
      <vt:variant>
        <vt:i4>5</vt:i4>
      </vt:variant>
      <vt:variant>
        <vt:lpwstr/>
      </vt:variant>
      <vt:variant>
        <vt:lpwstr>_Toc189833651</vt:lpwstr>
      </vt:variant>
      <vt:variant>
        <vt:i4>1114173</vt:i4>
      </vt:variant>
      <vt:variant>
        <vt:i4>44</vt:i4>
      </vt:variant>
      <vt:variant>
        <vt:i4>0</vt:i4>
      </vt:variant>
      <vt:variant>
        <vt:i4>5</vt:i4>
      </vt:variant>
      <vt:variant>
        <vt:lpwstr/>
      </vt:variant>
      <vt:variant>
        <vt:lpwstr>_Toc189833650</vt:lpwstr>
      </vt:variant>
      <vt:variant>
        <vt:i4>1048637</vt:i4>
      </vt:variant>
      <vt:variant>
        <vt:i4>38</vt:i4>
      </vt:variant>
      <vt:variant>
        <vt:i4>0</vt:i4>
      </vt:variant>
      <vt:variant>
        <vt:i4>5</vt:i4>
      </vt:variant>
      <vt:variant>
        <vt:lpwstr/>
      </vt:variant>
      <vt:variant>
        <vt:lpwstr>_Toc189833649</vt:lpwstr>
      </vt:variant>
      <vt:variant>
        <vt:i4>1048637</vt:i4>
      </vt:variant>
      <vt:variant>
        <vt:i4>32</vt:i4>
      </vt:variant>
      <vt:variant>
        <vt:i4>0</vt:i4>
      </vt:variant>
      <vt:variant>
        <vt:i4>5</vt:i4>
      </vt:variant>
      <vt:variant>
        <vt:lpwstr/>
      </vt:variant>
      <vt:variant>
        <vt:lpwstr>_Toc189833648</vt:lpwstr>
      </vt:variant>
      <vt:variant>
        <vt:i4>1048637</vt:i4>
      </vt:variant>
      <vt:variant>
        <vt:i4>26</vt:i4>
      </vt:variant>
      <vt:variant>
        <vt:i4>0</vt:i4>
      </vt:variant>
      <vt:variant>
        <vt:i4>5</vt:i4>
      </vt:variant>
      <vt:variant>
        <vt:lpwstr/>
      </vt:variant>
      <vt:variant>
        <vt:lpwstr>_Toc189833647</vt:lpwstr>
      </vt:variant>
      <vt:variant>
        <vt:i4>1048637</vt:i4>
      </vt:variant>
      <vt:variant>
        <vt:i4>20</vt:i4>
      </vt:variant>
      <vt:variant>
        <vt:i4>0</vt:i4>
      </vt:variant>
      <vt:variant>
        <vt:i4>5</vt:i4>
      </vt:variant>
      <vt:variant>
        <vt:lpwstr/>
      </vt:variant>
      <vt:variant>
        <vt:lpwstr>_Toc189833646</vt:lpwstr>
      </vt:variant>
      <vt:variant>
        <vt:i4>1048637</vt:i4>
      </vt:variant>
      <vt:variant>
        <vt:i4>14</vt:i4>
      </vt:variant>
      <vt:variant>
        <vt:i4>0</vt:i4>
      </vt:variant>
      <vt:variant>
        <vt:i4>5</vt:i4>
      </vt:variant>
      <vt:variant>
        <vt:lpwstr/>
      </vt:variant>
      <vt:variant>
        <vt:lpwstr>_Toc189833645</vt:lpwstr>
      </vt:variant>
      <vt:variant>
        <vt:i4>1048637</vt:i4>
      </vt:variant>
      <vt:variant>
        <vt:i4>8</vt:i4>
      </vt:variant>
      <vt:variant>
        <vt:i4>0</vt:i4>
      </vt:variant>
      <vt:variant>
        <vt:i4>5</vt:i4>
      </vt:variant>
      <vt:variant>
        <vt:lpwstr/>
      </vt:variant>
      <vt:variant>
        <vt:lpwstr>_Toc189833644</vt:lpwstr>
      </vt:variant>
      <vt:variant>
        <vt:i4>1048637</vt:i4>
      </vt:variant>
      <vt:variant>
        <vt:i4>2</vt:i4>
      </vt:variant>
      <vt:variant>
        <vt:i4>0</vt:i4>
      </vt:variant>
      <vt:variant>
        <vt:i4>5</vt:i4>
      </vt:variant>
      <vt:variant>
        <vt:lpwstr/>
      </vt:variant>
      <vt:variant>
        <vt:lpwstr>_Toc189833643</vt:lpwstr>
      </vt:variant>
      <vt:variant>
        <vt:i4>2883700</vt:i4>
      </vt:variant>
      <vt:variant>
        <vt:i4>0</vt:i4>
      </vt:variant>
      <vt:variant>
        <vt:i4>0</vt:i4>
      </vt:variant>
      <vt:variant>
        <vt:i4>5</vt:i4>
      </vt:variant>
      <vt:variant>
        <vt:lpwstr>https://synergylightingusa.com/wp-content/uploads/2010/06/NEMA-Occupancy-Study.pdf</vt:lpwstr>
      </vt:variant>
      <vt:variant>
        <vt:lpwstr/>
      </vt:variant>
      <vt:variant>
        <vt:i4>7471110</vt:i4>
      </vt:variant>
      <vt:variant>
        <vt:i4>27</vt:i4>
      </vt:variant>
      <vt:variant>
        <vt:i4>0</vt:i4>
      </vt:variant>
      <vt:variant>
        <vt:i4>5</vt:i4>
      </vt:variant>
      <vt:variant>
        <vt:lpwstr>mailto:mary.thony@guidehouse.com</vt:lpwstr>
      </vt:variant>
      <vt:variant>
        <vt:lpwstr/>
      </vt:variant>
      <vt:variant>
        <vt:i4>2555976</vt:i4>
      </vt:variant>
      <vt:variant>
        <vt:i4>24</vt:i4>
      </vt:variant>
      <vt:variant>
        <vt:i4>0</vt:i4>
      </vt:variant>
      <vt:variant>
        <vt:i4>5</vt:i4>
      </vt:variant>
      <vt:variant>
        <vt:lpwstr>mailto:charles.ampong@guidehouse.com</vt:lpwstr>
      </vt:variant>
      <vt:variant>
        <vt:lpwstr/>
      </vt:variant>
      <vt:variant>
        <vt:i4>2555976</vt:i4>
      </vt:variant>
      <vt:variant>
        <vt:i4>21</vt:i4>
      </vt:variant>
      <vt:variant>
        <vt:i4>0</vt:i4>
      </vt:variant>
      <vt:variant>
        <vt:i4>5</vt:i4>
      </vt:variant>
      <vt:variant>
        <vt:lpwstr>mailto:charles.ampong@guidehouse.com</vt:lpwstr>
      </vt:variant>
      <vt:variant>
        <vt:lpwstr/>
      </vt:variant>
      <vt:variant>
        <vt:i4>2555976</vt:i4>
      </vt:variant>
      <vt:variant>
        <vt:i4>18</vt:i4>
      </vt:variant>
      <vt:variant>
        <vt:i4>0</vt:i4>
      </vt:variant>
      <vt:variant>
        <vt:i4>5</vt:i4>
      </vt:variant>
      <vt:variant>
        <vt:lpwstr>mailto:charles.ampong@guidehouse.com</vt:lpwstr>
      </vt:variant>
      <vt:variant>
        <vt:lpwstr/>
      </vt:variant>
      <vt:variant>
        <vt:i4>6029408</vt:i4>
      </vt:variant>
      <vt:variant>
        <vt:i4>15</vt:i4>
      </vt:variant>
      <vt:variant>
        <vt:i4>0</vt:i4>
      </vt:variant>
      <vt:variant>
        <vt:i4>5</vt:i4>
      </vt:variant>
      <vt:variant>
        <vt:lpwstr>mailto:jdefrancisco@guidehouse.com</vt:lpwstr>
      </vt:variant>
      <vt:variant>
        <vt:lpwstr/>
      </vt:variant>
      <vt:variant>
        <vt:i4>2555976</vt:i4>
      </vt:variant>
      <vt:variant>
        <vt:i4>12</vt:i4>
      </vt:variant>
      <vt:variant>
        <vt:i4>0</vt:i4>
      </vt:variant>
      <vt:variant>
        <vt:i4>5</vt:i4>
      </vt:variant>
      <vt:variant>
        <vt:lpwstr>mailto:charles.ampong@guidehouse.com</vt:lpwstr>
      </vt:variant>
      <vt:variant>
        <vt:lpwstr/>
      </vt:variant>
      <vt:variant>
        <vt:i4>6029408</vt:i4>
      </vt:variant>
      <vt:variant>
        <vt:i4>9</vt:i4>
      </vt:variant>
      <vt:variant>
        <vt:i4>0</vt:i4>
      </vt:variant>
      <vt:variant>
        <vt:i4>5</vt:i4>
      </vt:variant>
      <vt:variant>
        <vt:lpwstr>mailto:jdefrancisco@guidehouse.com</vt:lpwstr>
      </vt:variant>
      <vt:variant>
        <vt:lpwstr/>
      </vt:variant>
      <vt:variant>
        <vt:i4>6029408</vt:i4>
      </vt:variant>
      <vt:variant>
        <vt:i4>6</vt:i4>
      </vt:variant>
      <vt:variant>
        <vt:i4>0</vt:i4>
      </vt:variant>
      <vt:variant>
        <vt:i4>5</vt:i4>
      </vt:variant>
      <vt:variant>
        <vt:lpwstr>mailto:jdefrancisco@guidehouse.com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6422592</vt:i4>
      </vt:variant>
      <vt:variant>
        <vt:i4>0</vt:i4>
      </vt:variant>
      <vt:variant>
        <vt:i4>0</vt:i4>
      </vt:variant>
      <vt:variant>
        <vt:i4>5</vt:i4>
      </vt:variant>
      <vt:variant>
        <vt:lpwstr>mailto:laura.agapay.read@guidehouse.com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cp:revision>
  <cp:lastPrinted>2017-10-03T23:32:00Z</cp:lastPrinted>
  <dcterms:created xsi:type="dcterms:W3CDTF">2025-03-12T21:11:00Z</dcterms:created>
  <dcterms:modified xsi:type="dcterms:W3CDTF">2025-03-13T02:39:00Z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y fmtid="{D5CDD505-2E9C-101B-9397-08002B2CF9AE}" pid="4" name="GrammarlyDocumentId">
    <vt:lpwstr>e5d3a61ed2ccc0e458a0074ef1663562973eec9706364792696119e9cb347ccb</vt:lpwstr>
  </property>
</Properties>
</file>