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B14A6" w14:textId="77777777" w:rsidR="002D43AD" w:rsidRPr="00337145" w:rsidRDefault="002D43AD" w:rsidP="00D04344">
      <w:pPr>
        <w:pStyle w:val="GHSubjectDescription"/>
      </w:pPr>
      <w:r w:rsidRPr="00337145">
        <w:t>Memorandum</w:t>
      </w:r>
    </w:p>
    <w:tbl>
      <w:tblPr>
        <w:tblW w:w="9360" w:type="dxa"/>
        <w:tblCellMar>
          <w:left w:w="0" w:type="dxa"/>
          <w:right w:w="0" w:type="dxa"/>
        </w:tblCellMar>
        <w:tblLook w:val="04A0" w:firstRow="1" w:lastRow="0" w:firstColumn="1" w:lastColumn="0" w:noHBand="0" w:noVBand="1"/>
      </w:tblPr>
      <w:tblGrid>
        <w:gridCol w:w="630"/>
        <w:gridCol w:w="8730"/>
      </w:tblGrid>
      <w:tr w:rsidR="002D43AD" w:rsidRPr="00DA7148" w14:paraId="477B2913" w14:textId="77777777" w:rsidTr="003706D2">
        <w:trPr>
          <w:trHeight w:val="720"/>
        </w:trPr>
        <w:tc>
          <w:tcPr>
            <w:tcW w:w="630" w:type="dxa"/>
            <w:vAlign w:val="bottom"/>
          </w:tcPr>
          <w:p w14:paraId="4C33D0D0" w14:textId="77777777" w:rsidR="002D43AD" w:rsidRPr="008F7A80" w:rsidRDefault="002D43AD" w:rsidP="00D04344">
            <w:pPr>
              <w:pStyle w:val="GHTablebodyText"/>
            </w:pPr>
            <w:r w:rsidRPr="008F7A80">
              <w:t xml:space="preserve">To: </w:t>
            </w:r>
          </w:p>
        </w:tc>
        <w:tc>
          <w:tcPr>
            <w:tcW w:w="8730" w:type="dxa"/>
            <w:tcBorders>
              <w:bottom w:val="single" w:sz="4" w:space="0" w:color="auto"/>
            </w:tcBorders>
            <w:vAlign w:val="bottom"/>
          </w:tcPr>
          <w:p w14:paraId="7ADE915A" w14:textId="728E3897" w:rsidR="002D43AD" w:rsidRPr="00DA7148" w:rsidRDefault="000073B3" w:rsidP="00D04344">
            <w:pPr>
              <w:pStyle w:val="GHTablebodyText"/>
            </w:pPr>
            <w:r>
              <w:t>Illinois SAG</w:t>
            </w:r>
          </w:p>
        </w:tc>
      </w:tr>
      <w:tr w:rsidR="002D43AD" w:rsidRPr="00DA7148" w14:paraId="209B4ADD" w14:textId="77777777" w:rsidTr="003706D2">
        <w:trPr>
          <w:trHeight w:val="720"/>
        </w:trPr>
        <w:tc>
          <w:tcPr>
            <w:tcW w:w="630" w:type="dxa"/>
            <w:vAlign w:val="bottom"/>
          </w:tcPr>
          <w:p w14:paraId="5AE38FA6" w14:textId="77777777" w:rsidR="002D43AD" w:rsidRPr="008F7A80" w:rsidRDefault="002D43AD" w:rsidP="00D04344">
            <w:pPr>
              <w:pStyle w:val="GHTablebodyText"/>
            </w:pPr>
            <w:r w:rsidRPr="008F7A80">
              <w:t>From:</w:t>
            </w:r>
          </w:p>
        </w:tc>
        <w:tc>
          <w:tcPr>
            <w:tcW w:w="8730" w:type="dxa"/>
            <w:tcBorders>
              <w:top w:val="single" w:sz="4" w:space="0" w:color="auto"/>
              <w:bottom w:val="single" w:sz="4" w:space="0" w:color="auto"/>
            </w:tcBorders>
            <w:vAlign w:val="bottom"/>
          </w:tcPr>
          <w:p w14:paraId="670AB3A9" w14:textId="36494FF6" w:rsidR="000073B3" w:rsidRPr="00DA7148" w:rsidRDefault="000073B3" w:rsidP="00D04344">
            <w:pPr>
              <w:pStyle w:val="GHTablebodyText"/>
            </w:pPr>
            <w:r>
              <w:t xml:space="preserve">Christopher Frye, Laura Agapay-Read, Jeff Erickson, </w:t>
            </w:r>
            <w:proofErr w:type="spellStart"/>
            <w:r>
              <w:t>Guidehouse</w:t>
            </w:r>
            <w:proofErr w:type="spellEnd"/>
          </w:p>
        </w:tc>
      </w:tr>
      <w:tr w:rsidR="00B14E91" w:rsidRPr="00DA7148" w14:paraId="1A80D26A" w14:textId="77777777" w:rsidTr="000073B3">
        <w:trPr>
          <w:trHeight w:val="720"/>
        </w:trPr>
        <w:tc>
          <w:tcPr>
            <w:tcW w:w="630" w:type="dxa"/>
            <w:vAlign w:val="bottom"/>
          </w:tcPr>
          <w:p w14:paraId="078CBA78" w14:textId="20EED37B" w:rsidR="00B14E91" w:rsidRPr="008F7A80" w:rsidRDefault="00B14E91" w:rsidP="00D04344">
            <w:pPr>
              <w:pStyle w:val="GHTablebodyText"/>
            </w:pPr>
            <w:r>
              <w:t>CC:</w:t>
            </w:r>
          </w:p>
        </w:tc>
        <w:tc>
          <w:tcPr>
            <w:tcW w:w="8730" w:type="dxa"/>
            <w:tcBorders>
              <w:top w:val="single" w:sz="4" w:space="0" w:color="auto"/>
              <w:bottom w:val="single" w:sz="4" w:space="0" w:color="auto"/>
            </w:tcBorders>
            <w:vAlign w:val="bottom"/>
          </w:tcPr>
          <w:p w14:paraId="3CDA371B" w14:textId="188B5B16" w:rsidR="00B14E91" w:rsidRDefault="00B14E91" w:rsidP="000073B3">
            <w:pPr>
              <w:pStyle w:val="GHTablebodyText"/>
            </w:pPr>
            <w:r>
              <w:t xml:space="preserve">Elizabeth Horne, ICC; </w:t>
            </w:r>
            <w:r w:rsidR="00836BF1">
              <w:t>Kim Brown, ComEd; Randy Opdyke, Nicor Gas</w:t>
            </w:r>
            <w:r w:rsidR="00D22A22">
              <w:t>; Zachary Ross, ODC</w:t>
            </w:r>
          </w:p>
        </w:tc>
      </w:tr>
      <w:tr w:rsidR="002D43AD" w:rsidRPr="00DA7148" w14:paraId="7B7EBE01" w14:textId="77777777" w:rsidTr="000073B3">
        <w:trPr>
          <w:trHeight w:val="720"/>
        </w:trPr>
        <w:tc>
          <w:tcPr>
            <w:tcW w:w="630" w:type="dxa"/>
            <w:vAlign w:val="bottom"/>
          </w:tcPr>
          <w:p w14:paraId="0093CC6B" w14:textId="77777777" w:rsidR="002D43AD" w:rsidRPr="008F7A80" w:rsidRDefault="002D43AD" w:rsidP="00D04344">
            <w:pPr>
              <w:pStyle w:val="GHTablebodyText"/>
            </w:pPr>
            <w:r w:rsidRPr="008F7A80">
              <w:t>Date:</w:t>
            </w:r>
          </w:p>
        </w:tc>
        <w:tc>
          <w:tcPr>
            <w:tcW w:w="8730" w:type="dxa"/>
            <w:tcBorders>
              <w:top w:val="single" w:sz="4" w:space="0" w:color="auto"/>
              <w:bottom w:val="single" w:sz="4" w:space="0" w:color="auto"/>
            </w:tcBorders>
            <w:vAlign w:val="bottom"/>
          </w:tcPr>
          <w:p w14:paraId="4115C6F7" w14:textId="1215FC92" w:rsidR="002D43AD" w:rsidRPr="00DA7148" w:rsidRDefault="00BB6649" w:rsidP="000073B3">
            <w:pPr>
              <w:pStyle w:val="GHTablebodyText"/>
            </w:pPr>
            <w:r>
              <w:t xml:space="preserve">March </w:t>
            </w:r>
            <w:r w:rsidR="00B87768">
              <w:t>6</w:t>
            </w:r>
            <w:r>
              <w:t>, 2025</w:t>
            </w:r>
          </w:p>
        </w:tc>
      </w:tr>
      <w:tr w:rsidR="002D43AD" w:rsidRPr="00DA7148" w14:paraId="032D99C5" w14:textId="77777777" w:rsidTr="003706D2">
        <w:trPr>
          <w:trHeight w:val="720"/>
        </w:trPr>
        <w:tc>
          <w:tcPr>
            <w:tcW w:w="630" w:type="dxa"/>
            <w:vAlign w:val="bottom"/>
          </w:tcPr>
          <w:p w14:paraId="484C3495" w14:textId="77777777" w:rsidR="002D43AD" w:rsidRPr="008F7A80" w:rsidRDefault="002D43AD" w:rsidP="00D04344">
            <w:pPr>
              <w:pStyle w:val="GHTablebodyText"/>
            </w:pPr>
            <w:r w:rsidRPr="008F7A80">
              <w:t>Re:</w:t>
            </w:r>
          </w:p>
        </w:tc>
        <w:tc>
          <w:tcPr>
            <w:tcW w:w="8730" w:type="dxa"/>
            <w:tcBorders>
              <w:top w:val="single" w:sz="4" w:space="0" w:color="auto"/>
              <w:bottom w:val="single" w:sz="4" w:space="0" w:color="auto"/>
            </w:tcBorders>
            <w:vAlign w:val="bottom"/>
          </w:tcPr>
          <w:p w14:paraId="2E8A1AA9" w14:textId="648114F8" w:rsidR="002D43AD" w:rsidRPr="00DA7148" w:rsidRDefault="000073B3" w:rsidP="00D04344">
            <w:pPr>
              <w:pStyle w:val="GHTablebodyText"/>
            </w:pPr>
            <w:r>
              <w:t>Free Ridership Protocol Deviation from Illinois Statewide Technical Reference Manual, Version 13.0</w:t>
            </w:r>
          </w:p>
        </w:tc>
      </w:tr>
    </w:tbl>
    <w:p w14:paraId="0770BBEA" w14:textId="77777777" w:rsidR="002D43AD" w:rsidRDefault="002D43AD" w:rsidP="00CD2231">
      <w:pPr>
        <w:pStyle w:val="GHBodytext"/>
        <w:spacing w:before="120"/>
      </w:pPr>
    </w:p>
    <w:p w14:paraId="3F390895" w14:textId="5A2F9CEF" w:rsidR="00F76E96" w:rsidRDefault="00F76E96" w:rsidP="00F76E96">
      <w:pPr>
        <w:pStyle w:val="GHBodytext"/>
        <w:spacing w:before="120"/>
      </w:pPr>
      <w:r w:rsidRPr="00F76E96">
        <w:t xml:space="preserve">This memorandum outlines the deviation to the residential free ridership (FR) protocol that </w:t>
      </w:r>
      <w:proofErr w:type="spellStart"/>
      <w:r w:rsidRPr="00F76E96">
        <w:t>Guidehouse</w:t>
      </w:r>
      <w:proofErr w:type="spellEnd"/>
      <w:r w:rsidRPr="00F76E96">
        <w:t>, Inc. (</w:t>
      </w:r>
      <w:proofErr w:type="spellStart"/>
      <w:r w:rsidRPr="00F76E96">
        <w:t>Guidehouse</w:t>
      </w:r>
      <w:proofErr w:type="spellEnd"/>
      <w:r w:rsidRPr="00F76E96">
        <w:t xml:space="preserve">) plans to use for its evaluation of </w:t>
      </w:r>
      <w:r>
        <w:t>the following programs</w:t>
      </w:r>
      <w:r w:rsidR="00C53183">
        <w:t xml:space="preserve"> this year</w:t>
      </w:r>
      <w:r>
        <w:t xml:space="preserve">: </w:t>
      </w:r>
    </w:p>
    <w:p w14:paraId="761343CC" w14:textId="69812423" w:rsidR="00F76E96" w:rsidRDefault="00F76E96">
      <w:pPr>
        <w:pStyle w:val="GHBodytext"/>
        <w:numPr>
          <w:ilvl w:val="0"/>
          <w:numId w:val="2"/>
        </w:numPr>
        <w:spacing w:before="120"/>
      </w:pPr>
      <w:r w:rsidRPr="00F76E96">
        <w:t xml:space="preserve">ComEd Retail/Online programs (Residential Appliance Rebates and Marketplace 2.0) </w:t>
      </w:r>
    </w:p>
    <w:p w14:paraId="6CDE01B8" w14:textId="1A543BB1" w:rsidR="00F76E96" w:rsidRDefault="00F76E96">
      <w:pPr>
        <w:pStyle w:val="GHBodytext"/>
        <w:numPr>
          <w:ilvl w:val="0"/>
          <w:numId w:val="2"/>
        </w:numPr>
        <w:spacing w:before="120"/>
      </w:pPr>
      <w:r>
        <w:t xml:space="preserve">Nicor Gas Home Energy Efficiency Rebates </w:t>
      </w:r>
    </w:p>
    <w:p w14:paraId="1569D2A1" w14:textId="2C82BB23" w:rsidR="00F76E96" w:rsidRDefault="00F76E96">
      <w:pPr>
        <w:pStyle w:val="GHBodytext"/>
        <w:numPr>
          <w:ilvl w:val="0"/>
          <w:numId w:val="2"/>
        </w:numPr>
        <w:spacing w:before="120"/>
      </w:pPr>
      <w:r>
        <w:t xml:space="preserve">Nicor Gas Home Energy Savings </w:t>
      </w:r>
    </w:p>
    <w:p w14:paraId="1CC2805C" w14:textId="71490028" w:rsidR="006B2218" w:rsidRPr="00F76E96" w:rsidRDefault="00741423" w:rsidP="006B2218">
      <w:pPr>
        <w:pStyle w:val="GHBodytext"/>
        <w:spacing w:before="120"/>
      </w:pPr>
      <w:r>
        <w:t xml:space="preserve">This deviation memo supersedes </w:t>
      </w:r>
      <w:proofErr w:type="spellStart"/>
      <w:r w:rsidR="00F42BB7">
        <w:t>Guidehouse’s</w:t>
      </w:r>
      <w:proofErr w:type="spellEnd"/>
      <w:r>
        <w:t xml:space="preserve"> deviation memo submitted to IL-SAG on October 31, 2024</w:t>
      </w:r>
      <w:r>
        <w:rPr>
          <w:rStyle w:val="FootnoteReference"/>
        </w:rPr>
        <w:footnoteReference w:id="2"/>
      </w:r>
      <w:r>
        <w:t xml:space="preserve">. </w:t>
      </w:r>
    </w:p>
    <w:p w14:paraId="5C1CD60E" w14:textId="1897F0CD" w:rsidR="00F76E96" w:rsidRPr="00F76E96" w:rsidRDefault="00F76E96" w:rsidP="005D215B">
      <w:pPr>
        <w:pStyle w:val="Heading1"/>
      </w:pPr>
      <w:r w:rsidRPr="00F76E96">
        <w:t xml:space="preserve">IL </w:t>
      </w:r>
      <w:r w:rsidR="00846386">
        <w:t>Technical Reference Manual</w:t>
      </w:r>
      <w:r w:rsidR="00846386" w:rsidRPr="00F76E96">
        <w:t xml:space="preserve"> </w:t>
      </w:r>
      <w:r w:rsidRPr="00F76E96">
        <w:t>Residential Participant Free-Ridership Protocol</w:t>
      </w:r>
    </w:p>
    <w:p w14:paraId="594CB51F" w14:textId="4318DEB8" w:rsidR="00F76E96" w:rsidRPr="00F76E96" w:rsidRDefault="00F76E96" w:rsidP="00F76E96">
      <w:pPr>
        <w:pStyle w:val="GHBodytext"/>
        <w:spacing w:before="120"/>
      </w:pPr>
      <w:r w:rsidRPr="00F76E96">
        <w:t xml:space="preserve">A diagram of the relevant algorithm in IL </w:t>
      </w:r>
      <w:r w:rsidR="00846386">
        <w:t>Technical Reference Manual (TRM)</w:t>
      </w:r>
      <w:r w:rsidR="00846386" w:rsidRPr="00F76E96">
        <w:t xml:space="preserve"> </w:t>
      </w:r>
      <w:r w:rsidRPr="00F76E96">
        <w:t>Version 1</w:t>
      </w:r>
      <w:r w:rsidR="0065110E">
        <w:t>3</w:t>
      </w:r>
      <w:r w:rsidRPr="00F76E96">
        <w:t xml:space="preserve">.0 is shown in </w:t>
      </w:r>
      <w:r w:rsidR="001F1EC3">
        <w:fldChar w:fldCharType="begin"/>
      </w:r>
      <w:r w:rsidR="001F1EC3">
        <w:instrText xml:space="preserve"> REF _Ref191626496 \h </w:instrText>
      </w:r>
      <w:r w:rsidR="001F1EC3">
        <w:fldChar w:fldCharType="separate"/>
      </w:r>
      <w:r w:rsidR="001F1EC3" w:rsidRPr="001A5C90">
        <w:t xml:space="preserve">Figure </w:t>
      </w:r>
      <w:r w:rsidR="001F1EC3">
        <w:rPr>
          <w:noProof/>
        </w:rPr>
        <w:t>1</w:t>
      </w:r>
      <w:r w:rsidR="001F1EC3">
        <w:fldChar w:fldCharType="end"/>
      </w:r>
      <w:r w:rsidRPr="00F76E96">
        <w:fldChar w:fldCharType="begin"/>
      </w:r>
      <w:r w:rsidRPr="00F76E96">
        <w:instrText xml:space="preserve"> REF _Ref165463391 \h </w:instrText>
      </w:r>
      <w:r w:rsidRPr="00F76E96">
        <w:fldChar w:fldCharType="separate"/>
      </w:r>
      <w:r w:rsidRPr="00F76E96">
        <w:fldChar w:fldCharType="end"/>
      </w:r>
      <w:r w:rsidRPr="00F76E96">
        <w:t xml:space="preserve"> (page 2). </w:t>
      </w:r>
    </w:p>
    <w:p w14:paraId="6ECD3E86" w14:textId="0D43F3B2" w:rsidR="00F76E96" w:rsidRPr="001A5C90" w:rsidRDefault="00F76E96" w:rsidP="00841378">
      <w:pPr>
        <w:pStyle w:val="Caption"/>
      </w:pPr>
      <w:bookmarkStart w:id="0" w:name="_Ref191626496"/>
      <w:bookmarkStart w:id="1" w:name="_Ref165463391"/>
      <w:r w:rsidRPr="001A5C90">
        <w:lastRenderedPageBreak/>
        <w:t xml:space="preserve">Figure </w:t>
      </w:r>
      <w:fldSimple w:instr=" SEQ Figure \* ARABIC ">
        <w:r w:rsidR="00841378">
          <w:rPr>
            <w:noProof/>
          </w:rPr>
          <w:t>1</w:t>
        </w:r>
      </w:fldSimple>
      <w:bookmarkEnd w:id="0"/>
      <w:bookmarkEnd w:id="1"/>
      <w:r w:rsidRPr="001A5C90">
        <w:t>. IL TRM v1</w:t>
      </w:r>
      <w:r w:rsidR="0037552C">
        <w:t>3</w:t>
      </w:r>
      <w:r w:rsidRPr="00F76E96">
        <w:t xml:space="preserve"> Free Ridership Protocol for Residential Prescriptive Rebate (with No Audit)</w:t>
      </w:r>
    </w:p>
    <w:p w14:paraId="52E499D5" w14:textId="77777777" w:rsidR="00F76E96" w:rsidRPr="00F76E96" w:rsidRDefault="00F76E96" w:rsidP="00F76E96">
      <w:pPr>
        <w:pStyle w:val="GHBodytext"/>
        <w:spacing w:before="120"/>
      </w:pPr>
      <w:r w:rsidRPr="00F76E96">
        <w:rPr>
          <w:noProof/>
        </w:rPr>
        <w:drawing>
          <wp:inline distT="0" distB="0" distL="0" distR="0" wp14:anchorId="2C8E2C60" wp14:editId="65491D4A">
            <wp:extent cx="5943600" cy="279462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2401"/>
                    <a:stretch/>
                  </pic:blipFill>
                  <pic:spPr bwMode="auto">
                    <a:xfrm>
                      <a:off x="0" y="0"/>
                      <a:ext cx="5943600" cy="2794622"/>
                    </a:xfrm>
                    <a:prstGeom prst="rect">
                      <a:avLst/>
                    </a:prstGeom>
                    <a:ln>
                      <a:noFill/>
                    </a:ln>
                    <a:extLst>
                      <a:ext uri="{53640926-AAD7-44D8-BBD7-CCE9431645EC}">
                        <a14:shadowObscured xmlns:a14="http://schemas.microsoft.com/office/drawing/2010/main"/>
                      </a:ext>
                    </a:extLst>
                  </pic:spPr>
                </pic:pic>
              </a:graphicData>
            </a:graphic>
          </wp:inline>
        </w:drawing>
      </w:r>
    </w:p>
    <w:p w14:paraId="26EE63A9" w14:textId="4F26689B" w:rsidR="00F76E96" w:rsidRPr="00F76E96" w:rsidRDefault="00F76E96" w:rsidP="00F76E96">
      <w:pPr>
        <w:pStyle w:val="GHBodytext"/>
        <w:spacing w:before="120"/>
        <w:rPr>
          <w:b/>
        </w:rPr>
      </w:pPr>
      <w:r w:rsidRPr="00F76E96">
        <w:t>Source: 202</w:t>
      </w:r>
      <w:r w:rsidR="008C5D44">
        <w:t>5</w:t>
      </w:r>
      <w:r w:rsidRPr="00F76E96">
        <w:t xml:space="preserve"> Illinois Statewide Technical Reference Manual </w:t>
      </w:r>
      <w:proofErr w:type="gramStart"/>
      <w:r w:rsidRPr="00F76E96">
        <w:t>For</w:t>
      </w:r>
      <w:proofErr w:type="gramEnd"/>
      <w:r w:rsidRPr="00F76E96">
        <w:t xml:space="preserve"> Energy Efficiency. Version </w:t>
      </w:r>
      <w:r w:rsidR="004A0D51">
        <w:t>13</w:t>
      </w:r>
      <w:r w:rsidRPr="00F76E96">
        <w:t xml:space="preserve">.0, Volume 4. Op. cit., page </w:t>
      </w:r>
      <w:r w:rsidR="00BA1039">
        <w:t>80 of 151</w:t>
      </w:r>
      <w:r w:rsidRPr="00F76E96">
        <w:t>.</w:t>
      </w:r>
    </w:p>
    <w:p w14:paraId="0E04D912" w14:textId="5BFE549C" w:rsidR="00F76E96" w:rsidRPr="00F76E96" w:rsidRDefault="00F76E96" w:rsidP="005D215B">
      <w:pPr>
        <w:pStyle w:val="Heading1"/>
      </w:pPr>
      <w:r w:rsidRPr="00F76E96">
        <w:t xml:space="preserve">Proposed </w:t>
      </w:r>
      <w:r w:rsidR="00512A7D">
        <w:t>Deviation</w:t>
      </w:r>
      <w:r w:rsidRPr="00F76E96">
        <w:t xml:space="preserve"> </w:t>
      </w:r>
    </w:p>
    <w:p w14:paraId="6B08383D" w14:textId="109C7253" w:rsidR="00F76E96" w:rsidRDefault="00F76E96" w:rsidP="00F76E96">
      <w:pPr>
        <w:pStyle w:val="GHBodytext"/>
      </w:pPr>
      <w:proofErr w:type="spellStart"/>
      <w:r w:rsidRPr="00F76E96">
        <w:t>Guidehouse</w:t>
      </w:r>
      <w:proofErr w:type="spellEnd"/>
      <w:r w:rsidRPr="00F76E96">
        <w:t xml:space="preserve"> plans to deviate from the IL TRM Version 1</w:t>
      </w:r>
      <w:r w:rsidR="009760D2">
        <w:t>3</w:t>
      </w:r>
      <w:r w:rsidRPr="00F76E96">
        <w:t>.0 protocol</w:t>
      </w:r>
      <w:r w:rsidR="00EF4B02">
        <w:t xml:space="preserve"> for estimating FR of residential programs</w:t>
      </w:r>
      <w:r w:rsidRPr="00F76E96">
        <w:t xml:space="preserve"> by using a </w:t>
      </w:r>
      <w:proofErr w:type="spellStart"/>
      <w:r w:rsidRPr="00F76E96">
        <w:t>Guidehouse</w:t>
      </w:r>
      <w:proofErr w:type="spellEnd"/>
      <w:r w:rsidRPr="00F76E96">
        <w:t xml:space="preserve">-modified algorithm.  The modifications </w:t>
      </w:r>
      <w:r w:rsidR="00AB2FC4">
        <w:t>are</w:t>
      </w:r>
      <w:r w:rsidR="00AB2FC4" w:rsidRPr="00F76E96">
        <w:t xml:space="preserve"> </w:t>
      </w:r>
      <w:r w:rsidRPr="00F76E96">
        <w:t>informed by</w:t>
      </w:r>
      <w:r w:rsidR="00AB2FC4">
        <w:t xml:space="preserve"> </w:t>
      </w:r>
      <w:proofErr w:type="spellStart"/>
      <w:r w:rsidR="00AB2FC4">
        <w:t>Guidehouse’s</w:t>
      </w:r>
      <w:proofErr w:type="spellEnd"/>
      <w:r w:rsidR="00AB2FC4">
        <w:t xml:space="preserve"> 2023 residential free ridership </w:t>
      </w:r>
      <w:r w:rsidR="003E52A9">
        <w:t>algorithm</w:t>
      </w:r>
      <w:r w:rsidR="00C33FB7">
        <w:rPr>
          <w:rStyle w:val="FootnoteReference"/>
        </w:rPr>
        <w:footnoteReference w:id="3"/>
      </w:r>
      <w:r w:rsidR="005368AC">
        <w:t xml:space="preserve"> </w:t>
      </w:r>
      <w:r w:rsidR="00304209">
        <w:t>(</w:t>
      </w:r>
      <w:r w:rsidR="005368AC">
        <w:t xml:space="preserve">which </w:t>
      </w:r>
      <w:proofErr w:type="spellStart"/>
      <w:r w:rsidR="005368AC">
        <w:t>Guidehouse</w:t>
      </w:r>
      <w:proofErr w:type="spellEnd"/>
      <w:r w:rsidR="005368AC">
        <w:t xml:space="preserve"> tested </w:t>
      </w:r>
      <w:r w:rsidR="002A46C6">
        <w:t>in 2023</w:t>
      </w:r>
      <w:r w:rsidR="00312A8F">
        <w:rPr>
          <w:rStyle w:val="FootnoteReference"/>
        </w:rPr>
        <w:footnoteReference w:id="4"/>
      </w:r>
      <w:r w:rsidR="00B60C11">
        <w:t xml:space="preserve"> and which we</w:t>
      </w:r>
      <w:r w:rsidR="009963B1">
        <w:t xml:space="preserve"> </w:t>
      </w:r>
      <w:r w:rsidR="00930313">
        <w:t>refer to as the 2023 algorithm</w:t>
      </w:r>
      <w:r w:rsidR="00304209">
        <w:t>)</w:t>
      </w:r>
      <w:r w:rsidR="002A46C6">
        <w:t xml:space="preserve"> and </w:t>
      </w:r>
      <w:r w:rsidR="009806C3">
        <w:t xml:space="preserve">by </w:t>
      </w:r>
      <w:r w:rsidR="002A46C6">
        <w:t xml:space="preserve">improvements to the </w:t>
      </w:r>
      <w:r w:rsidR="00930313">
        <w:t xml:space="preserve">non-residential </w:t>
      </w:r>
      <w:r w:rsidR="002A46C6">
        <w:t xml:space="preserve">FR algorithm that are analogous to the residential version, </w:t>
      </w:r>
      <w:r w:rsidR="00A31763">
        <w:t>which</w:t>
      </w:r>
      <w:r w:rsidR="002A46C6">
        <w:t xml:space="preserve"> were deliberated in the IL NTG Working Group and updated in the TRM.</w:t>
      </w:r>
    </w:p>
    <w:p w14:paraId="71AB3F62" w14:textId="47B3FD33" w:rsidR="00DD5D2A" w:rsidRDefault="00516513" w:rsidP="00F76E96">
      <w:pPr>
        <w:pStyle w:val="GHBodytext"/>
      </w:pPr>
      <w:r>
        <w:t xml:space="preserve">In response to </w:t>
      </w:r>
      <w:r w:rsidR="008A700B">
        <w:t xml:space="preserve">comments on </w:t>
      </w:r>
      <w:r>
        <w:t xml:space="preserve">the </w:t>
      </w:r>
      <w:r w:rsidR="00C80430">
        <w:t xml:space="preserve">2024 </w:t>
      </w:r>
      <w:r>
        <w:t>deviation memo</w:t>
      </w:r>
      <w:r w:rsidR="00783334">
        <w:t xml:space="preserve"> which presented the 2023 algorithm</w:t>
      </w:r>
      <w:r w:rsidR="00406A28">
        <w:t xml:space="preserve">, </w:t>
      </w:r>
      <w:proofErr w:type="spellStart"/>
      <w:r w:rsidR="00406A28">
        <w:t>Guidehouse</w:t>
      </w:r>
      <w:proofErr w:type="spellEnd"/>
      <w:r w:rsidR="00406A28">
        <w:t xml:space="preserve"> has revised </w:t>
      </w:r>
      <w:r w:rsidR="00B97B71">
        <w:t xml:space="preserve">it </w:t>
      </w:r>
      <w:r w:rsidR="009B49CF">
        <w:t xml:space="preserve">in the </w:t>
      </w:r>
      <w:r w:rsidR="00DD5D2A">
        <w:t>following manner</w:t>
      </w:r>
      <w:r w:rsidR="009510A4">
        <w:t xml:space="preserve"> (</w:t>
      </w:r>
      <w:r w:rsidR="00A46332">
        <w:t xml:space="preserve">See </w:t>
      </w:r>
      <w:r w:rsidR="0072604B">
        <w:fldChar w:fldCharType="begin"/>
      </w:r>
      <w:r w:rsidR="0072604B">
        <w:instrText xml:space="preserve"> REF _Ref165463427 \h </w:instrText>
      </w:r>
      <w:r w:rsidR="0072604B">
        <w:fldChar w:fldCharType="separate"/>
      </w:r>
      <w:r w:rsidR="0072604B" w:rsidRPr="001A5C90">
        <w:t xml:space="preserve">Figure </w:t>
      </w:r>
      <w:r w:rsidR="0072604B">
        <w:rPr>
          <w:noProof/>
        </w:rPr>
        <w:t>2</w:t>
      </w:r>
      <w:r w:rsidR="0072604B">
        <w:fldChar w:fldCharType="end"/>
      </w:r>
      <w:r w:rsidR="00A46332">
        <w:t>)</w:t>
      </w:r>
      <w:r w:rsidR="00DD5D2A">
        <w:t xml:space="preserve">: </w:t>
      </w:r>
    </w:p>
    <w:p w14:paraId="61D61295" w14:textId="2B7501D8" w:rsidR="00516513" w:rsidRDefault="00313A9E" w:rsidP="00DD5D2A">
      <w:pPr>
        <w:pStyle w:val="GHBodytext"/>
        <w:numPr>
          <w:ilvl w:val="0"/>
          <w:numId w:val="3"/>
        </w:numPr>
      </w:pPr>
      <w:r>
        <w:t xml:space="preserve">Place two intervening questions </w:t>
      </w:r>
      <w:r w:rsidR="009510A4">
        <w:t xml:space="preserve">(FR3 &amp; FR4) </w:t>
      </w:r>
      <w:r>
        <w:t xml:space="preserve">between </w:t>
      </w:r>
      <w:r w:rsidR="00134A48">
        <w:t xml:space="preserve">the initial </w:t>
      </w:r>
      <w:r w:rsidR="00E178AC">
        <w:t>set of individual ratings on program components and the overall program influence question</w:t>
      </w:r>
      <w:r w:rsidR="00037233">
        <w:t xml:space="preserve">. </w:t>
      </w:r>
    </w:p>
    <w:p w14:paraId="07DFA794" w14:textId="76B39A8C" w:rsidR="00E178AC" w:rsidRDefault="002943ED" w:rsidP="00DD5D2A">
      <w:pPr>
        <w:pStyle w:val="GHBodytext"/>
        <w:numPr>
          <w:ilvl w:val="0"/>
          <w:numId w:val="3"/>
        </w:numPr>
      </w:pPr>
      <w:r>
        <w:t xml:space="preserve">Expand the universe of respondents who are presented with a likelihood follow-up question after the counterfactual scenario question </w:t>
      </w:r>
      <w:r w:rsidR="002E615E">
        <w:t>(FR7)</w:t>
      </w:r>
      <w:r>
        <w:t xml:space="preserve"> to all respondents (</w:t>
      </w:r>
      <w:r w:rsidR="00B5560B">
        <w:t xml:space="preserve">instead of </w:t>
      </w:r>
      <w:r w:rsidR="00037233">
        <w:t>a sub-set indicated in</w:t>
      </w:r>
      <w:r w:rsidR="006F35C2">
        <w:t xml:space="preserve"> </w:t>
      </w:r>
      <w:r w:rsidR="00004C42">
        <w:fldChar w:fldCharType="begin"/>
      </w:r>
      <w:r w:rsidR="00004C42">
        <w:instrText xml:space="preserve"> REF _Ref191039705 \h </w:instrText>
      </w:r>
      <w:r w:rsidR="00004C42">
        <w:fldChar w:fldCharType="separate"/>
      </w:r>
      <w:r w:rsidR="00004C42">
        <w:t xml:space="preserve">Figure </w:t>
      </w:r>
      <w:r w:rsidR="00004C42">
        <w:rPr>
          <w:noProof/>
        </w:rPr>
        <w:t>4</w:t>
      </w:r>
      <w:r w:rsidR="00004C42">
        <w:fldChar w:fldCharType="end"/>
      </w:r>
      <w:r w:rsidR="006F35C2" w:rsidRPr="006F35C2">
        <w:fldChar w:fldCharType="begin"/>
      </w:r>
      <w:r w:rsidR="006F35C2" w:rsidRPr="006F35C2">
        <w:instrText xml:space="preserve"> REF _Ref191039705 \h  \* MERGEFORMAT </w:instrText>
      </w:r>
      <w:r w:rsidR="006F35C2" w:rsidRPr="006F35C2">
        <w:fldChar w:fldCharType="separate"/>
      </w:r>
      <w:r w:rsidR="006F35C2" w:rsidRPr="006F35C2">
        <w:fldChar w:fldCharType="end"/>
      </w:r>
      <w:r w:rsidR="00037233">
        <w:t xml:space="preserve">). </w:t>
      </w:r>
    </w:p>
    <w:p w14:paraId="23EAE6EB" w14:textId="3B2B8FC2" w:rsidR="00037233" w:rsidRPr="00F76E96" w:rsidRDefault="007D0A35" w:rsidP="00DD5D2A">
      <w:pPr>
        <w:pStyle w:val="GHBodytext"/>
        <w:numPr>
          <w:ilvl w:val="0"/>
          <w:numId w:val="3"/>
        </w:numPr>
      </w:pPr>
      <w:r>
        <w:t xml:space="preserve">Apply a timing and quantity adjustment to the </w:t>
      </w:r>
      <w:r w:rsidR="0065154C">
        <w:t xml:space="preserve">final efficiency FR score </w:t>
      </w:r>
      <w:r w:rsidR="00145992">
        <w:t xml:space="preserve">as opposed to embedding concepts of timing and quantity </w:t>
      </w:r>
      <w:r w:rsidR="00683405">
        <w:t xml:space="preserve">in the counterfactual </w:t>
      </w:r>
      <w:r w:rsidR="00E30018">
        <w:t>scenario question (FR6)</w:t>
      </w:r>
      <w:r w:rsidR="00BB109E">
        <w:t xml:space="preserve">. </w:t>
      </w:r>
    </w:p>
    <w:p w14:paraId="52385614" w14:textId="222B2D64" w:rsidR="008E7160" w:rsidRPr="00F76E96" w:rsidRDefault="00F76E96" w:rsidP="00F76E96">
      <w:pPr>
        <w:pStyle w:val="GHBodytext"/>
      </w:pPr>
      <w:r w:rsidRPr="00F76E96">
        <w:t>For 202</w:t>
      </w:r>
      <w:r w:rsidR="008F1161">
        <w:t>5</w:t>
      </w:r>
      <w:r w:rsidRPr="00F76E96">
        <w:t xml:space="preserve">, </w:t>
      </w:r>
      <w:proofErr w:type="spellStart"/>
      <w:r w:rsidRPr="00F76E96">
        <w:t>Guidehouse</w:t>
      </w:r>
      <w:proofErr w:type="spellEnd"/>
      <w:r w:rsidRPr="00F76E96">
        <w:t xml:space="preserve"> plans to use </w:t>
      </w:r>
      <w:r w:rsidR="008F1161">
        <w:t xml:space="preserve">this revised 2023 </w:t>
      </w:r>
      <w:r w:rsidRPr="00F76E96">
        <w:t>algorithm for evaluatin</w:t>
      </w:r>
      <w:r w:rsidR="005A1A3A">
        <w:t>g</w:t>
      </w:r>
      <w:r w:rsidRPr="00F76E96">
        <w:t xml:space="preserve"> </w:t>
      </w:r>
      <w:r w:rsidR="008F1161">
        <w:t xml:space="preserve">free ridership </w:t>
      </w:r>
      <w:r w:rsidR="00186957">
        <w:t>in</w:t>
      </w:r>
      <w:r w:rsidR="008F1161">
        <w:t xml:space="preserve"> the programs indicated </w:t>
      </w:r>
      <w:r w:rsidR="00BA0F9F">
        <w:t xml:space="preserve">in the introduction to this </w:t>
      </w:r>
      <w:r w:rsidR="008747A9">
        <w:t>memo.</w:t>
      </w:r>
      <w:r w:rsidR="0015578E">
        <w:t xml:space="preserve"> </w:t>
      </w:r>
    </w:p>
    <w:p w14:paraId="1EAB8923" w14:textId="77777777" w:rsidR="00F76E96" w:rsidRPr="00F76E96" w:rsidRDefault="00F76E96" w:rsidP="00F76E96">
      <w:pPr>
        <w:pStyle w:val="GHBodytext"/>
      </w:pPr>
    </w:p>
    <w:p w14:paraId="35B8CB0C" w14:textId="6D791E3B" w:rsidR="00F76E96" w:rsidRPr="001A5C90" w:rsidRDefault="00F76E96" w:rsidP="00A87490">
      <w:pPr>
        <w:pStyle w:val="Caption"/>
      </w:pPr>
      <w:bookmarkStart w:id="2" w:name="_Ref165463427"/>
      <w:bookmarkStart w:id="3" w:name="_Hlk191039317"/>
      <w:r w:rsidRPr="001A5C90">
        <w:lastRenderedPageBreak/>
        <w:t xml:space="preserve">Figure </w:t>
      </w:r>
      <w:fldSimple w:instr=" SEQ Figure \* ARABIC ">
        <w:r w:rsidR="00841378">
          <w:rPr>
            <w:noProof/>
          </w:rPr>
          <w:t>2</w:t>
        </w:r>
      </w:fldSimple>
      <w:bookmarkEnd w:id="2"/>
      <w:r w:rsidRPr="00F76E96">
        <w:t>. Proposed Free Ridership Protocol for Residential Rebate Programs (</w:t>
      </w:r>
      <w:r w:rsidR="003A39F8">
        <w:t xml:space="preserve">Revised </w:t>
      </w:r>
      <w:r w:rsidRPr="00F76E96">
        <w:t>2023)</w:t>
      </w:r>
    </w:p>
    <w:bookmarkEnd w:id="3"/>
    <w:p w14:paraId="0D526234" w14:textId="6BCF4A2E" w:rsidR="00F76E96" w:rsidRDefault="00321344" w:rsidP="00F76E96">
      <w:pPr>
        <w:pStyle w:val="GHBodytext"/>
      </w:pPr>
      <w:r w:rsidRPr="00321344">
        <w:rPr>
          <w:noProof/>
        </w:rPr>
        <mc:AlternateContent>
          <mc:Choice Requires="wps">
            <w:drawing>
              <wp:anchor distT="0" distB="0" distL="114300" distR="114300" simplePos="0" relativeHeight="251658240" behindDoc="0" locked="0" layoutInCell="1" allowOverlap="1" wp14:anchorId="5C89DAA0" wp14:editId="3330D4F5">
                <wp:simplePos x="0" y="0"/>
                <wp:positionH relativeFrom="column">
                  <wp:posOffset>14695170</wp:posOffset>
                </wp:positionH>
                <wp:positionV relativeFrom="paragraph">
                  <wp:posOffset>6567170</wp:posOffset>
                </wp:positionV>
                <wp:extent cx="394055" cy="382456"/>
                <wp:effectExtent l="81915" t="13335" r="31115" b="69215"/>
                <wp:wrapNone/>
                <wp:docPr id="10" name="Connector: Elbow 9">
                  <a:extLst xmlns:a="http://schemas.openxmlformats.org/drawingml/2006/main">
                    <a:ext uri="{FF2B5EF4-FFF2-40B4-BE49-F238E27FC236}">
                      <a16:creationId xmlns:a16="http://schemas.microsoft.com/office/drawing/2014/main" id="{32C052EC-0B14-E48E-37B5-FC5D77019F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394055" cy="382456"/>
                        </a:xfrm>
                        <a:prstGeom prst="bentConnector3">
                          <a:avLst/>
                        </a:prstGeom>
                        <a:ln w="12700" cap="sq">
                          <a:tailEnd type="triangle"/>
                        </a:ln>
                      </wps:spPr>
                      <wps:style>
                        <a:lnRef idx="1">
                          <a:schemeClr val="accent1"/>
                        </a:lnRef>
                        <a:fillRef idx="0">
                          <a:schemeClr val="accent1"/>
                        </a:fillRef>
                        <a:effectRef idx="0">
                          <a:srgbClr val="000000"/>
                        </a:effectRef>
                        <a:fontRef idx="minor">
                          <a:schemeClr val="lt1"/>
                        </a:fontRef>
                      </wps:style>
                      <wps:bodyPr/>
                    </wps:wsp>
                  </a:graphicData>
                </a:graphic>
              </wp:anchor>
            </w:drawing>
          </mc:Choice>
          <mc:Fallback xmlns:arto="http://schemas.microsoft.com/office/word/2006/arto">
            <w:pict>
              <v:shapetype w14:anchorId="3183EF6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9" o:spid="_x0000_s1026" type="#_x0000_t34" style="position:absolute;margin-left:1157.1pt;margin-top:517.1pt;width:31.05pt;height:30.1pt;rotation:9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8M6AEAAAUEAAAOAAAAZHJzL2Uyb0RvYy54bWysU02P0zAQvSPxHyzfadKvZYma7qELXFaw&#10;YuEHuM64sXBsMzZN8+8ZO2lAC+KAyMGK45k37z2/7O4unWFnwKCdrflyUXIGVrpG21PNv3x+9+qW&#10;sxCFbYRxFmo+QOB3+5cvdr2vYOVaZxpARiA2VL2veRujr4oiyBY6ERbOg6VD5bATkbZ4KhoUPaF3&#10;pliV5U3RO2w8Ogkh0Nf78ZDvM75SIONHpQJEZmpO3GJeMa/HtBb7nahOKHyr5URD/AOLTmhLQ2eo&#10;exEF+476N6hOS3TBqbiQriucUlpC1kBqluUzNU+t8JC1kDnBzzaF/wcrP5wP9hETdXmxT/7Bya+B&#10;TCl6H6r5MG2CH8suCjuGjpzcbsr0ZN2khF2yrcNsK1wik/Rx/WZTbrecSTpa364225tkeyGqBJUm&#10;ewzxPbiOpZeaH8HGg7OWLs/hOsOL80OIY9O1ODUay3pK3eo1sWBSUH7Ct1wfhTZvbcPi4Cl0EbWw&#10;JwPTWGMnfaOkLC4OBkbET6CYboj2MiPlJMLBIDsLypCQktgtZySqTm1KGzM3jo78tXGqT62QU/q8&#10;GU/HeWZ2OUeVPJvL81hn49zZaevwT5zNzFeN9Vf5o+ik/+ia4RGv905Zy/cz/RcpzL/uc/vPv3f/&#10;AwAA//8DAFBLAwQUAAYACAAAACEALKgXKOQAAAAPAQAADwAAAGRycy9kb3ducmV2LnhtbEyPzU7D&#10;MBCE70i8g7VIXFDr1GkKhDhVQSrqCUSIOLvx5kfEdhQ7bXh7tie47e6MZr/JtrPp2QlH3zkrYbWM&#10;gKGtnO5sI6H83C8egPmgrFa9syjhBz1s8+urTKXane0HnorQMAqxPlUS2hCGlHNftWiUX7oBLWm1&#10;G40KtI4N16M6U7jpuYiiDTeqs/ShVQO+tFh9F5ORkLxNdb2L7p5fxftXufb7ojxgJ+Xtzbx7AhZw&#10;Dn9muOATOuTEdHST1Z71EkS8SgR5SYnimCbyiPg+WQM7Xm6PSQw8z/j/HvkvAAAA//8DAFBLAQIt&#10;ABQABgAIAAAAIQC2gziS/gAAAOEBAAATAAAAAAAAAAAAAAAAAAAAAABbQ29udGVudF9UeXBlc10u&#10;eG1sUEsBAi0AFAAGAAgAAAAhADj9If/WAAAAlAEAAAsAAAAAAAAAAAAAAAAALwEAAF9yZWxzLy5y&#10;ZWxzUEsBAi0AFAAGAAgAAAAhAJ+urwzoAQAABQQAAA4AAAAAAAAAAAAAAAAALgIAAGRycy9lMm9E&#10;b2MueG1sUEsBAi0AFAAGAAgAAAAhACyoFyjkAAAADwEAAA8AAAAAAAAAAAAAAAAAQgQAAGRycy9k&#10;b3ducmV2LnhtbFBLBQYAAAAABAAEAPMAAABTBQAAAAA=&#10;" strokecolor="#4472c4 [3204]" strokeweight="1pt">
                <v:stroke endarrow="block" endcap="square"/>
                <o:lock v:ext="edit" shapetype="f"/>
              </v:shape>
            </w:pict>
          </mc:Fallback>
        </mc:AlternateContent>
      </w:r>
      <w:r w:rsidRPr="00321344">
        <w:rPr>
          <w:noProof/>
        </w:rPr>
        <mc:AlternateContent>
          <mc:Choice Requires="wps">
            <w:drawing>
              <wp:anchor distT="0" distB="0" distL="114300" distR="114300" simplePos="0" relativeHeight="251658241" behindDoc="0" locked="0" layoutInCell="1" allowOverlap="1" wp14:anchorId="047156A1" wp14:editId="0B150D79">
                <wp:simplePos x="0" y="0"/>
                <wp:positionH relativeFrom="column">
                  <wp:posOffset>16939260</wp:posOffset>
                </wp:positionH>
                <wp:positionV relativeFrom="paragraph">
                  <wp:posOffset>5148580</wp:posOffset>
                </wp:positionV>
                <wp:extent cx="177430" cy="1428474"/>
                <wp:effectExtent l="19050" t="38100" r="70485" b="38735"/>
                <wp:wrapNone/>
                <wp:docPr id="12" name="Connector: Elbow 11">
                  <a:extLst xmlns:a="http://schemas.openxmlformats.org/drawingml/2006/main">
                    <a:ext uri="{FF2B5EF4-FFF2-40B4-BE49-F238E27FC236}">
                      <a16:creationId xmlns:a16="http://schemas.microsoft.com/office/drawing/2014/main" id="{30C91780-F3E8-C3F1-6565-15731E81C9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7430" cy="1428474"/>
                        </a:xfrm>
                        <a:prstGeom prst="bentConnector2">
                          <a:avLst/>
                        </a:prstGeom>
                        <a:ln w="12700" cap="sq">
                          <a:tailEnd type="triangle"/>
                        </a:ln>
                      </wps:spPr>
                      <wps:style>
                        <a:lnRef idx="1">
                          <a:schemeClr val="accent1"/>
                        </a:lnRef>
                        <a:fillRef idx="0">
                          <a:schemeClr val="accent1"/>
                        </a:fillRef>
                        <a:effectRef idx="0">
                          <a:srgbClr val="000000"/>
                        </a:effectRef>
                        <a:fontRef idx="minor">
                          <a:schemeClr val="lt1"/>
                        </a:fontRef>
                      </wps:style>
                      <wps:bodyPr/>
                    </wps:wsp>
                  </a:graphicData>
                </a:graphic>
              </wp:anchor>
            </w:drawing>
          </mc:Choice>
          <mc:Fallback xmlns:arto="http://schemas.microsoft.com/office/word/2006/arto">
            <w:pict>
              <v:shapetype w14:anchorId="6107028D" id="_x0000_t33" coordsize="21600,21600" o:spt="33" o:oned="t" path="m,l21600,r,21600e" filled="f">
                <v:stroke joinstyle="miter"/>
                <v:path arrowok="t" fillok="f" o:connecttype="none"/>
                <o:lock v:ext="edit" shapetype="t"/>
              </v:shapetype>
              <v:shape id="Connector: Elbow 11" o:spid="_x0000_s1026" type="#_x0000_t33" style="position:absolute;margin-left:1333.8pt;margin-top:405.4pt;width:13.95pt;height:112.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Xp4gEAAAIEAAAOAAAAZHJzL2Uyb0RvYy54bWysU02P0zAQvSPxHyzfaT6o6CpquocucFnB&#10;il24u844sXBsY5sm/feMndSgBQkJkYOV8cx7M29mvL+dR0XO4Lw0uqXVpqQENDed1H1LPz+9e3VD&#10;iQ9Md0wZDS29gKe3h5cv9pNtoDaDUR04giTaN5Nt6RCCbYrC8wFG5jfGgkanMG5kAU3XF51jE7KP&#10;qqjL8k0xGddZZzh4j7d3i5MeEr8QwMNHITwEolqKtYV0unSe4lkc9qzpHbOD5GsZ7B+qGJnUmDRT&#10;3bHAyHcnf6MaJXfGGxE23IyFEUJySBpQTVU+U/M4MAtJCzbH29wm//9o+YfzUT+4WDqf9aO9N/yr&#10;x6YUk/VNdkbD2yVsFm4kQkn7BeedNKMKMqeWXnJLYQ6E42W1221fY+M5uqptfbPdbWPPC9ZEnpjW&#10;Oh/egxlJ/GnpCXQ4Gq1xcsbViZ+d731YQNfgCFSaTEha78rIz3B5/LcUH5hUb3VHwsXixgUnme4V&#10;rGmVXsUtepKycFGwMH4CQWQX605MaQ3hqBw5M1wgxjlWV2UmjI4wIZXKwPLvwDU+QiGt6HOw6085&#10;Z5m+NWUOT2mNDhk5Sm3cn1KrXK9Y4q/yF9FR/8l0lwd3HTouWprP+ijiJv9qJ/jPp3v4AQAA//8D&#10;AFBLAwQUAAYACAAAACEAVXdCzuAAAAAOAQAADwAAAGRycy9kb3ducmV2LnhtbEyPMU/DMBCFdyT+&#10;g3VIbNRpICYJcaqqEiMDbYeObnwkEfE5it008Os5JhhP9+l771WbxQ1ixin0njSsVwkIpMbbnloN&#10;x8PrQw4iREPWDJ5QwxcG2NS3N5Uprb/SO8772AqWUCiNhi7GsZQyNB06E1Z+ROLfh5+ciXxOrbST&#10;ubLcDTJNEiWd6YkTOjPirsPmc39xbMnf4nfR+nne4q4/2tOpKdInre/vlu0LiIhL/IPhtz5Xh5o7&#10;nf2FbBCDhlSpZ8Wshnyd8AhGUlVkGYgzw8ljloOsK/l/Rv0DAAD//wMAUEsBAi0AFAAGAAgAAAAh&#10;ALaDOJL+AAAA4QEAABMAAAAAAAAAAAAAAAAAAAAAAFtDb250ZW50X1R5cGVzXS54bWxQSwECLQAU&#10;AAYACAAAACEAOP0h/9YAAACUAQAACwAAAAAAAAAAAAAAAAAvAQAAX3JlbHMvLnJlbHNQSwECLQAU&#10;AAYACAAAACEAmK8l6eIBAAACBAAADgAAAAAAAAAAAAAAAAAuAgAAZHJzL2Uyb0RvYy54bWxQSwEC&#10;LQAUAAYACAAAACEAVXdCzuAAAAAOAQAADwAAAAAAAAAAAAAAAAA8BAAAZHJzL2Rvd25yZXYueG1s&#10;UEsFBgAAAAAEAAQA8wAAAEkFAAAAAA==&#10;" strokecolor="#4472c4 [3204]" strokeweight="1pt">
                <v:stroke endarrow="block" endcap="square"/>
                <o:lock v:ext="edit" shapetype="f"/>
              </v:shape>
            </w:pict>
          </mc:Fallback>
        </mc:AlternateContent>
      </w:r>
      <w:r w:rsidR="00B57F9E">
        <w:rPr>
          <w:noProof/>
        </w:rPr>
        <w:drawing>
          <wp:inline distT="0" distB="0" distL="0" distR="0" wp14:anchorId="3E554E9E" wp14:editId="392A3F7C">
            <wp:extent cx="5943600" cy="2904432"/>
            <wp:effectExtent l="0" t="0" r="0" b="0"/>
            <wp:docPr id="756492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904432"/>
                    </a:xfrm>
                    <a:prstGeom prst="rect">
                      <a:avLst/>
                    </a:prstGeom>
                    <a:noFill/>
                  </pic:spPr>
                </pic:pic>
              </a:graphicData>
            </a:graphic>
          </wp:inline>
        </w:drawing>
      </w:r>
    </w:p>
    <w:p w14:paraId="294C49C8" w14:textId="61814B6C" w:rsidR="003904BD" w:rsidRDefault="003904BD">
      <w:pPr>
        <w:spacing w:before="0" w:after="160" w:line="259" w:lineRule="auto"/>
        <w:rPr>
          <w:rFonts w:ascii="Aptos Light" w:hAnsi="Aptos Light"/>
          <w:b/>
          <w:bCs/>
        </w:rPr>
      </w:pPr>
    </w:p>
    <w:p w14:paraId="231C36BB" w14:textId="77777777" w:rsidR="00FE1A6B" w:rsidRDefault="00BA4725" w:rsidP="001A5C90">
      <w:pPr>
        <w:pStyle w:val="Caption"/>
      </w:pPr>
      <w:bookmarkStart w:id="4" w:name="_Ref191039755"/>
      <w:r w:rsidRPr="001A5C90">
        <w:lastRenderedPageBreak/>
        <w:t xml:space="preserve">Figure </w:t>
      </w:r>
      <w:fldSimple w:instr=" SEQ Figure \* ARABIC ">
        <w:r w:rsidR="00841378">
          <w:rPr>
            <w:noProof/>
          </w:rPr>
          <w:t>3</w:t>
        </w:r>
      </w:fldSimple>
      <w:bookmarkEnd w:id="4"/>
      <w:r w:rsidRPr="001A5C90">
        <w:t xml:space="preserve"> Proposed Free Ridership Protocol for Residential Rebate Programs </w:t>
      </w:r>
      <w:r w:rsidR="003904BD" w:rsidRPr="001A5C90">
        <w:t>Quantity &amp; Timing Adjustment</w:t>
      </w:r>
    </w:p>
    <w:p w14:paraId="601FFED9" w14:textId="7F853245" w:rsidR="000073B3" w:rsidRDefault="00F1139B" w:rsidP="001A5C90">
      <w:pPr>
        <w:pStyle w:val="Caption"/>
        <w:rPr>
          <w:b w:val="0"/>
        </w:rPr>
      </w:pPr>
      <w:r>
        <w:rPr>
          <w:b w:val="0"/>
          <w:noProof/>
        </w:rPr>
        <w:drawing>
          <wp:inline distT="0" distB="0" distL="0" distR="0" wp14:anchorId="388FB3D1" wp14:editId="7CE032E6">
            <wp:extent cx="5943600" cy="2128004"/>
            <wp:effectExtent l="0" t="0" r="0" b="5715"/>
            <wp:docPr id="7590363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128004"/>
                    </a:xfrm>
                    <a:prstGeom prst="rect">
                      <a:avLst/>
                    </a:prstGeom>
                    <a:noFill/>
                  </pic:spPr>
                </pic:pic>
              </a:graphicData>
            </a:graphic>
          </wp:inline>
        </w:drawing>
      </w:r>
    </w:p>
    <w:p w14:paraId="59BBEA62" w14:textId="1BF05C27" w:rsidR="004755A4" w:rsidRDefault="004755A4" w:rsidP="001A5C90">
      <w:pPr>
        <w:pStyle w:val="Caption"/>
        <w:rPr>
          <w:noProof/>
        </w:rPr>
      </w:pPr>
      <w:bookmarkStart w:id="5" w:name="_Ref191039705"/>
      <w:r>
        <w:t xml:space="preserve">Figure </w:t>
      </w:r>
      <w:fldSimple w:instr=" SEQ Figure \* ARABIC ">
        <w:r w:rsidR="00841378">
          <w:rPr>
            <w:noProof/>
          </w:rPr>
          <w:t>4</w:t>
        </w:r>
      </w:fldSimple>
      <w:bookmarkEnd w:id="5"/>
      <w:r w:rsidRPr="00F76E96">
        <w:t xml:space="preserve">. </w:t>
      </w:r>
      <w:r w:rsidR="00DB1BC5">
        <w:t>2023</w:t>
      </w:r>
      <w:r w:rsidR="006350AB">
        <w:t xml:space="preserve"> Residential FR Algorithm (</w:t>
      </w:r>
      <w:r w:rsidR="00DB1BC5">
        <w:t xml:space="preserve">from </w:t>
      </w:r>
      <w:r w:rsidR="006350AB">
        <w:t>10/31/2024 Deviation Memo)</w:t>
      </w:r>
    </w:p>
    <w:p w14:paraId="3DDD4066" w14:textId="618AE020" w:rsidR="00313D36" w:rsidRPr="002D43AD" w:rsidRDefault="004755A4" w:rsidP="00CD2231">
      <w:pPr>
        <w:pStyle w:val="GHBodytext"/>
        <w:spacing w:before="120"/>
      </w:pPr>
      <w:r>
        <w:rPr>
          <w:noProof/>
        </w:rPr>
        <w:drawing>
          <wp:inline distT="0" distB="0" distL="0" distR="0" wp14:anchorId="27C50BC3" wp14:editId="3A9DDD2D">
            <wp:extent cx="5943600" cy="2519045"/>
            <wp:effectExtent l="0" t="0" r="0" b="0"/>
            <wp:docPr id="1800001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519045"/>
                    </a:xfrm>
                    <a:prstGeom prst="rect">
                      <a:avLst/>
                    </a:prstGeom>
                    <a:noFill/>
                  </pic:spPr>
                </pic:pic>
              </a:graphicData>
            </a:graphic>
          </wp:inline>
        </w:drawing>
      </w:r>
    </w:p>
    <w:sectPr w:rsidR="00313D36" w:rsidRPr="002D43AD" w:rsidSect="00E05712">
      <w:headerReference w:type="default"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C42C7" w14:textId="77777777" w:rsidR="00D927B6" w:rsidRDefault="00D927B6" w:rsidP="00CA0364">
      <w:pPr>
        <w:spacing w:before="0" w:after="0"/>
      </w:pPr>
      <w:r>
        <w:separator/>
      </w:r>
    </w:p>
  </w:endnote>
  <w:endnote w:type="continuationSeparator" w:id="0">
    <w:p w14:paraId="60EF4587" w14:textId="77777777" w:rsidR="00D927B6" w:rsidRDefault="00D927B6" w:rsidP="00CA0364">
      <w:pPr>
        <w:spacing w:before="0" w:after="0"/>
      </w:pPr>
      <w:r>
        <w:continuationSeparator/>
      </w:r>
    </w:p>
  </w:endnote>
  <w:endnote w:type="continuationNotice" w:id="1">
    <w:p w14:paraId="1F93D743" w14:textId="77777777" w:rsidR="00D927B6" w:rsidRDefault="00D927B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Light">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377FE" w14:textId="77777777" w:rsidR="002E2192" w:rsidRDefault="002E2192" w:rsidP="00D04344">
    <w:pPr>
      <w:pStyle w:val="GHFooterAddress"/>
    </w:pPr>
  </w:p>
  <w:p w14:paraId="46E20F3E" w14:textId="463E6B9E" w:rsidR="00D04344" w:rsidRDefault="000947E2" w:rsidP="00D04344">
    <w:pPr>
      <w:pStyle w:val="GHFooterAddress"/>
    </w:pPr>
    <w:r>
      <w:t xml:space="preserve">150 </w:t>
    </w:r>
    <w:r w:rsidR="003161DD">
      <w:t>North Riverside</w:t>
    </w:r>
  </w:p>
  <w:p w14:paraId="656BEB42" w14:textId="5639941E" w:rsidR="006C756C" w:rsidRDefault="006C756C" w:rsidP="00D04344">
    <w:pPr>
      <w:pStyle w:val="GHFooterAddress"/>
    </w:pPr>
    <w:r>
      <w:t xml:space="preserve">Suite </w:t>
    </w:r>
    <w:r w:rsidR="00AF7A58">
      <w:t>2100 | Chicago</w:t>
    </w:r>
    <w:r w:rsidR="005E0608">
      <w:t xml:space="preserve">, IL </w:t>
    </w:r>
    <w:r w:rsidR="00FA4E72">
      <w:t>60606</w:t>
    </w:r>
  </w:p>
  <w:p w14:paraId="0A9DD5D7" w14:textId="5A0FEE51" w:rsidR="00C34449" w:rsidRDefault="00C34449" w:rsidP="00D04344">
    <w:pPr>
      <w:pStyle w:val="GHFooterAddress"/>
    </w:pPr>
    <w:r>
      <w:t>guidehouse.com</w:t>
    </w:r>
  </w:p>
  <w:p w14:paraId="4CA939BA" w14:textId="0F8CF837" w:rsidR="00D04344" w:rsidRDefault="00D04344" w:rsidP="00D04344">
    <w:pPr>
      <w:pStyle w:val="GHFooterAddress"/>
    </w:pPr>
    <w:r>
      <w:tab/>
    </w:r>
    <w:r w:rsidRPr="00921FB8">
      <w:t xml:space="preserve">Page </w:t>
    </w:r>
    <w:r w:rsidRPr="00921FB8">
      <w:fldChar w:fldCharType="begin"/>
    </w:r>
    <w:r w:rsidRPr="00921FB8">
      <w:instrText xml:space="preserve"> PAGE  \* Arabic  \* MERGEFORMAT </w:instrText>
    </w:r>
    <w:r w:rsidRPr="00921FB8">
      <w:fldChar w:fldCharType="separate"/>
    </w:r>
    <w:r>
      <w:t>1</w:t>
    </w:r>
    <w:r w:rsidRPr="00921FB8">
      <w:fldChar w:fldCharType="end"/>
    </w:r>
    <w:r w:rsidRPr="00921FB8">
      <w:t xml:space="preserve"> of </w:t>
    </w:r>
    <w:fldSimple w:instr=" NUMPAGES  \* Arabic  \* MERGEFORMAT ">
      <w: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4" w:space="0" w:color="648C1A"/>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419"/>
    </w:tblGrid>
    <w:tr w:rsidR="006C5616" w:rsidRPr="004524A4" w14:paraId="37E3D099" w14:textId="77777777">
      <w:trPr>
        <w:trHeight w:val="841"/>
      </w:trPr>
      <w:tc>
        <w:tcPr>
          <w:tcW w:w="8931" w:type="dxa"/>
          <w:vAlign w:val="bottom"/>
        </w:tcPr>
        <w:p w14:paraId="5952C2F0" w14:textId="77777777" w:rsidR="001C47FA" w:rsidRPr="00ED26AD" w:rsidRDefault="001C47FA">
          <w:pPr>
            <w:rPr>
              <w:rFonts w:asciiTheme="minorHAnsi" w:hAnsiTheme="minorHAnsi" w:cstheme="minorHAnsi"/>
              <w:sz w:val="13"/>
              <w:szCs w:val="13"/>
            </w:rPr>
          </w:pPr>
          <w:r w:rsidRPr="00ED26AD">
            <w:rPr>
              <w:rFonts w:asciiTheme="minorHAnsi" w:hAnsiTheme="minorHAnsi" w:cstheme="minorHAnsi"/>
              <w:color w:val="000000" w:themeColor="text1"/>
              <w:sz w:val="13"/>
              <w:szCs w:val="13"/>
            </w:rPr>
            <w:t>©20</w:t>
          </w:r>
          <w:r>
            <w:rPr>
              <w:rFonts w:asciiTheme="minorHAnsi" w:hAnsiTheme="minorHAnsi" w:cstheme="minorHAnsi"/>
              <w:color w:val="000000" w:themeColor="text1"/>
              <w:sz w:val="13"/>
              <w:szCs w:val="13"/>
            </w:rPr>
            <w:t>21</w:t>
          </w:r>
          <w:r w:rsidRPr="00ED26AD">
            <w:rPr>
              <w:rFonts w:asciiTheme="minorHAnsi" w:hAnsiTheme="minorHAnsi" w:cstheme="minorHAnsi"/>
              <w:color w:val="000000" w:themeColor="text1"/>
              <w:sz w:val="13"/>
              <w:szCs w:val="13"/>
            </w:rPr>
            <w:t xml:space="preserve"> </w:t>
          </w:r>
          <w:proofErr w:type="spellStart"/>
          <w:r w:rsidRPr="00ED26AD">
            <w:rPr>
              <w:rFonts w:asciiTheme="minorHAnsi" w:hAnsiTheme="minorHAnsi" w:cstheme="minorHAnsi"/>
              <w:color w:val="000000" w:themeColor="text1"/>
              <w:sz w:val="13"/>
              <w:szCs w:val="13"/>
            </w:rPr>
            <w:t>Guidehouse</w:t>
          </w:r>
          <w:proofErr w:type="spellEnd"/>
          <w:r w:rsidRPr="00ED26AD">
            <w:rPr>
              <w:rFonts w:asciiTheme="minorHAnsi" w:hAnsiTheme="minorHAnsi" w:cstheme="minorHAnsi"/>
              <w:color w:val="000000" w:themeColor="text1"/>
              <w:sz w:val="13"/>
              <w:szCs w:val="13"/>
            </w:rPr>
            <w:t xml:space="preserve"> Inc. All rights reserved. </w:t>
          </w:r>
          <w:proofErr w:type="spellStart"/>
          <w:r w:rsidRPr="00ED26AD">
            <w:rPr>
              <w:rFonts w:asciiTheme="minorHAnsi" w:hAnsiTheme="minorHAnsi" w:cstheme="minorHAnsi"/>
              <w:color w:val="000000" w:themeColor="text1"/>
              <w:sz w:val="13"/>
              <w:szCs w:val="13"/>
            </w:rPr>
            <w:t>Guidehouse</w:t>
          </w:r>
          <w:proofErr w:type="spellEnd"/>
          <w:r w:rsidRPr="00ED26AD">
            <w:rPr>
              <w:rFonts w:asciiTheme="minorHAnsi" w:hAnsiTheme="minorHAnsi" w:cstheme="minorHAnsi"/>
              <w:color w:val="000000" w:themeColor="text1"/>
              <w:sz w:val="13"/>
              <w:szCs w:val="13"/>
            </w:rPr>
            <w:t xml:space="preserve"> Inc. f/k/a Navigant Consulting, Inc. (“</w:t>
          </w:r>
          <w:proofErr w:type="spellStart"/>
          <w:r w:rsidRPr="00ED26AD">
            <w:rPr>
              <w:rFonts w:asciiTheme="minorHAnsi" w:hAnsiTheme="minorHAnsi" w:cstheme="minorHAnsi"/>
              <w:color w:val="000000" w:themeColor="text1"/>
              <w:sz w:val="13"/>
              <w:szCs w:val="13"/>
            </w:rPr>
            <w:t>Guidehouse</w:t>
          </w:r>
          <w:proofErr w:type="spellEnd"/>
          <w:r w:rsidRPr="00ED26AD">
            <w:rPr>
              <w:rFonts w:asciiTheme="minorHAnsi" w:hAnsiTheme="minorHAnsi" w:cstheme="minorHAnsi"/>
              <w:color w:val="000000" w:themeColor="text1"/>
              <w:sz w:val="13"/>
              <w:szCs w:val="13"/>
            </w:rPr>
            <w:t>” or “Navigant”) is not a certified public accounting or audit firm. Navigant does not provide audit, attest, or public accounting services. See navigant.com/about/legal for a complete listing of private investigator licenses. This publication is provided by Navigant for informational purposes only and does not constitute consulting services or tax or legal advice. This publication may be used only as expressly permitted by license from Navigant and may not otherwise be reproduced, recorded, photocopied, distributed, displayed, modified, extracted, accessed, or used without the express written permission of Navigant.</w:t>
          </w:r>
        </w:p>
      </w:tc>
      <w:tc>
        <w:tcPr>
          <w:tcW w:w="419" w:type="dxa"/>
          <w:vAlign w:val="center"/>
        </w:tcPr>
        <w:p w14:paraId="570D64E0" w14:textId="77777777" w:rsidR="001C47FA" w:rsidRPr="004524A4" w:rsidRDefault="00A555F5">
          <w:pPr>
            <w:rPr>
              <w:rFonts w:ascii="Arial Narrow" w:hAnsi="Arial Narrow"/>
              <w:sz w:val="13"/>
              <w:szCs w:val="13"/>
            </w:rPr>
          </w:pPr>
          <w:sdt>
            <w:sdtPr>
              <w:rPr>
                <w:rFonts w:ascii="Arial Narrow" w:hAnsi="Arial Narrow"/>
                <w:sz w:val="13"/>
                <w:szCs w:val="13"/>
              </w:rPr>
              <w:id w:val="-80915887"/>
              <w:docPartObj>
                <w:docPartGallery w:val="Page Numbers (Bottom of Page)"/>
                <w:docPartUnique/>
              </w:docPartObj>
            </w:sdtPr>
            <w:sdtEndPr/>
            <w:sdtContent>
              <w:r w:rsidR="001C47FA" w:rsidRPr="00ED26AD">
                <w:rPr>
                  <w:rFonts w:asciiTheme="minorHAnsi" w:hAnsiTheme="minorHAnsi" w:cstheme="minorHAnsi"/>
                  <w:sz w:val="13"/>
                  <w:szCs w:val="13"/>
                </w:rPr>
                <w:fldChar w:fldCharType="begin"/>
              </w:r>
              <w:r w:rsidR="001C47FA" w:rsidRPr="00ED26AD">
                <w:rPr>
                  <w:rFonts w:asciiTheme="minorHAnsi" w:hAnsiTheme="minorHAnsi" w:cstheme="minorHAnsi"/>
                  <w:sz w:val="13"/>
                  <w:szCs w:val="13"/>
                </w:rPr>
                <w:instrText xml:space="preserve"> PAGE   \* MERGEFORMAT </w:instrText>
              </w:r>
              <w:r w:rsidR="001C47FA" w:rsidRPr="00ED26AD">
                <w:rPr>
                  <w:rFonts w:asciiTheme="minorHAnsi" w:hAnsiTheme="minorHAnsi" w:cstheme="minorHAnsi"/>
                  <w:sz w:val="13"/>
                  <w:szCs w:val="13"/>
                </w:rPr>
                <w:fldChar w:fldCharType="separate"/>
              </w:r>
              <w:r w:rsidR="001C47FA" w:rsidRPr="00ED26AD">
                <w:rPr>
                  <w:rFonts w:asciiTheme="minorHAnsi" w:hAnsiTheme="minorHAnsi" w:cstheme="minorHAnsi"/>
                  <w:noProof/>
                  <w:sz w:val="13"/>
                  <w:szCs w:val="13"/>
                </w:rPr>
                <w:t>2</w:t>
              </w:r>
              <w:r w:rsidR="001C47FA" w:rsidRPr="00ED26AD">
                <w:rPr>
                  <w:rFonts w:asciiTheme="minorHAnsi" w:hAnsiTheme="minorHAnsi" w:cstheme="minorHAnsi"/>
                  <w:sz w:val="13"/>
                  <w:szCs w:val="13"/>
                </w:rPr>
                <w:fldChar w:fldCharType="end"/>
              </w:r>
            </w:sdtContent>
          </w:sdt>
        </w:p>
      </w:tc>
    </w:tr>
  </w:tbl>
  <w:p w14:paraId="39C654A6" w14:textId="77777777" w:rsidR="001C47FA" w:rsidRPr="0009290F" w:rsidRDefault="001C47FA">
    <w:pPr>
      <w:spacing w:before="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6AD05" w14:textId="77777777" w:rsidR="00D927B6" w:rsidRDefault="00D927B6" w:rsidP="00CA0364">
      <w:pPr>
        <w:spacing w:before="0" w:after="0"/>
      </w:pPr>
      <w:r>
        <w:separator/>
      </w:r>
    </w:p>
  </w:footnote>
  <w:footnote w:type="continuationSeparator" w:id="0">
    <w:p w14:paraId="3964AE14" w14:textId="77777777" w:rsidR="00D927B6" w:rsidRDefault="00D927B6" w:rsidP="00CA0364">
      <w:pPr>
        <w:spacing w:before="0" w:after="0"/>
      </w:pPr>
      <w:r>
        <w:continuationSeparator/>
      </w:r>
    </w:p>
  </w:footnote>
  <w:footnote w:type="continuationNotice" w:id="1">
    <w:p w14:paraId="00BF0E28" w14:textId="77777777" w:rsidR="00D927B6" w:rsidRDefault="00D927B6">
      <w:pPr>
        <w:spacing w:before="0" w:after="0"/>
      </w:pPr>
    </w:p>
  </w:footnote>
  <w:footnote w:id="2">
    <w:p w14:paraId="095440EF" w14:textId="77777777" w:rsidR="00741423" w:rsidRDefault="00741423" w:rsidP="00741423">
      <w:pPr>
        <w:pStyle w:val="FootnoteText"/>
      </w:pPr>
      <w:r>
        <w:rPr>
          <w:rStyle w:val="FootnoteReference"/>
        </w:rPr>
        <w:footnoteRef/>
      </w:r>
      <w:r>
        <w:t xml:space="preserve"> </w:t>
      </w:r>
      <w:r w:rsidRPr="001112BD">
        <w:rPr>
          <w:rStyle w:val="FootnoteReference"/>
          <w:vertAlign w:val="baseline"/>
        </w:rPr>
        <w:t>“Free Ridership Protocol Deviatio</w:t>
      </w:r>
      <w:r>
        <w:t>n from Illinois Statewide Technical Reference Manual, Version 12.0.” submitted October 31, 2024.</w:t>
      </w:r>
    </w:p>
  </w:footnote>
  <w:footnote w:id="3">
    <w:p w14:paraId="4049FAB8" w14:textId="609FBB05" w:rsidR="00C33FB7" w:rsidRDefault="00C33FB7">
      <w:pPr>
        <w:pStyle w:val="FootnoteText"/>
      </w:pPr>
      <w:r>
        <w:rPr>
          <w:rStyle w:val="FootnoteReference"/>
        </w:rPr>
        <w:footnoteRef/>
      </w:r>
      <w:r>
        <w:t xml:space="preserve"> “Deviation to Residential Free Rider Algorithms for Reporting in 2023”, See </w:t>
      </w:r>
      <w:hyperlink r:id="rId1" w:history="1">
        <w:r>
          <w:rPr>
            <w:rStyle w:val="Hyperlink"/>
          </w:rPr>
          <w:t>SAG-Deviation-Memo-for-Res-FR-2023-05-10.pdf</w:t>
        </w:r>
      </w:hyperlink>
      <w:r>
        <w:t xml:space="preserve">. </w:t>
      </w:r>
    </w:p>
  </w:footnote>
  <w:footnote w:id="4">
    <w:p w14:paraId="37BB2739" w14:textId="677AEBAB" w:rsidR="00312A8F" w:rsidRDefault="00312A8F">
      <w:pPr>
        <w:pStyle w:val="FootnoteText"/>
      </w:pPr>
      <w:r>
        <w:rPr>
          <w:rStyle w:val="FootnoteReference"/>
        </w:rPr>
        <w:footnoteRef/>
      </w:r>
      <w:r>
        <w:t xml:space="preserve"> “Deviation to Residential Free Rider Algorithms for Reporting in 2023 – Test Results”, See </w:t>
      </w:r>
      <w:hyperlink r:id="rId2" w:history="1">
        <w:r w:rsidR="00A23A8D">
          <w:rPr>
            <w:rStyle w:val="Hyperlink"/>
          </w:rPr>
          <w:t>SAG-Deviation-Memo-for-Res-FR-Test-Results-2023-09-08-002.pdf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25F23" w14:textId="77777777" w:rsidR="001C47FA" w:rsidRPr="005D7E25" w:rsidRDefault="00D04344" w:rsidP="005D7E25">
    <w:pPr>
      <w:pStyle w:val="Header"/>
      <w:rPr>
        <w:rFonts w:eastAsia="Times New Roman" w:cs="Times New Roman"/>
        <w:color w:val="545759"/>
        <w:szCs w:val="20"/>
        <w:lang w:val="en-GB"/>
      </w:rPr>
    </w:pPr>
    <w:bookmarkStart w:id="6" w:name="_Hlk68205109"/>
    <w:r w:rsidRPr="00E625C0">
      <w:rPr>
        <w:noProof/>
      </w:rPr>
      <w:drawing>
        <wp:inline distT="0" distB="0" distL="0" distR="0" wp14:anchorId="0F55B936" wp14:editId="66AF0137">
          <wp:extent cx="2052430" cy="539496"/>
          <wp:effectExtent l="0" t="0" r="5080" b="0"/>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pic:cNvPicPr/>
                </pic:nvPicPr>
                <pic:blipFill>
                  <a:blip r:embed="rId1"/>
                  <a:stretch>
                    <a:fillRect/>
                  </a:stretch>
                </pic:blipFill>
                <pic:spPr>
                  <a:xfrm>
                    <a:off x="0" y="0"/>
                    <a:ext cx="2052430" cy="539496"/>
                  </a:xfrm>
                  <a:prstGeom prst="rect">
                    <a:avLst/>
                  </a:prstGeom>
                </pic:spPr>
              </pic:pic>
            </a:graphicData>
          </a:graphic>
        </wp:inline>
      </w:drawing>
    </w:r>
  </w:p>
  <w:bookmarkEnd w:i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0DAD7" w14:textId="77777777" w:rsidR="001C47FA" w:rsidRDefault="001C47FA">
    <w:pPr>
      <w:tabs>
        <w:tab w:val="center" w:pos="4320"/>
        <w:tab w:val="left" w:pos="6760"/>
        <w:tab w:val="right" w:pos="8640"/>
        <w:tab w:val="right" w:pos="9360"/>
      </w:tabs>
      <w:spacing w:before="0" w:after="0"/>
      <w:rPr>
        <w:rFonts w:eastAsia="Times New Roman" w:cs="Times New Roman"/>
        <w:color w:val="545759"/>
        <w:szCs w:val="20"/>
        <w:lang w:val="en-GB"/>
      </w:rPr>
    </w:pPr>
    <w:r>
      <w:rPr>
        <w:noProof/>
      </w:rPr>
      <w:drawing>
        <wp:inline distT="0" distB="0" distL="0" distR="0" wp14:anchorId="62CE8873" wp14:editId="28558C14">
          <wp:extent cx="1562100" cy="396240"/>
          <wp:effectExtent l="0" t="0" r="0" b="3810"/>
          <wp:docPr id="1685771766" name="Graphic 1685771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62100" cy="396240"/>
                  </a:xfrm>
                  <a:prstGeom prst="rect">
                    <a:avLst/>
                  </a:prstGeom>
                </pic:spPr>
              </pic:pic>
            </a:graphicData>
          </a:graphic>
        </wp:inline>
      </w:drawing>
    </w:r>
  </w:p>
  <w:p w14:paraId="1DE821C8" w14:textId="77777777" w:rsidR="001C47FA" w:rsidRPr="009A3069" w:rsidRDefault="001C47FA">
    <w:proofErr w:type="spellStart"/>
    <w:r w:rsidRPr="009A3069">
      <w:t>Firstname</w:t>
    </w:r>
    <w:proofErr w:type="spellEnd"/>
    <w:r w:rsidRPr="009A3069">
      <w:t xml:space="preserve"> </w:t>
    </w:r>
    <w:r w:rsidRPr="00D06DF3">
      <w:t>Lastname</w:t>
    </w:r>
    <w:r w:rsidRPr="009A3069">
      <w:t>, Credentials</w:t>
    </w:r>
  </w:p>
  <w:p w14:paraId="6D64A78E" w14:textId="77777777" w:rsidR="001C47FA" w:rsidRPr="009F18DB" w:rsidRDefault="001C47FA">
    <w:pPr>
      <w:rPr>
        <w:rFonts w:cs="Times New Roman"/>
        <w:color w:val="545759"/>
        <w:szCs w:val="20"/>
        <w:lang w:val="en-GB"/>
      </w:rPr>
    </w:pPr>
    <w:r w:rsidRPr="00D06DF3">
      <w:rPr>
        <w:b/>
      </w:rPr>
      <w:t>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3738B"/>
    <w:multiLevelType w:val="hybridMultilevel"/>
    <w:tmpl w:val="EBE8A1CC"/>
    <w:lvl w:ilvl="0" w:tplc="7F02F752">
      <w:start w:val="1"/>
      <w:numFmt w:val="decimal"/>
      <w:lvlText w:val="%1."/>
      <w:lvlJc w:val="left"/>
      <w:pPr>
        <w:ind w:left="1020" w:hanging="360"/>
      </w:pPr>
    </w:lvl>
    <w:lvl w:ilvl="1" w:tplc="A3B28E9A">
      <w:start w:val="1"/>
      <w:numFmt w:val="decimal"/>
      <w:lvlText w:val="%2."/>
      <w:lvlJc w:val="left"/>
      <w:pPr>
        <w:ind w:left="1020" w:hanging="360"/>
      </w:pPr>
    </w:lvl>
    <w:lvl w:ilvl="2" w:tplc="2D5A27B6">
      <w:start w:val="1"/>
      <w:numFmt w:val="decimal"/>
      <w:lvlText w:val="%3."/>
      <w:lvlJc w:val="left"/>
      <w:pPr>
        <w:ind w:left="1020" w:hanging="360"/>
      </w:pPr>
    </w:lvl>
    <w:lvl w:ilvl="3" w:tplc="D806E392">
      <w:start w:val="1"/>
      <w:numFmt w:val="decimal"/>
      <w:lvlText w:val="%4."/>
      <w:lvlJc w:val="left"/>
      <w:pPr>
        <w:ind w:left="1020" w:hanging="360"/>
      </w:pPr>
    </w:lvl>
    <w:lvl w:ilvl="4" w:tplc="0D98F906">
      <w:start w:val="1"/>
      <w:numFmt w:val="decimal"/>
      <w:lvlText w:val="%5."/>
      <w:lvlJc w:val="left"/>
      <w:pPr>
        <w:ind w:left="1020" w:hanging="360"/>
      </w:pPr>
    </w:lvl>
    <w:lvl w:ilvl="5" w:tplc="DC1251DE">
      <w:start w:val="1"/>
      <w:numFmt w:val="decimal"/>
      <w:lvlText w:val="%6."/>
      <w:lvlJc w:val="left"/>
      <w:pPr>
        <w:ind w:left="1020" w:hanging="360"/>
      </w:pPr>
    </w:lvl>
    <w:lvl w:ilvl="6" w:tplc="1ECE194C">
      <w:start w:val="1"/>
      <w:numFmt w:val="decimal"/>
      <w:lvlText w:val="%7."/>
      <w:lvlJc w:val="left"/>
      <w:pPr>
        <w:ind w:left="1020" w:hanging="360"/>
      </w:pPr>
    </w:lvl>
    <w:lvl w:ilvl="7" w:tplc="C8DC1D82">
      <w:start w:val="1"/>
      <w:numFmt w:val="decimal"/>
      <w:lvlText w:val="%8."/>
      <w:lvlJc w:val="left"/>
      <w:pPr>
        <w:ind w:left="1020" w:hanging="360"/>
      </w:pPr>
    </w:lvl>
    <w:lvl w:ilvl="8" w:tplc="550E7F28">
      <w:start w:val="1"/>
      <w:numFmt w:val="decimal"/>
      <w:lvlText w:val="%9."/>
      <w:lvlJc w:val="left"/>
      <w:pPr>
        <w:ind w:left="1020" w:hanging="360"/>
      </w:pPr>
    </w:lvl>
  </w:abstractNum>
  <w:abstractNum w:abstractNumId="1" w15:restartNumberingAfterBreak="0">
    <w:nsid w:val="40885AA9"/>
    <w:multiLevelType w:val="hybridMultilevel"/>
    <w:tmpl w:val="B4C2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F16FE"/>
    <w:multiLevelType w:val="hybridMultilevel"/>
    <w:tmpl w:val="77F09F26"/>
    <w:lvl w:ilvl="0" w:tplc="F404DF42">
      <w:start w:val="1"/>
      <w:numFmt w:val="bullet"/>
      <w:lvlText w:val="•"/>
      <w:lvlJc w:val="left"/>
      <w:pPr>
        <w:tabs>
          <w:tab w:val="num" w:pos="720"/>
        </w:tabs>
        <w:ind w:left="720" w:hanging="360"/>
      </w:pPr>
      <w:rPr>
        <w:rFonts w:ascii="Arial" w:hAnsi="Arial" w:hint="default"/>
      </w:rPr>
    </w:lvl>
    <w:lvl w:ilvl="1" w:tplc="A9244E22" w:tentative="1">
      <w:start w:val="1"/>
      <w:numFmt w:val="bullet"/>
      <w:lvlText w:val="•"/>
      <w:lvlJc w:val="left"/>
      <w:pPr>
        <w:tabs>
          <w:tab w:val="num" w:pos="1440"/>
        </w:tabs>
        <w:ind w:left="1440" w:hanging="360"/>
      </w:pPr>
      <w:rPr>
        <w:rFonts w:ascii="Arial" w:hAnsi="Arial" w:hint="default"/>
      </w:rPr>
    </w:lvl>
    <w:lvl w:ilvl="2" w:tplc="01B48F16" w:tentative="1">
      <w:start w:val="1"/>
      <w:numFmt w:val="bullet"/>
      <w:lvlText w:val="•"/>
      <w:lvlJc w:val="left"/>
      <w:pPr>
        <w:tabs>
          <w:tab w:val="num" w:pos="2160"/>
        </w:tabs>
        <w:ind w:left="2160" w:hanging="360"/>
      </w:pPr>
      <w:rPr>
        <w:rFonts w:ascii="Arial" w:hAnsi="Arial" w:hint="default"/>
      </w:rPr>
    </w:lvl>
    <w:lvl w:ilvl="3" w:tplc="D118430C" w:tentative="1">
      <w:start w:val="1"/>
      <w:numFmt w:val="bullet"/>
      <w:lvlText w:val="•"/>
      <w:lvlJc w:val="left"/>
      <w:pPr>
        <w:tabs>
          <w:tab w:val="num" w:pos="2880"/>
        </w:tabs>
        <w:ind w:left="2880" w:hanging="360"/>
      </w:pPr>
      <w:rPr>
        <w:rFonts w:ascii="Arial" w:hAnsi="Arial" w:hint="default"/>
      </w:rPr>
    </w:lvl>
    <w:lvl w:ilvl="4" w:tplc="B3321892" w:tentative="1">
      <w:start w:val="1"/>
      <w:numFmt w:val="bullet"/>
      <w:lvlText w:val="•"/>
      <w:lvlJc w:val="left"/>
      <w:pPr>
        <w:tabs>
          <w:tab w:val="num" w:pos="3600"/>
        </w:tabs>
        <w:ind w:left="3600" w:hanging="360"/>
      </w:pPr>
      <w:rPr>
        <w:rFonts w:ascii="Arial" w:hAnsi="Arial" w:hint="default"/>
      </w:rPr>
    </w:lvl>
    <w:lvl w:ilvl="5" w:tplc="07465E38" w:tentative="1">
      <w:start w:val="1"/>
      <w:numFmt w:val="bullet"/>
      <w:lvlText w:val="•"/>
      <w:lvlJc w:val="left"/>
      <w:pPr>
        <w:tabs>
          <w:tab w:val="num" w:pos="4320"/>
        </w:tabs>
        <w:ind w:left="4320" w:hanging="360"/>
      </w:pPr>
      <w:rPr>
        <w:rFonts w:ascii="Arial" w:hAnsi="Arial" w:hint="default"/>
      </w:rPr>
    </w:lvl>
    <w:lvl w:ilvl="6" w:tplc="DD1AE76E" w:tentative="1">
      <w:start w:val="1"/>
      <w:numFmt w:val="bullet"/>
      <w:lvlText w:val="•"/>
      <w:lvlJc w:val="left"/>
      <w:pPr>
        <w:tabs>
          <w:tab w:val="num" w:pos="5040"/>
        </w:tabs>
        <w:ind w:left="5040" w:hanging="360"/>
      </w:pPr>
      <w:rPr>
        <w:rFonts w:ascii="Arial" w:hAnsi="Arial" w:hint="default"/>
      </w:rPr>
    </w:lvl>
    <w:lvl w:ilvl="7" w:tplc="FA7AA002" w:tentative="1">
      <w:start w:val="1"/>
      <w:numFmt w:val="bullet"/>
      <w:lvlText w:val="•"/>
      <w:lvlJc w:val="left"/>
      <w:pPr>
        <w:tabs>
          <w:tab w:val="num" w:pos="5760"/>
        </w:tabs>
        <w:ind w:left="5760" w:hanging="360"/>
      </w:pPr>
      <w:rPr>
        <w:rFonts w:ascii="Arial" w:hAnsi="Arial" w:hint="default"/>
      </w:rPr>
    </w:lvl>
    <w:lvl w:ilvl="8" w:tplc="F6F6E5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A5E685A"/>
    <w:multiLevelType w:val="hybridMultilevel"/>
    <w:tmpl w:val="02FCFE8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4" w15:restartNumberingAfterBreak="0">
    <w:nsid w:val="70C4517F"/>
    <w:multiLevelType w:val="hybridMultilevel"/>
    <w:tmpl w:val="465EF5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3217321">
    <w:abstractNumId w:val="4"/>
  </w:num>
  <w:num w:numId="2" w16cid:durableId="2117020052">
    <w:abstractNumId w:val="1"/>
  </w:num>
  <w:num w:numId="3" w16cid:durableId="1136684932">
    <w:abstractNumId w:val="3"/>
  </w:num>
  <w:num w:numId="4" w16cid:durableId="500195442">
    <w:abstractNumId w:val="2"/>
  </w:num>
  <w:num w:numId="5" w16cid:durableId="1511480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B3"/>
    <w:rsid w:val="00004C42"/>
    <w:rsid w:val="00006718"/>
    <w:rsid w:val="000073B3"/>
    <w:rsid w:val="0001241F"/>
    <w:rsid w:val="00014FC0"/>
    <w:rsid w:val="00022769"/>
    <w:rsid w:val="00023984"/>
    <w:rsid w:val="000256B7"/>
    <w:rsid w:val="00027F1B"/>
    <w:rsid w:val="00037233"/>
    <w:rsid w:val="00037996"/>
    <w:rsid w:val="00041EE5"/>
    <w:rsid w:val="00045FBD"/>
    <w:rsid w:val="0006721F"/>
    <w:rsid w:val="00072B7A"/>
    <w:rsid w:val="00075919"/>
    <w:rsid w:val="00087CA8"/>
    <w:rsid w:val="000922A7"/>
    <w:rsid w:val="000947E2"/>
    <w:rsid w:val="000A08BF"/>
    <w:rsid w:val="000A117E"/>
    <w:rsid w:val="000A28DB"/>
    <w:rsid w:val="000A653A"/>
    <w:rsid w:val="000A709A"/>
    <w:rsid w:val="000B0413"/>
    <w:rsid w:val="000B3C76"/>
    <w:rsid w:val="000C6393"/>
    <w:rsid w:val="000C68EE"/>
    <w:rsid w:val="000E0577"/>
    <w:rsid w:val="000E4AAA"/>
    <w:rsid w:val="001112BD"/>
    <w:rsid w:val="0012104A"/>
    <w:rsid w:val="00121449"/>
    <w:rsid w:val="00134A48"/>
    <w:rsid w:val="001449E8"/>
    <w:rsid w:val="00145992"/>
    <w:rsid w:val="0015578E"/>
    <w:rsid w:val="001679A7"/>
    <w:rsid w:val="00171187"/>
    <w:rsid w:val="0017217C"/>
    <w:rsid w:val="00185F04"/>
    <w:rsid w:val="00186957"/>
    <w:rsid w:val="001918A6"/>
    <w:rsid w:val="001A07CA"/>
    <w:rsid w:val="001A14C8"/>
    <w:rsid w:val="001A5C90"/>
    <w:rsid w:val="001C47FA"/>
    <w:rsid w:val="001D4060"/>
    <w:rsid w:val="001F1EC3"/>
    <w:rsid w:val="00205D62"/>
    <w:rsid w:val="002077D6"/>
    <w:rsid w:val="002118E2"/>
    <w:rsid w:val="00212996"/>
    <w:rsid w:val="00214CCE"/>
    <w:rsid w:val="002244BE"/>
    <w:rsid w:val="002341B6"/>
    <w:rsid w:val="00234598"/>
    <w:rsid w:val="002431B8"/>
    <w:rsid w:val="00246E20"/>
    <w:rsid w:val="0025317B"/>
    <w:rsid w:val="00256462"/>
    <w:rsid w:val="002603EC"/>
    <w:rsid w:val="0026244B"/>
    <w:rsid w:val="002703AE"/>
    <w:rsid w:val="00282573"/>
    <w:rsid w:val="002943ED"/>
    <w:rsid w:val="002A46C6"/>
    <w:rsid w:val="002D0B6B"/>
    <w:rsid w:val="002D3FCC"/>
    <w:rsid w:val="002D43AD"/>
    <w:rsid w:val="002D72E8"/>
    <w:rsid w:val="002E2192"/>
    <w:rsid w:val="002E615E"/>
    <w:rsid w:val="00304209"/>
    <w:rsid w:val="0030708A"/>
    <w:rsid w:val="00312A8F"/>
    <w:rsid w:val="00313A9E"/>
    <w:rsid w:val="00313D36"/>
    <w:rsid w:val="003161DD"/>
    <w:rsid w:val="00320550"/>
    <w:rsid w:val="00321344"/>
    <w:rsid w:val="00326C49"/>
    <w:rsid w:val="003323CD"/>
    <w:rsid w:val="00337142"/>
    <w:rsid w:val="003505FD"/>
    <w:rsid w:val="00352D0C"/>
    <w:rsid w:val="00356903"/>
    <w:rsid w:val="00364EFE"/>
    <w:rsid w:val="003706D2"/>
    <w:rsid w:val="003752D4"/>
    <w:rsid w:val="0037552C"/>
    <w:rsid w:val="00375F5E"/>
    <w:rsid w:val="003812C3"/>
    <w:rsid w:val="00387E85"/>
    <w:rsid w:val="003904BD"/>
    <w:rsid w:val="00392A94"/>
    <w:rsid w:val="00394CA9"/>
    <w:rsid w:val="003A39F8"/>
    <w:rsid w:val="003B6732"/>
    <w:rsid w:val="003D4A40"/>
    <w:rsid w:val="003D7210"/>
    <w:rsid w:val="003E2790"/>
    <w:rsid w:val="003E52A9"/>
    <w:rsid w:val="003F4B5E"/>
    <w:rsid w:val="00402107"/>
    <w:rsid w:val="00404B94"/>
    <w:rsid w:val="00406A28"/>
    <w:rsid w:val="00410197"/>
    <w:rsid w:val="004200A5"/>
    <w:rsid w:val="00421B33"/>
    <w:rsid w:val="004229C6"/>
    <w:rsid w:val="00422C65"/>
    <w:rsid w:val="00436623"/>
    <w:rsid w:val="00464FA2"/>
    <w:rsid w:val="004755A4"/>
    <w:rsid w:val="004774DA"/>
    <w:rsid w:val="00483492"/>
    <w:rsid w:val="00483950"/>
    <w:rsid w:val="004A0D51"/>
    <w:rsid w:val="004B567E"/>
    <w:rsid w:val="004B635C"/>
    <w:rsid w:val="004C38AC"/>
    <w:rsid w:val="004C51A0"/>
    <w:rsid w:val="004D387C"/>
    <w:rsid w:val="00503596"/>
    <w:rsid w:val="00512A7D"/>
    <w:rsid w:val="00516513"/>
    <w:rsid w:val="00520E66"/>
    <w:rsid w:val="00522995"/>
    <w:rsid w:val="0052514A"/>
    <w:rsid w:val="005278CA"/>
    <w:rsid w:val="00531103"/>
    <w:rsid w:val="00535D2C"/>
    <w:rsid w:val="005368AC"/>
    <w:rsid w:val="00544BC8"/>
    <w:rsid w:val="00547913"/>
    <w:rsid w:val="00551A3B"/>
    <w:rsid w:val="0056683F"/>
    <w:rsid w:val="00591314"/>
    <w:rsid w:val="005A18E1"/>
    <w:rsid w:val="005A1A3A"/>
    <w:rsid w:val="005B380C"/>
    <w:rsid w:val="005C0AAF"/>
    <w:rsid w:val="005D215B"/>
    <w:rsid w:val="005D60A9"/>
    <w:rsid w:val="005D7E25"/>
    <w:rsid w:val="005E0608"/>
    <w:rsid w:val="005E184D"/>
    <w:rsid w:val="005E2FB0"/>
    <w:rsid w:val="005E5A57"/>
    <w:rsid w:val="005F3D56"/>
    <w:rsid w:val="006013E1"/>
    <w:rsid w:val="00603028"/>
    <w:rsid w:val="006205B3"/>
    <w:rsid w:val="006222E1"/>
    <w:rsid w:val="0062685C"/>
    <w:rsid w:val="0063076A"/>
    <w:rsid w:val="006350AB"/>
    <w:rsid w:val="006375DE"/>
    <w:rsid w:val="0065110E"/>
    <w:rsid w:val="0065154C"/>
    <w:rsid w:val="00651C58"/>
    <w:rsid w:val="006544A6"/>
    <w:rsid w:val="00656DC9"/>
    <w:rsid w:val="00661F0C"/>
    <w:rsid w:val="00663748"/>
    <w:rsid w:val="00672DA8"/>
    <w:rsid w:val="00676DB4"/>
    <w:rsid w:val="00680861"/>
    <w:rsid w:val="00683405"/>
    <w:rsid w:val="00694C7D"/>
    <w:rsid w:val="006A713A"/>
    <w:rsid w:val="006B2218"/>
    <w:rsid w:val="006B750F"/>
    <w:rsid w:val="006C5616"/>
    <w:rsid w:val="006C756C"/>
    <w:rsid w:val="006D49BA"/>
    <w:rsid w:val="006F1590"/>
    <w:rsid w:val="006F35C2"/>
    <w:rsid w:val="006F709F"/>
    <w:rsid w:val="00702900"/>
    <w:rsid w:val="00723121"/>
    <w:rsid w:val="0072604B"/>
    <w:rsid w:val="0072719C"/>
    <w:rsid w:val="007359F4"/>
    <w:rsid w:val="00741423"/>
    <w:rsid w:val="0074251F"/>
    <w:rsid w:val="00743A4D"/>
    <w:rsid w:val="00744617"/>
    <w:rsid w:val="00770D11"/>
    <w:rsid w:val="00772AE3"/>
    <w:rsid w:val="007771E4"/>
    <w:rsid w:val="007808E5"/>
    <w:rsid w:val="00783334"/>
    <w:rsid w:val="00783B67"/>
    <w:rsid w:val="007850F5"/>
    <w:rsid w:val="007A4985"/>
    <w:rsid w:val="007A6791"/>
    <w:rsid w:val="007B0A0D"/>
    <w:rsid w:val="007B1902"/>
    <w:rsid w:val="007B2B02"/>
    <w:rsid w:val="007B579B"/>
    <w:rsid w:val="007D0A35"/>
    <w:rsid w:val="007D696B"/>
    <w:rsid w:val="007E52BE"/>
    <w:rsid w:val="00801BB6"/>
    <w:rsid w:val="00820419"/>
    <w:rsid w:val="00836BF1"/>
    <w:rsid w:val="00841378"/>
    <w:rsid w:val="00846386"/>
    <w:rsid w:val="0085460C"/>
    <w:rsid w:val="00861DEF"/>
    <w:rsid w:val="00865AAE"/>
    <w:rsid w:val="00873B2B"/>
    <w:rsid w:val="008747A9"/>
    <w:rsid w:val="00880001"/>
    <w:rsid w:val="008817E7"/>
    <w:rsid w:val="00883215"/>
    <w:rsid w:val="00885E94"/>
    <w:rsid w:val="008903AC"/>
    <w:rsid w:val="00890FF8"/>
    <w:rsid w:val="00894602"/>
    <w:rsid w:val="008A700B"/>
    <w:rsid w:val="008C5D44"/>
    <w:rsid w:val="008D4787"/>
    <w:rsid w:val="008D5353"/>
    <w:rsid w:val="008E6287"/>
    <w:rsid w:val="008E7160"/>
    <w:rsid w:val="008F1161"/>
    <w:rsid w:val="008F7A80"/>
    <w:rsid w:val="009031F4"/>
    <w:rsid w:val="00905ACE"/>
    <w:rsid w:val="00907940"/>
    <w:rsid w:val="00912881"/>
    <w:rsid w:val="00912FFC"/>
    <w:rsid w:val="00914502"/>
    <w:rsid w:val="009240F0"/>
    <w:rsid w:val="00927E84"/>
    <w:rsid w:val="00930313"/>
    <w:rsid w:val="00943AF4"/>
    <w:rsid w:val="0094792B"/>
    <w:rsid w:val="00950898"/>
    <w:rsid w:val="009510A4"/>
    <w:rsid w:val="009533B1"/>
    <w:rsid w:val="00972A7B"/>
    <w:rsid w:val="009760D2"/>
    <w:rsid w:val="009806C3"/>
    <w:rsid w:val="0098649D"/>
    <w:rsid w:val="00991EE7"/>
    <w:rsid w:val="009963B1"/>
    <w:rsid w:val="00996454"/>
    <w:rsid w:val="00997DF8"/>
    <w:rsid w:val="009B0D87"/>
    <w:rsid w:val="009B49CF"/>
    <w:rsid w:val="009C659E"/>
    <w:rsid w:val="009D1BA8"/>
    <w:rsid w:val="009D2DD3"/>
    <w:rsid w:val="009F5803"/>
    <w:rsid w:val="00A012ED"/>
    <w:rsid w:val="00A024C9"/>
    <w:rsid w:val="00A10F51"/>
    <w:rsid w:val="00A17178"/>
    <w:rsid w:val="00A23A8D"/>
    <w:rsid w:val="00A31763"/>
    <w:rsid w:val="00A3730D"/>
    <w:rsid w:val="00A41557"/>
    <w:rsid w:val="00A42F16"/>
    <w:rsid w:val="00A46332"/>
    <w:rsid w:val="00A555F5"/>
    <w:rsid w:val="00A64619"/>
    <w:rsid w:val="00A712C1"/>
    <w:rsid w:val="00A732C9"/>
    <w:rsid w:val="00A87490"/>
    <w:rsid w:val="00AB2FC4"/>
    <w:rsid w:val="00AB5C43"/>
    <w:rsid w:val="00AC09B9"/>
    <w:rsid w:val="00AC437E"/>
    <w:rsid w:val="00AF1680"/>
    <w:rsid w:val="00AF1FD6"/>
    <w:rsid w:val="00AF7A58"/>
    <w:rsid w:val="00B0437F"/>
    <w:rsid w:val="00B14E91"/>
    <w:rsid w:val="00B274DC"/>
    <w:rsid w:val="00B5437B"/>
    <w:rsid w:val="00B5560B"/>
    <w:rsid w:val="00B5583B"/>
    <w:rsid w:val="00B57F9E"/>
    <w:rsid w:val="00B60C11"/>
    <w:rsid w:val="00B62039"/>
    <w:rsid w:val="00B66377"/>
    <w:rsid w:val="00B8166D"/>
    <w:rsid w:val="00B87768"/>
    <w:rsid w:val="00B97B71"/>
    <w:rsid w:val="00BA0F9F"/>
    <w:rsid w:val="00BA1039"/>
    <w:rsid w:val="00BA4725"/>
    <w:rsid w:val="00BA6A38"/>
    <w:rsid w:val="00BA6A5F"/>
    <w:rsid w:val="00BB109E"/>
    <w:rsid w:val="00BB6649"/>
    <w:rsid w:val="00BC23F0"/>
    <w:rsid w:val="00BE6160"/>
    <w:rsid w:val="00BF5781"/>
    <w:rsid w:val="00BF6226"/>
    <w:rsid w:val="00BF6791"/>
    <w:rsid w:val="00C052DB"/>
    <w:rsid w:val="00C05EED"/>
    <w:rsid w:val="00C06222"/>
    <w:rsid w:val="00C079FC"/>
    <w:rsid w:val="00C146A8"/>
    <w:rsid w:val="00C210D5"/>
    <w:rsid w:val="00C33FB7"/>
    <w:rsid w:val="00C34449"/>
    <w:rsid w:val="00C42FE6"/>
    <w:rsid w:val="00C53183"/>
    <w:rsid w:val="00C544C0"/>
    <w:rsid w:val="00C63922"/>
    <w:rsid w:val="00C647D3"/>
    <w:rsid w:val="00C80430"/>
    <w:rsid w:val="00C820BC"/>
    <w:rsid w:val="00C829EA"/>
    <w:rsid w:val="00C849D3"/>
    <w:rsid w:val="00C84DC2"/>
    <w:rsid w:val="00C97EAA"/>
    <w:rsid w:val="00CA0364"/>
    <w:rsid w:val="00CB077C"/>
    <w:rsid w:val="00CD2231"/>
    <w:rsid w:val="00CE59E1"/>
    <w:rsid w:val="00CF0A4A"/>
    <w:rsid w:val="00D01B1C"/>
    <w:rsid w:val="00D04344"/>
    <w:rsid w:val="00D17472"/>
    <w:rsid w:val="00D20F7C"/>
    <w:rsid w:val="00D22A22"/>
    <w:rsid w:val="00D30ECE"/>
    <w:rsid w:val="00D31343"/>
    <w:rsid w:val="00D76480"/>
    <w:rsid w:val="00D81BD4"/>
    <w:rsid w:val="00D919AA"/>
    <w:rsid w:val="00D927B6"/>
    <w:rsid w:val="00DB1BC5"/>
    <w:rsid w:val="00DB22E6"/>
    <w:rsid w:val="00DC6CEE"/>
    <w:rsid w:val="00DC7575"/>
    <w:rsid w:val="00DD351E"/>
    <w:rsid w:val="00DD5D2A"/>
    <w:rsid w:val="00DD7173"/>
    <w:rsid w:val="00DE09F7"/>
    <w:rsid w:val="00DE3BA5"/>
    <w:rsid w:val="00DF38B4"/>
    <w:rsid w:val="00E05712"/>
    <w:rsid w:val="00E16B00"/>
    <w:rsid w:val="00E178AC"/>
    <w:rsid w:val="00E24A65"/>
    <w:rsid w:val="00E30018"/>
    <w:rsid w:val="00E3302C"/>
    <w:rsid w:val="00E45211"/>
    <w:rsid w:val="00E57AF7"/>
    <w:rsid w:val="00E74BBA"/>
    <w:rsid w:val="00E852E7"/>
    <w:rsid w:val="00E95AEF"/>
    <w:rsid w:val="00E96544"/>
    <w:rsid w:val="00EA0594"/>
    <w:rsid w:val="00EA44D5"/>
    <w:rsid w:val="00EA7AC1"/>
    <w:rsid w:val="00EB3CB9"/>
    <w:rsid w:val="00ED2139"/>
    <w:rsid w:val="00ED2EDA"/>
    <w:rsid w:val="00ED458B"/>
    <w:rsid w:val="00ED716C"/>
    <w:rsid w:val="00ED7F4C"/>
    <w:rsid w:val="00EE58B5"/>
    <w:rsid w:val="00EE7608"/>
    <w:rsid w:val="00EF1791"/>
    <w:rsid w:val="00EF22A1"/>
    <w:rsid w:val="00EF4B02"/>
    <w:rsid w:val="00F03661"/>
    <w:rsid w:val="00F047BC"/>
    <w:rsid w:val="00F069CD"/>
    <w:rsid w:val="00F1139B"/>
    <w:rsid w:val="00F11967"/>
    <w:rsid w:val="00F200B0"/>
    <w:rsid w:val="00F35F3E"/>
    <w:rsid w:val="00F42BB7"/>
    <w:rsid w:val="00F45658"/>
    <w:rsid w:val="00F50914"/>
    <w:rsid w:val="00F526B0"/>
    <w:rsid w:val="00F6106E"/>
    <w:rsid w:val="00F67AA1"/>
    <w:rsid w:val="00F748CE"/>
    <w:rsid w:val="00F75A42"/>
    <w:rsid w:val="00F76E96"/>
    <w:rsid w:val="00F77E59"/>
    <w:rsid w:val="00FA4E72"/>
    <w:rsid w:val="00FA7380"/>
    <w:rsid w:val="00FB65EA"/>
    <w:rsid w:val="00FD3633"/>
    <w:rsid w:val="00FE1A6B"/>
    <w:rsid w:val="47669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A9A8D4"/>
  <w14:defaultImageDpi w14:val="32767"/>
  <w15:chartTrackingRefBased/>
  <w15:docId w15:val="{E8FF50BF-4C18-441C-8092-D754E4E6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211"/>
    <w:pPr>
      <w:spacing w:before="120" w:after="120" w:line="240" w:lineRule="auto"/>
    </w:pPr>
    <w:rPr>
      <w:rFonts w:ascii="Aptos" w:hAnsi="Aptos"/>
      <w:kern w:val="0"/>
      <w:sz w:val="20"/>
      <w14:ligatures w14:val="none"/>
    </w:rPr>
  </w:style>
  <w:style w:type="paragraph" w:styleId="Heading1">
    <w:name w:val="heading 1"/>
    <w:basedOn w:val="Normal"/>
    <w:next w:val="Normal"/>
    <w:link w:val="Heading1Char"/>
    <w:uiPriority w:val="9"/>
    <w:rsid w:val="00BA6A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7A80"/>
    <w:pPr>
      <w:tabs>
        <w:tab w:val="center" w:pos="4680"/>
        <w:tab w:val="right" w:pos="9360"/>
      </w:tabs>
      <w:spacing w:before="0" w:after="0"/>
    </w:pPr>
  </w:style>
  <w:style w:type="character" w:customStyle="1" w:styleId="FooterChar">
    <w:name w:val="Footer Char"/>
    <w:basedOn w:val="DefaultParagraphFont"/>
    <w:link w:val="Footer"/>
    <w:uiPriority w:val="99"/>
    <w:rsid w:val="008F7A80"/>
    <w:rPr>
      <w:rFonts w:ascii="Aptos" w:hAnsi="Aptos"/>
      <w:kern w:val="0"/>
      <w:sz w:val="20"/>
      <w14:ligatures w14:val="none"/>
    </w:rPr>
  </w:style>
  <w:style w:type="table" w:styleId="TableGrid">
    <w:name w:val="Table Grid"/>
    <w:basedOn w:val="TableNormal"/>
    <w:uiPriority w:val="39"/>
    <w:rsid w:val="00CA036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FooterAddress">
    <w:name w:val="GH_Footer Address"/>
    <w:basedOn w:val="GHBodytext"/>
    <w:autoRedefine/>
    <w:qFormat/>
    <w:rsid w:val="00D04344"/>
    <w:pPr>
      <w:tabs>
        <w:tab w:val="right" w:pos="9360"/>
      </w:tabs>
      <w:spacing w:after="0" w:line="240" w:lineRule="exact"/>
    </w:pPr>
    <w:rPr>
      <w:rFonts w:eastAsia="Times New Roman" w:cs="Arial"/>
      <w:sz w:val="16"/>
      <w:szCs w:val="24"/>
    </w:rPr>
  </w:style>
  <w:style w:type="paragraph" w:customStyle="1" w:styleId="GHSubjectDescription">
    <w:name w:val="GH_Subject_Description"/>
    <w:basedOn w:val="GHBodytext"/>
    <w:qFormat/>
    <w:rsid w:val="005D7E25"/>
    <w:pPr>
      <w:spacing w:before="360" w:after="360"/>
    </w:pPr>
    <w:rPr>
      <w:b/>
      <w:bCs w:val="0"/>
    </w:rPr>
  </w:style>
  <w:style w:type="paragraph" w:customStyle="1" w:styleId="GHBodytext">
    <w:name w:val="GH_Bodytext"/>
    <w:basedOn w:val="Normal"/>
    <w:qFormat/>
    <w:rsid w:val="00D04344"/>
    <w:pPr>
      <w:spacing w:before="0" w:after="60" w:line="257" w:lineRule="auto"/>
    </w:pPr>
    <w:rPr>
      <w:rFonts w:ascii="Aptos Light" w:hAnsi="Aptos Light"/>
      <w:bCs/>
    </w:rPr>
  </w:style>
  <w:style w:type="paragraph" w:styleId="Header">
    <w:name w:val="header"/>
    <w:basedOn w:val="GHBodytext"/>
    <w:link w:val="HeaderChar"/>
    <w:uiPriority w:val="99"/>
    <w:unhideWhenUsed/>
    <w:qFormat/>
    <w:rsid w:val="005D7E25"/>
    <w:pPr>
      <w:tabs>
        <w:tab w:val="center" w:pos="4680"/>
        <w:tab w:val="right" w:pos="9360"/>
      </w:tabs>
    </w:pPr>
  </w:style>
  <w:style w:type="character" w:customStyle="1" w:styleId="HeaderChar">
    <w:name w:val="Header Char"/>
    <w:basedOn w:val="DefaultParagraphFont"/>
    <w:link w:val="Header"/>
    <w:uiPriority w:val="99"/>
    <w:rsid w:val="005D7E25"/>
    <w:rPr>
      <w:rFonts w:ascii="Aptos Light" w:hAnsi="Aptos Light"/>
      <w:bCs/>
      <w:kern w:val="0"/>
      <w:sz w:val="20"/>
      <w14:ligatures w14:val="none"/>
    </w:rPr>
  </w:style>
  <w:style w:type="character" w:styleId="CommentReference">
    <w:name w:val="annotation reference"/>
    <w:basedOn w:val="DefaultParagraphFont"/>
    <w:uiPriority w:val="99"/>
    <w:semiHidden/>
    <w:unhideWhenUsed/>
    <w:rsid w:val="000B3C76"/>
    <w:rPr>
      <w:sz w:val="16"/>
      <w:szCs w:val="16"/>
    </w:rPr>
  </w:style>
  <w:style w:type="paragraph" w:styleId="CommentText">
    <w:name w:val="annotation text"/>
    <w:basedOn w:val="Normal"/>
    <w:link w:val="CommentTextChar"/>
    <w:uiPriority w:val="99"/>
    <w:unhideWhenUsed/>
    <w:rsid w:val="000B3C76"/>
    <w:rPr>
      <w:szCs w:val="20"/>
    </w:rPr>
  </w:style>
  <w:style w:type="character" w:customStyle="1" w:styleId="CommentTextChar">
    <w:name w:val="Comment Text Char"/>
    <w:basedOn w:val="DefaultParagraphFont"/>
    <w:link w:val="CommentText"/>
    <w:uiPriority w:val="99"/>
    <w:rsid w:val="000B3C76"/>
    <w:rPr>
      <w:rFonts w:ascii="Aptos" w:hAnsi="Aptos"/>
      <w:color w:val="44546A" w:themeColor="text2"/>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B3C76"/>
    <w:rPr>
      <w:b/>
      <w:bCs/>
    </w:rPr>
  </w:style>
  <w:style w:type="character" w:customStyle="1" w:styleId="CommentSubjectChar">
    <w:name w:val="Comment Subject Char"/>
    <w:basedOn w:val="CommentTextChar"/>
    <w:link w:val="CommentSubject"/>
    <w:uiPriority w:val="99"/>
    <w:semiHidden/>
    <w:rsid w:val="000B3C76"/>
    <w:rPr>
      <w:rFonts w:ascii="Aptos" w:hAnsi="Aptos"/>
      <w:b/>
      <w:bCs/>
      <w:color w:val="44546A" w:themeColor="text2"/>
      <w:kern w:val="0"/>
      <w:sz w:val="20"/>
      <w:szCs w:val="20"/>
      <w14:ligatures w14:val="none"/>
    </w:rPr>
  </w:style>
  <w:style w:type="paragraph" w:styleId="BodyText">
    <w:name w:val="Body Text"/>
    <w:basedOn w:val="Normal"/>
    <w:link w:val="BodyTextChar"/>
    <w:uiPriority w:val="99"/>
    <w:semiHidden/>
    <w:unhideWhenUsed/>
    <w:rsid w:val="002D43AD"/>
  </w:style>
  <w:style w:type="character" w:customStyle="1" w:styleId="BodyTextChar">
    <w:name w:val="Body Text Char"/>
    <w:basedOn w:val="DefaultParagraphFont"/>
    <w:link w:val="BodyText"/>
    <w:uiPriority w:val="99"/>
    <w:semiHidden/>
    <w:rsid w:val="002D43AD"/>
    <w:rPr>
      <w:rFonts w:ascii="Aptos" w:hAnsi="Aptos"/>
      <w:color w:val="44546A" w:themeColor="text2"/>
      <w:kern w:val="0"/>
      <w:sz w:val="20"/>
      <w14:ligatures w14:val="none"/>
    </w:rPr>
  </w:style>
  <w:style w:type="paragraph" w:customStyle="1" w:styleId="GHTablebodyText">
    <w:name w:val="GH_TablebodyText"/>
    <w:basedOn w:val="GHBodytext"/>
    <w:qFormat/>
    <w:rsid w:val="00D04344"/>
    <w:pPr>
      <w:spacing w:after="0"/>
    </w:pPr>
  </w:style>
  <w:style w:type="character" w:styleId="Hyperlink">
    <w:name w:val="Hyperlink"/>
    <w:basedOn w:val="DefaultParagraphFont"/>
    <w:uiPriority w:val="99"/>
    <w:unhideWhenUsed/>
    <w:rsid w:val="00F76E96"/>
    <w:rPr>
      <w:noProof w:val="0"/>
      <w:color w:val="0070C0"/>
      <w:u w:val="single"/>
      <w:lang w:val="en-US"/>
    </w:rPr>
  </w:style>
  <w:style w:type="paragraph" w:styleId="FootnoteText">
    <w:name w:val="footnote text"/>
    <w:aliases w:val="TBG Style,ALTS FOOTNOTE,Footnote Text 2,fn,Footnote text,FOOTNOTE,Footnote Text1 Char,Footnote Text Char Ch,Footnote Text Char Ch Char Char Char,Footnote Text Char Ch Char Char,Footnote Text1 Char Char Char,ft Char,ft,EMI Footnote Text"/>
    <w:basedOn w:val="Normal"/>
    <w:link w:val="FootnoteTextChar"/>
    <w:uiPriority w:val="99"/>
    <w:unhideWhenUsed/>
    <w:qFormat/>
    <w:rsid w:val="00F76E96"/>
    <w:pPr>
      <w:spacing w:before="0" w:after="0"/>
    </w:pPr>
    <w:rPr>
      <w:rFonts w:ascii="Arial" w:eastAsia="Times New Roman" w:hAnsi="Arial" w:cs="Times New Roman"/>
      <w:szCs w:val="20"/>
    </w:rPr>
  </w:style>
  <w:style w:type="character" w:customStyle="1" w:styleId="FootnoteTextChar">
    <w:name w:val="Footnote Text Char"/>
    <w:aliases w:val="TBG Style Char,ALTS FOOTNOTE Char,Footnote Text 2 Char,fn Char,Footnote text Char,FOOTNOTE Char,Footnote Text1 Char Char,Footnote Text Char Ch Char,Footnote Text Char Ch Char Char Char Char,Footnote Text Char Ch Char Char Char1"/>
    <w:basedOn w:val="DefaultParagraphFont"/>
    <w:link w:val="FootnoteText"/>
    <w:uiPriority w:val="99"/>
    <w:rsid w:val="00F76E96"/>
    <w:rPr>
      <w:rFonts w:ascii="Arial" w:eastAsia="Times New Roman" w:hAnsi="Arial" w:cs="Times New Roman"/>
      <w:kern w:val="0"/>
      <w:sz w:val="20"/>
      <w:szCs w:val="20"/>
      <w14:ligatures w14:val="none"/>
    </w:rPr>
  </w:style>
  <w:style w:type="character" w:styleId="FootnoteReference">
    <w:name w:val="footnote reference"/>
    <w:aliases w:val="o,fr,Style 17,o + Times New Roman,Footnote_Reference"/>
    <w:basedOn w:val="DefaultParagraphFont"/>
    <w:uiPriority w:val="99"/>
    <w:unhideWhenUsed/>
    <w:qFormat/>
    <w:rsid w:val="00F76E96"/>
    <w:rPr>
      <w:vertAlign w:val="superscript"/>
    </w:rPr>
  </w:style>
  <w:style w:type="character" w:styleId="UnresolvedMention">
    <w:name w:val="Unresolved Mention"/>
    <w:basedOn w:val="DefaultParagraphFont"/>
    <w:uiPriority w:val="99"/>
    <w:semiHidden/>
    <w:unhideWhenUsed/>
    <w:rsid w:val="00D81BD4"/>
    <w:rPr>
      <w:color w:val="605E5C"/>
      <w:shd w:val="clear" w:color="auto" w:fill="E1DFDD"/>
    </w:rPr>
  </w:style>
  <w:style w:type="paragraph" w:styleId="ListParagraph">
    <w:name w:val="List Paragraph"/>
    <w:basedOn w:val="Normal"/>
    <w:uiPriority w:val="34"/>
    <w:qFormat/>
    <w:rsid w:val="00321344"/>
    <w:pPr>
      <w:spacing w:before="0" w:after="0"/>
      <w:ind w:left="720"/>
      <w:contextualSpacing/>
    </w:pPr>
    <w:rPr>
      <w:rFonts w:ascii="Times New Roman" w:eastAsiaTheme="minorEastAsia" w:hAnsi="Times New Roman" w:cs="Times New Roman"/>
      <w:sz w:val="24"/>
      <w:szCs w:val="24"/>
    </w:rPr>
  </w:style>
  <w:style w:type="paragraph" w:styleId="Revision">
    <w:name w:val="Revision"/>
    <w:hidden/>
    <w:uiPriority w:val="99"/>
    <w:semiHidden/>
    <w:rsid w:val="00741423"/>
    <w:pPr>
      <w:spacing w:after="0" w:line="240" w:lineRule="auto"/>
    </w:pPr>
    <w:rPr>
      <w:rFonts w:ascii="Aptos" w:hAnsi="Aptos"/>
      <w:kern w:val="0"/>
      <w:sz w:val="20"/>
      <w14:ligatures w14:val="none"/>
    </w:rPr>
  </w:style>
  <w:style w:type="character" w:customStyle="1" w:styleId="Heading1Char">
    <w:name w:val="Heading 1 Char"/>
    <w:basedOn w:val="DefaultParagraphFont"/>
    <w:link w:val="Heading1"/>
    <w:uiPriority w:val="9"/>
    <w:rsid w:val="00BA6A5F"/>
    <w:rPr>
      <w:rFonts w:asciiTheme="majorHAnsi" w:eastAsiaTheme="majorEastAsia" w:hAnsiTheme="majorHAnsi" w:cstheme="majorBidi"/>
      <w:color w:val="2F5496" w:themeColor="accent1" w:themeShade="BF"/>
      <w:kern w:val="0"/>
      <w:sz w:val="32"/>
      <w:szCs w:val="32"/>
      <w14:ligatures w14:val="none"/>
    </w:rPr>
  </w:style>
  <w:style w:type="paragraph" w:styleId="Caption">
    <w:name w:val="caption"/>
    <w:basedOn w:val="Normal"/>
    <w:next w:val="Normal"/>
    <w:uiPriority w:val="35"/>
    <w:unhideWhenUsed/>
    <w:qFormat/>
    <w:rsid w:val="00BA6A5F"/>
    <w:pPr>
      <w:keepNext/>
      <w:spacing w:before="0" w:after="200"/>
    </w:pPr>
    <w:rPr>
      <w:b/>
      <w:i/>
      <w:iCs/>
      <w:color w:val="44546A" w:themeColor="text2"/>
      <w:szCs w:val="18"/>
    </w:rPr>
  </w:style>
  <w:style w:type="character" w:styleId="Mention">
    <w:name w:val="Mention"/>
    <w:basedOn w:val="DefaultParagraphFont"/>
    <w:uiPriority w:val="99"/>
    <w:unhideWhenUsed/>
    <w:rsid w:val="00BA6A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78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ilsag.info/wp-content/uploads/SAG-Deviation-Memo-for-Res-FR-Test-Results-2023-09-08-002.pdf" TargetMode="External"/><Relationship Id="rId1" Type="http://schemas.openxmlformats.org/officeDocument/2006/relationships/hyperlink" Target="https://www.ilsag.info/wp-content/uploads/SAG-Deviation-Memo-for-Res-FR-2023-05-1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frye001\OneDrive%20-%20Guidehouse\Documents\Custom%20Office%20Templates\gh_memo_2024_2024092611151038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88F1E73A3DF4E9DE46ACDFEFCEA5B" ma:contentTypeVersion="20" ma:contentTypeDescription="Create a new document." ma:contentTypeScope="" ma:versionID="da6036fc11da79f3ea46dc14ce772f1e">
  <xsd:schema xmlns:xsd="http://www.w3.org/2001/XMLSchema" xmlns:xs="http://www.w3.org/2001/XMLSchema" xmlns:p="http://schemas.microsoft.com/office/2006/metadata/properties" xmlns:ns1="http://schemas.microsoft.com/sharepoint/v3" xmlns:ns2="ad755eef-71ec-496f-ab18-a3e771bfb4a9" xmlns:ns3="dd860c49-519f-4fad-a9e7-096243cb3a9a" targetNamespace="http://schemas.microsoft.com/office/2006/metadata/properties" ma:root="true" ma:fieldsID="54c82631b1afb0c7bb9bc916f6735cc1" ns1:_="" ns2:_="" ns3:_="">
    <xsd:import namespace="http://schemas.microsoft.com/sharepoint/v3"/>
    <xsd:import namespace="ad755eef-71ec-496f-ab18-a3e771bfb4a9"/>
    <xsd:import namespace="dd860c49-519f-4fad-a9e7-096243cb3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5eef-71ec-496f-ab18-a3e771bf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c49-519f-4fad-a9e7-096243cb3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8478a9-f2a9-42e3-9358-0b9cefba749a}" ma:internalName="TaxCatchAll" ma:showField="CatchAllData" ma:web="dd860c49-519f-4fad-a9e7-096243cb3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755eef-71ec-496f-ab18-a3e771bfb4a9">
      <Terms xmlns="http://schemas.microsoft.com/office/infopath/2007/PartnerControls"/>
    </lcf76f155ced4ddcb4097134ff3c332f>
    <TaxCatchAll xmlns="dd860c49-519f-4fad-a9e7-096243cb3a9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6FB08-7254-4752-A6DE-11C465502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5eef-71ec-496f-ab18-a3e771bfb4a9"/>
    <ds:schemaRef ds:uri="dd860c49-519f-4fad-a9e7-096243cb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EC813-E513-4F6A-8037-241F582613D6}">
  <ds:schemaRefs>
    <ds:schemaRef ds:uri="http://schemas.microsoft.com/sharepoint/v3/contenttype/forms"/>
  </ds:schemaRefs>
</ds:datastoreItem>
</file>

<file path=customXml/itemProps3.xml><?xml version="1.0" encoding="utf-8"?>
<ds:datastoreItem xmlns:ds="http://schemas.openxmlformats.org/officeDocument/2006/customXml" ds:itemID="{F8B698A1-BD47-44E6-B9F1-3379ABE25C15}">
  <ds:schemaRefs>
    <ds:schemaRef ds:uri="http://schemas.microsoft.com/office/2006/metadata/properties"/>
    <ds:schemaRef ds:uri="http://schemas.microsoft.com/office/infopath/2007/PartnerControls"/>
    <ds:schemaRef ds:uri="http://schemas.microsoft.com/sharepoint/v3"/>
    <ds:schemaRef ds:uri="ad755eef-71ec-496f-ab18-a3e771bfb4a9"/>
    <ds:schemaRef ds:uri="dd860c49-519f-4fad-a9e7-096243cb3a9a"/>
  </ds:schemaRefs>
</ds:datastoreItem>
</file>

<file path=customXml/itemProps4.xml><?xml version="1.0" encoding="utf-8"?>
<ds:datastoreItem xmlns:ds="http://schemas.openxmlformats.org/officeDocument/2006/customXml" ds:itemID="{1B19D876-F0F9-4162-9D4D-EA1007A3E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gh_memo_2024_20240926111510380</Template>
  <TotalTime>0</TotalTime>
  <Pages>4</Pages>
  <Words>459</Words>
  <Characters>2618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Links>
    <vt:vector size="24" baseType="variant">
      <vt:variant>
        <vt:i4>6291576</vt:i4>
      </vt:variant>
      <vt:variant>
        <vt:i4>3</vt:i4>
      </vt:variant>
      <vt:variant>
        <vt:i4>0</vt:i4>
      </vt:variant>
      <vt:variant>
        <vt:i4>5</vt:i4>
      </vt:variant>
      <vt:variant>
        <vt:lpwstr>https://www.ilsag.info/wp-content/uploads/SAG-Deviation-Memo-for-Res-FR-Test-Results-2023-09-08-002.pdf</vt:lpwstr>
      </vt:variant>
      <vt:variant>
        <vt:lpwstr/>
      </vt:variant>
      <vt:variant>
        <vt:i4>2359340</vt:i4>
      </vt:variant>
      <vt:variant>
        <vt:i4>0</vt:i4>
      </vt:variant>
      <vt:variant>
        <vt:i4>0</vt:i4>
      </vt:variant>
      <vt:variant>
        <vt:i4>5</vt:i4>
      </vt:variant>
      <vt:variant>
        <vt:lpwstr>https://www.ilsag.info/wp-content/uploads/SAG-Deviation-Memo-for-Res-FR-2023-05-10.pdf</vt:lpwstr>
      </vt:variant>
      <vt:variant>
        <vt:lpwstr/>
      </vt:variant>
      <vt:variant>
        <vt:i4>6422592</vt:i4>
      </vt:variant>
      <vt:variant>
        <vt:i4>3</vt:i4>
      </vt:variant>
      <vt:variant>
        <vt:i4>0</vt:i4>
      </vt:variant>
      <vt:variant>
        <vt:i4>5</vt:i4>
      </vt:variant>
      <vt:variant>
        <vt:lpwstr>mailto:laura.agapay.read@guidehouse.com</vt:lpwstr>
      </vt:variant>
      <vt:variant>
        <vt:lpwstr/>
      </vt:variant>
      <vt:variant>
        <vt:i4>6422592</vt:i4>
      </vt:variant>
      <vt:variant>
        <vt:i4>0</vt:i4>
      </vt:variant>
      <vt:variant>
        <vt:i4>0</vt:i4>
      </vt:variant>
      <vt:variant>
        <vt:i4>5</vt:i4>
      </vt:variant>
      <vt:variant>
        <vt:lpwstr>mailto:laura.agapay.read@guidehouse.com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Frye</dc:creator>
  <cp:keywords/>
  <dc:description/>
  <cp:lastModifiedBy>Celia Johnson</cp:lastModifiedBy>
  <cp:revision>2</cp:revision>
  <cp:lastPrinted>2025-02-27T18:38:00Z</cp:lastPrinted>
  <dcterms:created xsi:type="dcterms:W3CDTF">2025-03-06T16:57:00Z</dcterms:created>
  <dcterms:modified xsi:type="dcterms:W3CDTF">2025-03-06T16:57:00Z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0x01010087588F1E73A3DF4E9DE46ACDFEFCEA5B</vt:lpwstr>
  </property>
</Properties>
</file>