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20CB" w14:textId="77777777" w:rsidR="004F7FFD" w:rsidRDefault="004F7FFD"/>
    <w:tbl>
      <w:tblPr>
        <w:tblW w:w="5000" w:type="pct"/>
        <w:jc w:val="center"/>
        <w:tblLayout w:type="fixed"/>
        <w:tblLook w:val="01E0" w:firstRow="1" w:lastRow="1" w:firstColumn="1" w:lastColumn="1" w:noHBand="0" w:noVBand="0"/>
      </w:tblPr>
      <w:tblGrid>
        <w:gridCol w:w="1800"/>
        <w:gridCol w:w="1620"/>
        <w:gridCol w:w="1620"/>
        <w:gridCol w:w="2122"/>
        <w:gridCol w:w="2198"/>
      </w:tblGrid>
      <w:tr w:rsidR="00BC2A00" w:rsidRPr="00FD0661" w14:paraId="4E68E66C" w14:textId="77777777" w:rsidTr="002D54D3">
        <w:trPr>
          <w:trHeight w:val="1152"/>
          <w:jc w:val="center"/>
        </w:trPr>
        <w:tc>
          <w:tcPr>
            <w:tcW w:w="9360" w:type="dxa"/>
            <w:gridSpan w:val="5"/>
            <w:vAlign w:val="center"/>
          </w:tcPr>
          <w:p w14:paraId="21E0F6CD" w14:textId="77777777" w:rsidR="004F7FFD" w:rsidRPr="00FD0661" w:rsidRDefault="004F7FFD">
            <w:pPr>
              <w:pStyle w:val="Title"/>
              <w:rPr>
                <w:rFonts w:cs="Arial"/>
                <w:bCs/>
              </w:rPr>
            </w:pPr>
          </w:p>
        </w:tc>
      </w:tr>
      <w:tr w:rsidR="00BC2A00" w:rsidRPr="00FD0661" w14:paraId="079D0B83" w14:textId="77777777" w:rsidTr="002D54D3">
        <w:trPr>
          <w:trHeight w:val="2114"/>
          <w:jc w:val="center"/>
        </w:trPr>
        <w:tc>
          <w:tcPr>
            <w:tcW w:w="9360" w:type="dxa"/>
            <w:gridSpan w:val="5"/>
            <w:vAlign w:val="center"/>
          </w:tcPr>
          <w:p w14:paraId="44E72CA0" w14:textId="23D0E7E4" w:rsidR="004F7FFD" w:rsidRPr="00FD0661" w:rsidRDefault="004F7FFD">
            <w:pPr>
              <w:pStyle w:val="Title"/>
              <w:rPr>
                <w:rFonts w:cs="Arial"/>
                <w:b w:val="0"/>
                <w:bCs/>
              </w:rPr>
            </w:pPr>
            <w:r w:rsidRPr="00FD0661">
              <w:rPr>
                <w:rFonts w:cs="Arial"/>
                <w:bCs/>
              </w:rPr>
              <w:t xml:space="preserve">ComEd </w:t>
            </w:r>
            <w:bookmarkStart w:id="0" w:name="Title_Program_Name"/>
            <w:r w:rsidRPr="003B3336">
              <w:rPr>
                <w:rFonts w:cs="Arial"/>
                <w:bCs/>
              </w:rPr>
              <w:t>Small Business</w:t>
            </w:r>
            <w:bookmarkEnd w:id="0"/>
            <w:r w:rsidRPr="00FD0661">
              <w:rPr>
                <w:rFonts w:cs="Arial"/>
                <w:bCs/>
              </w:rPr>
              <w:t xml:space="preserve"> Program Impact Evaluation Report</w:t>
            </w:r>
          </w:p>
          <w:p w14:paraId="73A7CE2A" w14:textId="320C9C13" w:rsidR="004F7FFD" w:rsidRPr="00FD0661" w:rsidRDefault="004F7FFD">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BC2A00" w:rsidRPr="00FD0661" w14:paraId="31B5C567" w14:textId="77777777" w:rsidTr="002D54D3">
        <w:trPr>
          <w:trHeight w:val="2263"/>
          <w:jc w:val="center"/>
        </w:trPr>
        <w:tc>
          <w:tcPr>
            <w:tcW w:w="9360" w:type="dxa"/>
            <w:gridSpan w:val="5"/>
          </w:tcPr>
          <w:p w14:paraId="2ECF4395" w14:textId="663F0CCF" w:rsidR="004F7FFD" w:rsidRPr="00FD0661" w:rsidRDefault="004F7FFD">
            <w:pPr>
              <w:pStyle w:val="Preparedfor"/>
              <w:spacing w:before="0" w:after="240"/>
              <w:rPr>
                <w:rFonts w:cs="Arial"/>
              </w:rPr>
            </w:pPr>
            <w:r w:rsidRPr="00FD0661">
              <w:rPr>
                <w:rFonts w:cs="Arial"/>
              </w:rPr>
              <w:t>Prepared for:</w:t>
            </w:r>
          </w:p>
          <w:p w14:paraId="60607E4C" w14:textId="77777777" w:rsidR="004F7FFD" w:rsidRPr="00FD0661" w:rsidRDefault="004F7FFD">
            <w:pPr>
              <w:pStyle w:val="Preparedfor"/>
              <w:rPr>
                <w:rFonts w:cs="Arial"/>
              </w:rPr>
            </w:pPr>
            <w:r w:rsidRPr="00FD0661">
              <w:rPr>
                <w:rFonts w:cs="Arial"/>
              </w:rPr>
              <w:t>ComEd</w:t>
            </w:r>
          </w:p>
          <w:p w14:paraId="70DA1B46" w14:textId="77777777" w:rsidR="004F7FFD" w:rsidRPr="00FD0661" w:rsidRDefault="004F7FFD">
            <w:pPr>
              <w:pStyle w:val="CoverClientName"/>
              <w:spacing w:after="0"/>
              <w:rPr>
                <w:rFonts w:cs="Arial"/>
                <w:sz w:val="48"/>
                <w:szCs w:val="48"/>
              </w:rPr>
            </w:pPr>
            <w:r w:rsidRPr="00FD0661">
              <w:rPr>
                <w:rFonts w:cs="Arial"/>
                <w:sz w:val="48"/>
                <w:szCs w:val="48"/>
              </w:rPr>
              <w:t>DRAFT</w:t>
            </w:r>
          </w:p>
          <w:p w14:paraId="7A553B52" w14:textId="77777777" w:rsidR="004F7FFD" w:rsidRPr="00FD0661" w:rsidRDefault="004F7FFD">
            <w:pPr>
              <w:pStyle w:val="CoverClientName"/>
              <w:spacing w:after="0"/>
              <w:rPr>
                <w:rFonts w:cs="Arial"/>
              </w:rPr>
            </w:pPr>
          </w:p>
          <w:p w14:paraId="32D1B266" w14:textId="740D23F7" w:rsidR="004F7FFD" w:rsidRPr="00FD0661" w:rsidRDefault="002D54D3">
            <w:pPr>
              <w:pStyle w:val="CoverClientName"/>
              <w:spacing w:after="0"/>
              <w:rPr>
                <w:rFonts w:cs="Arial"/>
              </w:rPr>
            </w:pPr>
            <w:r>
              <w:rPr>
                <w:rFonts w:cs="Arial"/>
              </w:rPr>
              <w:t xml:space="preserve">March </w:t>
            </w:r>
            <w:r w:rsidR="00617DD7">
              <w:rPr>
                <w:rFonts w:cs="Arial"/>
              </w:rPr>
              <w:t>5</w:t>
            </w:r>
            <w:r>
              <w:rPr>
                <w:rFonts w:cs="Arial"/>
              </w:rPr>
              <w:t>, 2025</w:t>
            </w:r>
          </w:p>
        </w:tc>
      </w:tr>
      <w:tr w:rsidR="00BC2A00" w:rsidRPr="00FD0661" w14:paraId="4B7C97C1" w14:textId="77777777" w:rsidTr="002D54D3">
        <w:trPr>
          <w:trHeight w:val="419"/>
          <w:jc w:val="center"/>
        </w:trPr>
        <w:tc>
          <w:tcPr>
            <w:tcW w:w="7162" w:type="dxa"/>
            <w:gridSpan w:val="4"/>
          </w:tcPr>
          <w:p w14:paraId="2562CBCC" w14:textId="77777777" w:rsidR="004F7FFD" w:rsidRPr="00FD0661" w:rsidRDefault="004F7FFD">
            <w:pPr>
              <w:rPr>
                <w:rStyle w:val="CoverText"/>
                <w:rFonts w:cs="Arial"/>
              </w:rPr>
            </w:pPr>
          </w:p>
          <w:p w14:paraId="5A31209B" w14:textId="5A96CE1E" w:rsidR="004F7FFD" w:rsidRPr="00FD0661" w:rsidRDefault="004F7FFD">
            <w:pPr>
              <w:rPr>
                <w:rStyle w:val="CoverText"/>
                <w:rFonts w:cs="Arial"/>
              </w:rPr>
            </w:pPr>
            <w:r w:rsidRPr="00FD0661">
              <w:rPr>
                <w:rStyle w:val="CoverText"/>
                <w:rFonts w:cs="Arial"/>
              </w:rPr>
              <w:t xml:space="preserve">Prepared by: </w:t>
            </w:r>
          </w:p>
        </w:tc>
        <w:tc>
          <w:tcPr>
            <w:tcW w:w="2198" w:type="dxa"/>
          </w:tcPr>
          <w:p w14:paraId="29BCCFCC" w14:textId="77777777" w:rsidR="004F7FFD" w:rsidRPr="00FD0661" w:rsidRDefault="004F7FFD">
            <w:pPr>
              <w:rPr>
                <w:rStyle w:val="CoverText"/>
                <w:rFonts w:cs="Arial"/>
              </w:rPr>
            </w:pPr>
          </w:p>
        </w:tc>
      </w:tr>
      <w:tr w:rsidR="00AC51F5" w:rsidRPr="00FD0661" w14:paraId="5C9AEF26" w14:textId="77777777" w:rsidTr="00AC51F5">
        <w:trPr>
          <w:trHeight w:val="1296"/>
          <w:jc w:val="center"/>
        </w:trPr>
        <w:tc>
          <w:tcPr>
            <w:tcW w:w="1800" w:type="dxa"/>
            <w:vAlign w:val="center"/>
          </w:tcPr>
          <w:p w14:paraId="6C27E7B7" w14:textId="4C7F791D" w:rsidR="00AC51F5" w:rsidRPr="00C84E9D" w:rsidRDefault="00AC51F5">
            <w:pPr>
              <w:rPr>
                <w:rFonts w:ascii="Arial" w:hAnsi="Arial" w:cs="Arial"/>
                <w:noProof/>
              </w:rPr>
            </w:pPr>
            <w:r>
              <w:rPr>
                <w:rFonts w:ascii="Arial" w:hAnsi="Arial" w:cs="Arial"/>
                <w:noProof/>
              </w:rPr>
              <w:t>Sophie Berne</w:t>
            </w:r>
          </w:p>
          <w:p w14:paraId="17EC0B2A" w14:textId="7A2D81BD" w:rsidR="00AC51F5" w:rsidRPr="00FD0661" w:rsidRDefault="00AC51F5">
            <w:pPr>
              <w:rPr>
                <w:rFonts w:ascii="Arial" w:hAnsi="Arial" w:cs="Arial"/>
                <w:bCs/>
              </w:rPr>
            </w:pPr>
            <w:r>
              <w:rPr>
                <w:rFonts w:ascii="Arial" w:hAnsi="Arial" w:cs="Arial"/>
                <w:noProof/>
              </w:rPr>
              <w:t>Guidehouse</w:t>
            </w:r>
            <w:r w:rsidRPr="00FD0661">
              <w:rPr>
                <w:rFonts w:ascii="Arial" w:hAnsi="Arial" w:cs="Arial"/>
                <w:bCs/>
              </w:rPr>
              <w:t xml:space="preserve"> </w:t>
            </w:r>
          </w:p>
        </w:tc>
        <w:tc>
          <w:tcPr>
            <w:tcW w:w="1620" w:type="dxa"/>
            <w:vAlign w:val="center"/>
          </w:tcPr>
          <w:p w14:paraId="28DDA2FD" w14:textId="77777777" w:rsidR="00AC51F5" w:rsidRDefault="00AC51F5" w:rsidP="002D54D3">
            <w:pPr>
              <w:rPr>
                <w:rFonts w:ascii="Arial" w:hAnsi="Arial" w:cs="Arial"/>
                <w:noProof/>
              </w:rPr>
            </w:pPr>
            <w:r>
              <w:rPr>
                <w:rFonts w:ascii="Arial" w:hAnsi="Arial" w:cs="Arial"/>
                <w:noProof/>
              </w:rPr>
              <w:t>Yeab Lakew</w:t>
            </w:r>
          </w:p>
          <w:p w14:paraId="751B813F" w14:textId="38C9057A" w:rsidR="00AC51F5" w:rsidRPr="00C84E9D" w:rsidRDefault="00AC51F5" w:rsidP="002D54D3">
            <w:pPr>
              <w:rPr>
                <w:rFonts w:ascii="Arial" w:hAnsi="Arial" w:cs="Arial"/>
                <w:noProof/>
              </w:rPr>
            </w:pPr>
            <w:r>
              <w:rPr>
                <w:rFonts w:ascii="Arial" w:hAnsi="Arial" w:cs="Arial"/>
                <w:noProof/>
              </w:rPr>
              <w:t>Guidehouse</w:t>
            </w:r>
          </w:p>
        </w:tc>
        <w:tc>
          <w:tcPr>
            <w:tcW w:w="1620" w:type="dxa"/>
            <w:vAlign w:val="center"/>
          </w:tcPr>
          <w:p w14:paraId="2E8E41C5" w14:textId="77777777" w:rsidR="00AC51F5" w:rsidRDefault="00AC51F5" w:rsidP="002D54D3">
            <w:pPr>
              <w:rPr>
                <w:rFonts w:ascii="Arial" w:hAnsi="Arial" w:cs="Arial"/>
                <w:noProof/>
              </w:rPr>
            </w:pPr>
            <w:r>
              <w:rPr>
                <w:rFonts w:ascii="Arial" w:hAnsi="Arial" w:cs="Arial"/>
                <w:noProof/>
              </w:rPr>
              <w:t>Eric Ogbe</w:t>
            </w:r>
          </w:p>
          <w:p w14:paraId="41A658CB" w14:textId="2D1F9B9D" w:rsidR="00AC51F5" w:rsidRPr="002D54D3" w:rsidRDefault="00AC51F5" w:rsidP="002D54D3">
            <w:pPr>
              <w:rPr>
                <w:rFonts w:ascii="Arial" w:hAnsi="Arial" w:cs="Arial"/>
                <w:noProof/>
              </w:rPr>
            </w:pPr>
            <w:r>
              <w:rPr>
                <w:rFonts w:ascii="Arial" w:hAnsi="Arial" w:cs="Arial"/>
                <w:noProof/>
              </w:rPr>
              <w:t>Guidehouse</w:t>
            </w:r>
            <w:r w:rsidRPr="002D54D3">
              <w:rPr>
                <w:rFonts w:ascii="Arial" w:hAnsi="Arial" w:cs="Arial"/>
                <w:noProof/>
              </w:rPr>
              <w:t xml:space="preserve"> </w:t>
            </w:r>
          </w:p>
        </w:tc>
        <w:tc>
          <w:tcPr>
            <w:tcW w:w="2122" w:type="dxa"/>
            <w:vAlign w:val="center"/>
          </w:tcPr>
          <w:p w14:paraId="1C858BF0" w14:textId="77777777" w:rsidR="007C3BA7" w:rsidRDefault="00AC51F5" w:rsidP="002D54D3">
            <w:pPr>
              <w:rPr>
                <w:rFonts w:ascii="Arial" w:hAnsi="Arial" w:cs="Arial"/>
                <w:noProof/>
              </w:rPr>
            </w:pPr>
            <w:r w:rsidRPr="002D54D3">
              <w:rPr>
                <w:rFonts w:ascii="Arial" w:hAnsi="Arial" w:cs="Arial"/>
                <w:noProof/>
              </w:rPr>
              <w:t>Mike Frischmann</w:t>
            </w:r>
          </w:p>
          <w:p w14:paraId="089514AA" w14:textId="15E8BC1E" w:rsidR="00AC51F5" w:rsidRPr="002D54D3" w:rsidRDefault="00AC51F5" w:rsidP="002D54D3">
            <w:pPr>
              <w:rPr>
                <w:rFonts w:ascii="Arial" w:hAnsi="Arial" w:cs="Arial"/>
              </w:rPr>
            </w:pPr>
            <w:r>
              <w:rPr>
                <w:rFonts w:ascii="Arial" w:hAnsi="Arial" w:cs="Arial"/>
                <w:noProof/>
              </w:rPr>
              <w:t>Eco</w:t>
            </w:r>
            <w:r w:rsidR="007C3BA7">
              <w:rPr>
                <w:rFonts w:ascii="Arial" w:hAnsi="Arial" w:cs="Arial"/>
                <w:noProof/>
              </w:rPr>
              <w:t>M</w:t>
            </w:r>
            <w:r>
              <w:rPr>
                <w:rFonts w:ascii="Arial" w:hAnsi="Arial" w:cs="Arial"/>
                <w:noProof/>
              </w:rPr>
              <w:t>etric</w:t>
            </w:r>
          </w:p>
        </w:tc>
        <w:tc>
          <w:tcPr>
            <w:tcW w:w="2198" w:type="dxa"/>
          </w:tcPr>
          <w:p w14:paraId="5A4678F3" w14:textId="77777777" w:rsidR="00AC51F5" w:rsidRPr="00FD0661" w:rsidRDefault="00AC51F5">
            <w:pPr>
              <w:pStyle w:val="PresentedBy"/>
              <w:spacing w:after="120"/>
              <w:rPr>
                <w:rStyle w:val="CoverText"/>
                <w:rFonts w:cs="Arial"/>
                <w:bCs/>
                <w:iCs/>
              </w:rPr>
            </w:pPr>
          </w:p>
        </w:tc>
      </w:tr>
      <w:tr w:rsidR="00BC2A00" w:rsidRPr="00FD0661" w14:paraId="62532FF8" w14:textId="77777777" w:rsidTr="00AC51F5">
        <w:trPr>
          <w:trHeight w:val="900"/>
          <w:jc w:val="center"/>
        </w:trPr>
        <w:tc>
          <w:tcPr>
            <w:tcW w:w="1800" w:type="dxa"/>
            <w:vAlign w:val="center"/>
          </w:tcPr>
          <w:p w14:paraId="15D4E541" w14:textId="2DF7D956" w:rsidR="004F7FFD" w:rsidRPr="00FD0661" w:rsidRDefault="002D54D3">
            <w:pPr>
              <w:pStyle w:val="PresentedBy"/>
              <w:jc w:val="center"/>
              <w:rPr>
                <w:rFonts w:cs="Arial"/>
                <w:bCs/>
                <w:color w:val="auto"/>
              </w:rPr>
            </w:pPr>
            <w:r w:rsidRPr="00FD0661">
              <w:rPr>
                <w:rFonts w:cs="Arial"/>
                <w:noProof/>
              </w:rPr>
              <w:drawing>
                <wp:inline distT="0" distB="0" distL="0" distR="0" wp14:anchorId="185971A4" wp14:editId="10B40526">
                  <wp:extent cx="806601" cy="646751"/>
                  <wp:effectExtent l="0" t="0" r="0" b="1270"/>
                  <wp:docPr id="841423494"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c>
          <w:tcPr>
            <w:tcW w:w="5362" w:type="dxa"/>
            <w:gridSpan w:val="3"/>
            <w:vAlign w:val="center"/>
          </w:tcPr>
          <w:p w14:paraId="236BAD08" w14:textId="0C1AD005" w:rsidR="004F7FFD" w:rsidRPr="00FD0661" w:rsidRDefault="004F7FFD">
            <w:pPr>
              <w:jc w:val="center"/>
              <w:rPr>
                <w:rStyle w:val="CoverText"/>
                <w:rFonts w:cs="Arial"/>
                <w:bCs/>
              </w:rPr>
            </w:pPr>
          </w:p>
        </w:tc>
        <w:tc>
          <w:tcPr>
            <w:tcW w:w="2198" w:type="dxa"/>
            <w:vAlign w:val="center"/>
          </w:tcPr>
          <w:p w14:paraId="74D9CB25" w14:textId="21AABB38" w:rsidR="004F7FFD" w:rsidRPr="00FD0661" w:rsidRDefault="004F7FFD">
            <w:pPr>
              <w:pStyle w:val="PresentedBy"/>
              <w:jc w:val="center"/>
              <w:rPr>
                <w:rStyle w:val="CoverText"/>
                <w:rFonts w:cs="Arial"/>
                <w:bCs/>
                <w:iCs/>
              </w:rPr>
            </w:pPr>
          </w:p>
        </w:tc>
      </w:tr>
      <w:tr w:rsidR="00BC2A00" w:rsidRPr="00FD0661" w14:paraId="482BF8E9" w14:textId="77777777" w:rsidTr="00AC51F5">
        <w:trPr>
          <w:trHeight w:val="900"/>
          <w:jc w:val="center"/>
        </w:trPr>
        <w:tc>
          <w:tcPr>
            <w:tcW w:w="1800" w:type="dxa"/>
            <w:vAlign w:val="center"/>
          </w:tcPr>
          <w:p w14:paraId="08FE96E6" w14:textId="623817E1" w:rsidR="004F7FFD" w:rsidRPr="00FD0661" w:rsidRDefault="004F7FFD">
            <w:pPr>
              <w:pStyle w:val="PresentedBy"/>
              <w:jc w:val="center"/>
              <w:rPr>
                <w:rFonts w:cs="Arial"/>
                <w:bCs/>
                <w:color w:val="auto"/>
              </w:rPr>
            </w:pPr>
          </w:p>
        </w:tc>
        <w:tc>
          <w:tcPr>
            <w:tcW w:w="5362" w:type="dxa"/>
            <w:gridSpan w:val="3"/>
            <w:vAlign w:val="center"/>
          </w:tcPr>
          <w:p w14:paraId="29EFB638" w14:textId="77777777" w:rsidR="004F7FFD" w:rsidRPr="00FD0661" w:rsidRDefault="004F7FFD">
            <w:pPr>
              <w:jc w:val="center"/>
              <w:rPr>
                <w:rStyle w:val="CoverText"/>
                <w:rFonts w:cs="Arial"/>
                <w:bCs/>
              </w:rPr>
            </w:pPr>
          </w:p>
        </w:tc>
        <w:tc>
          <w:tcPr>
            <w:tcW w:w="2198" w:type="dxa"/>
            <w:vAlign w:val="center"/>
          </w:tcPr>
          <w:p w14:paraId="6C2E52D0" w14:textId="223EB8D4" w:rsidR="004F7FFD" w:rsidRPr="00FD0661" w:rsidRDefault="004F7FFD">
            <w:pPr>
              <w:pStyle w:val="PresentedBy"/>
              <w:jc w:val="center"/>
              <w:rPr>
                <w:rStyle w:val="CoverText"/>
                <w:rFonts w:cs="Arial"/>
                <w:bCs/>
                <w:iCs/>
              </w:rPr>
            </w:pPr>
          </w:p>
        </w:tc>
      </w:tr>
    </w:tbl>
    <w:p w14:paraId="6F570DAA" w14:textId="3050FDAC" w:rsidR="004F7FFD" w:rsidRDefault="004F7FFD"/>
    <w:p w14:paraId="79B418E2" w14:textId="2573CE38" w:rsidR="004F7FFD" w:rsidRDefault="004F7FFD">
      <w:pPr>
        <w:suppressAutoHyphens w:val="0"/>
        <w:spacing w:before="0" w:after="0"/>
      </w:pPr>
      <w:r>
        <w:br w:type="page"/>
      </w:r>
    </w:p>
    <w:p w14:paraId="66BB0E90" w14:textId="77777777" w:rsidR="004F7FFD" w:rsidRPr="00CE32C9" w:rsidRDefault="004F7FFD">
      <w:pPr>
        <w:rPr>
          <w:rFonts w:ascii="Arial" w:hAnsi="Arial" w:cs="Arial"/>
          <w:sz w:val="20"/>
          <w:szCs w:val="20"/>
        </w:rPr>
      </w:pPr>
    </w:p>
    <w:p w14:paraId="34B22307" w14:textId="77777777" w:rsidR="004F7FFD" w:rsidRPr="006C7A52" w:rsidRDefault="004F7FFD">
      <w:pPr>
        <w:spacing w:before="0" w:after="0"/>
        <w:rPr>
          <w:rFonts w:ascii="Arial" w:hAnsi="Arial" w:cs="Arial"/>
          <w:b/>
          <w:bCs/>
        </w:rPr>
      </w:pPr>
      <w:r w:rsidRPr="006C7A52">
        <w:rPr>
          <w:rFonts w:ascii="Arial" w:hAnsi="Arial" w:cs="Arial"/>
          <w:b/>
          <w:bCs/>
        </w:rPr>
        <w:t>Submitted to:</w:t>
      </w:r>
    </w:p>
    <w:p w14:paraId="30F68748" w14:textId="77777777" w:rsidR="004F7FFD" w:rsidRPr="006C7A52" w:rsidRDefault="004F7FFD">
      <w:pPr>
        <w:spacing w:before="0" w:after="0"/>
        <w:rPr>
          <w:rFonts w:ascii="Arial" w:hAnsi="Arial" w:cs="Arial"/>
        </w:rPr>
      </w:pPr>
      <w:r w:rsidRPr="006C7A52">
        <w:rPr>
          <w:rFonts w:ascii="Arial" w:hAnsi="Arial" w:cs="Arial"/>
        </w:rPr>
        <w:t>ComEd</w:t>
      </w:r>
    </w:p>
    <w:p w14:paraId="7CB0906C" w14:textId="77777777" w:rsidR="004F7FFD" w:rsidRPr="006C7A52" w:rsidRDefault="004F7FFD">
      <w:pPr>
        <w:spacing w:before="0" w:after="0"/>
        <w:rPr>
          <w:rFonts w:ascii="Arial" w:hAnsi="Arial" w:cs="Arial"/>
        </w:rPr>
      </w:pPr>
      <w:r w:rsidRPr="006C7A52">
        <w:rPr>
          <w:rFonts w:ascii="Arial" w:hAnsi="Arial" w:cs="Arial"/>
        </w:rPr>
        <w:t>2011 Swift Drive</w:t>
      </w:r>
    </w:p>
    <w:p w14:paraId="1CA17313" w14:textId="77777777" w:rsidR="004F7FFD" w:rsidRPr="006C7A52" w:rsidRDefault="004F7FFD">
      <w:pPr>
        <w:spacing w:before="0" w:after="0"/>
        <w:rPr>
          <w:rFonts w:ascii="Arial" w:hAnsi="Arial" w:cs="Arial"/>
        </w:rPr>
      </w:pPr>
      <w:r w:rsidRPr="006C7A52">
        <w:rPr>
          <w:rFonts w:ascii="Arial" w:hAnsi="Arial" w:cs="Arial"/>
        </w:rPr>
        <w:t>Oak Brook, IL 60523</w:t>
      </w:r>
    </w:p>
    <w:p w14:paraId="3CEACB98" w14:textId="77777777" w:rsidR="004F7FFD" w:rsidRPr="006C7A52" w:rsidRDefault="004F7FFD">
      <w:pPr>
        <w:spacing w:before="0" w:after="0"/>
        <w:rPr>
          <w:rFonts w:ascii="Arial" w:hAnsi="Arial" w:cs="Arial"/>
        </w:rPr>
      </w:pPr>
    </w:p>
    <w:p w14:paraId="16915B44" w14:textId="77777777" w:rsidR="004F7FFD" w:rsidRPr="006C7A52" w:rsidRDefault="004F7FFD">
      <w:pPr>
        <w:spacing w:before="0" w:after="0"/>
        <w:rPr>
          <w:rFonts w:ascii="Arial" w:hAnsi="Arial" w:cs="Arial"/>
          <w:b/>
          <w:bCs/>
        </w:rPr>
      </w:pPr>
      <w:r w:rsidRPr="006C7A52">
        <w:rPr>
          <w:rFonts w:ascii="Arial" w:hAnsi="Arial" w:cs="Arial"/>
          <w:b/>
          <w:bCs/>
        </w:rPr>
        <w:t>Submitted by:</w:t>
      </w:r>
    </w:p>
    <w:p w14:paraId="6166F965" w14:textId="77777777" w:rsidR="004F7FFD" w:rsidRPr="006C7A52" w:rsidRDefault="004F7FFD">
      <w:pPr>
        <w:spacing w:before="0" w:after="0"/>
        <w:rPr>
          <w:rFonts w:ascii="Arial" w:hAnsi="Arial" w:cs="Arial"/>
        </w:rPr>
      </w:pPr>
      <w:r w:rsidRPr="006C7A52">
        <w:rPr>
          <w:rFonts w:ascii="Arial" w:hAnsi="Arial" w:cs="Arial"/>
        </w:rPr>
        <w:t>Guidehouse Inc.</w:t>
      </w:r>
    </w:p>
    <w:p w14:paraId="467A92A6" w14:textId="77777777" w:rsidR="004F7FFD" w:rsidRPr="006C7A52" w:rsidRDefault="004F7FFD">
      <w:pPr>
        <w:spacing w:before="0" w:after="0"/>
        <w:rPr>
          <w:rFonts w:ascii="Arial" w:hAnsi="Arial" w:cs="Arial"/>
        </w:rPr>
      </w:pPr>
      <w:r w:rsidRPr="006C7A52">
        <w:rPr>
          <w:rFonts w:ascii="Arial" w:hAnsi="Arial" w:cs="Arial"/>
        </w:rPr>
        <w:t>150 N. Riverside Plaza, Suite 2100</w:t>
      </w:r>
    </w:p>
    <w:p w14:paraId="6758C6EA" w14:textId="77777777" w:rsidR="004F7FFD" w:rsidRPr="006C7A52" w:rsidRDefault="004F7FFD">
      <w:pPr>
        <w:spacing w:before="0" w:after="0"/>
        <w:rPr>
          <w:rFonts w:ascii="Arial" w:hAnsi="Arial" w:cs="Arial"/>
        </w:rPr>
      </w:pPr>
      <w:r w:rsidRPr="006C7A52">
        <w:rPr>
          <w:rFonts w:ascii="Arial" w:hAnsi="Arial" w:cs="Arial"/>
        </w:rPr>
        <w:t>Chicago, IL 60606</w:t>
      </w:r>
    </w:p>
    <w:p w14:paraId="53D3EC54" w14:textId="77777777" w:rsidR="004F7FFD" w:rsidRPr="006C7A52" w:rsidRDefault="004F7FFD">
      <w:pPr>
        <w:spacing w:before="0" w:after="0"/>
        <w:rPr>
          <w:rFonts w:ascii="Arial" w:hAnsi="Arial" w:cs="Arial"/>
        </w:rPr>
      </w:pPr>
    </w:p>
    <w:p w14:paraId="041E2CE2" w14:textId="77777777" w:rsidR="004F7FFD" w:rsidRPr="006C7A52" w:rsidRDefault="004F7FFD">
      <w:pPr>
        <w:spacing w:before="0" w:after="0"/>
        <w:rPr>
          <w:rFonts w:ascii="Arial" w:hAnsi="Arial" w:cs="Arial"/>
        </w:rPr>
      </w:pPr>
    </w:p>
    <w:p w14:paraId="14AC8FD4" w14:textId="77777777" w:rsidR="004F7FFD" w:rsidRPr="006C7A52" w:rsidRDefault="004F7FFD">
      <w:pPr>
        <w:spacing w:before="0" w:after="0"/>
        <w:rPr>
          <w:rFonts w:ascii="Arial" w:hAnsi="Arial" w:cs="Arial"/>
        </w:rPr>
      </w:pPr>
      <w:r w:rsidRPr="006C7A52">
        <w:rPr>
          <w:rFonts w:ascii="Arial" w:hAnsi="Arial" w:cs="Arial"/>
          <w:b/>
        </w:rPr>
        <w:t>Contact:</w:t>
      </w:r>
    </w:p>
    <w:p w14:paraId="3B16748F" w14:textId="77777777" w:rsidR="004F7FFD" w:rsidRPr="006C7A52" w:rsidRDefault="004F7FFD">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330"/>
        <w:gridCol w:w="3600"/>
      </w:tblGrid>
      <w:tr w:rsidR="00BC2A00" w:rsidRPr="00601FE0" w14:paraId="235085F4" w14:textId="77777777" w:rsidTr="002D54D3">
        <w:tc>
          <w:tcPr>
            <w:tcW w:w="3330" w:type="dxa"/>
          </w:tcPr>
          <w:p w14:paraId="678262CB" w14:textId="77777777" w:rsidR="004F7FFD" w:rsidRPr="00601FE0" w:rsidRDefault="004F7FFD">
            <w:pPr>
              <w:spacing w:before="0" w:after="0"/>
              <w:rPr>
                <w:rFonts w:ascii="Arial" w:hAnsi="Arial" w:cs="Arial"/>
                <w:sz w:val="21"/>
                <w:szCs w:val="21"/>
              </w:rPr>
            </w:pPr>
            <w:r w:rsidRPr="00601FE0">
              <w:rPr>
                <w:rFonts w:ascii="Arial" w:eastAsia="Arial" w:hAnsi="Arial" w:cs="Arial"/>
                <w:sz w:val="21"/>
                <w:szCs w:val="21"/>
              </w:rPr>
              <w:t>Charles Maglione, Partner</w:t>
            </w:r>
          </w:p>
          <w:p w14:paraId="10150594" w14:textId="77777777" w:rsidR="004F7FFD" w:rsidRPr="00601FE0" w:rsidRDefault="004F7FFD">
            <w:pPr>
              <w:spacing w:before="0" w:after="0"/>
              <w:rPr>
                <w:rFonts w:ascii="Arial" w:hAnsi="Arial" w:cs="Arial"/>
                <w:sz w:val="21"/>
                <w:szCs w:val="21"/>
              </w:rPr>
            </w:pPr>
            <w:r w:rsidRPr="00601FE0">
              <w:rPr>
                <w:rFonts w:ascii="Arial" w:eastAsia="Arial" w:hAnsi="Arial" w:cs="Arial"/>
                <w:sz w:val="21"/>
                <w:szCs w:val="21"/>
              </w:rPr>
              <w:t>703.431.1983</w:t>
            </w:r>
          </w:p>
          <w:p w14:paraId="03A78E38" w14:textId="260E5891" w:rsidR="004F7FFD" w:rsidRPr="00601FE0" w:rsidRDefault="007C3BA7">
            <w:pPr>
              <w:spacing w:before="0" w:after="0"/>
              <w:rPr>
                <w:rFonts w:cs="Arial"/>
                <w:sz w:val="21"/>
                <w:szCs w:val="21"/>
              </w:rPr>
            </w:pPr>
            <w:hyperlink r:id="rId12">
              <w:r w:rsidR="004F7FFD" w:rsidRPr="00601FE0">
                <w:rPr>
                  <w:rFonts w:ascii="Arial" w:hAnsi="Arial" w:cs="Arial"/>
                  <w:b/>
                  <w:sz w:val="21"/>
                  <w:szCs w:val="21"/>
                  <w:u w:val="single" w:color="93D500" w:themeColor="accent1"/>
                </w:rPr>
                <w:t>cmaglione@guidehouse.com</w:t>
              </w:r>
            </w:hyperlink>
          </w:p>
        </w:tc>
        <w:tc>
          <w:tcPr>
            <w:tcW w:w="3330" w:type="dxa"/>
          </w:tcPr>
          <w:p w14:paraId="4E07A055" w14:textId="77777777" w:rsidR="004F7FFD" w:rsidRPr="00601FE0" w:rsidRDefault="004F7FFD">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4F7FFD" w:rsidRPr="00601FE0" w:rsidRDefault="004F7FFD">
            <w:pPr>
              <w:spacing w:before="0" w:after="0"/>
              <w:rPr>
                <w:rFonts w:ascii="Arial" w:hAnsi="Arial" w:cs="Arial"/>
                <w:sz w:val="21"/>
                <w:szCs w:val="21"/>
              </w:rPr>
            </w:pPr>
            <w:r w:rsidRPr="00601FE0">
              <w:rPr>
                <w:rFonts w:ascii="Arial" w:hAnsi="Arial" w:cs="Arial"/>
                <w:sz w:val="21"/>
                <w:szCs w:val="21"/>
              </w:rPr>
              <w:t>608.616.4962</w:t>
            </w:r>
          </w:p>
          <w:p w14:paraId="055B9C71" w14:textId="27646AED" w:rsidR="004F7FFD" w:rsidRPr="00601FE0" w:rsidRDefault="007C3BA7">
            <w:pPr>
              <w:spacing w:before="0" w:after="0"/>
              <w:rPr>
                <w:rFonts w:ascii="Arial" w:hAnsi="Arial" w:cs="Arial"/>
                <w:sz w:val="21"/>
                <w:szCs w:val="21"/>
                <w:u w:color="93D500" w:themeColor="accent1"/>
              </w:rPr>
            </w:pPr>
            <w:hyperlink r:id="rId13" w:history="1">
              <w:r w:rsidR="004F7FFD" w:rsidRPr="00601FE0">
                <w:rPr>
                  <w:rFonts w:ascii="Arial" w:hAnsi="Arial" w:cs="Arial"/>
                  <w:b/>
                  <w:sz w:val="21"/>
                  <w:szCs w:val="21"/>
                  <w:u w:val="single" w:color="93D500" w:themeColor="accent1"/>
                </w:rPr>
                <w:t>jeff.erickson@guidehouse.com</w:t>
              </w:r>
            </w:hyperlink>
          </w:p>
        </w:tc>
        <w:tc>
          <w:tcPr>
            <w:tcW w:w="3600" w:type="dxa"/>
          </w:tcPr>
          <w:p w14:paraId="44D4D27B" w14:textId="3FFD8E40" w:rsidR="002D54D3" w:rsidRPr="00601FE0" w:rsidRDefault="002D54D3" w:rsidP="002D54D3">
            <w:pPr>
              <w:spacing w:before="0" w:after="0"/>
              <w:rPr>
                <w:rFonts w:ascii="Arial" w:hAnsi="Arial" w:cs="Arial"/>
                <w:sz w:val="21"/>
                <w:szCs w:val="21"/>
              </w:rPr>
            </w:pPr>
            <w:r>
              <w:rPr>
                <w:rFonts w:ascii="Arial" w:hAnsi="Arial" w:cs="Arial"/>
                <w:sz w:val="21"/>
                <w:szCs w:val="21"/>
              </w:rPr>
              <w:t>Nishant Mehta</w:t>
            </w:r>
            <w:r w:rsidRPr="00601FE0">
              <w:rPr>
                <w:rFonts w:ascii="Arial" w:hAnsi="Arial" w:cs="Arial"/>
                <w:sz w:val="21"/>
                <w:szCs w:val="21"/>
              </w:rPr>
              <w:t xml:space="preserve">, </w:t>
            </w:r>
            <w:r>
              <w:rPr>
                <w:rFonts w:ascii="Arial" w:hAnsi="Arial" w:cs="Arial"/>
                <w:sz w:val="21"/>
                <w:szCs w:val="21"/>
              </w:rPr>
              <w:t xml:space="preserve">Associate </w:t>
            </w:r>
            <w:r w:rsidRPr="00601FE0">
              <w:rPr>
                <w:rFonts w:ascii="Arial" w:hAnsi="Arial" w:cs="Arial"/>
                <w:sz w:val="21"/>
                <w:szCs w:val="21"/>
              </w:rPr>
              <w:t>Director</w:t>
            </w:r>
          </w:p>
          <w:p w14:paraId="339B9033" w14:textId="036CB230" w:rsidR="002D54D3" w:rsidRPr="00601FE0" w:rsidRDefault="002D54D3" w:rsidP="002D54D3">
            <w:pPr>
              <w:spacing w:before="0" w:after="0"/>
              <w:rPr>
                <w:rFonts w:ascii="Arial" w:hAnsi="Arial" w:cs="Arial"/>
                <w:sz w:val="21"/>
                <w:szCs w:val="21"/>
              </w:rPr>
            </w:pPr>
            <w:r w:rsidRPr="00601FE0">
              <w:rPr>
                <w:rFonts w:ascii="Arial" w:hAnsi="Arial" w:cs="Arial"/>
                <w:sz w:val="21"/>
                <w:szCs w:val="21"/>
              </w:rPr>
              <w:t>608.616.</w:t>
            </w:r>
            <w:r>
              <w:rPr>
                <w:rFonts w:ascii="Arial" w:hAnsi="Arial" w:cs="Arial"/>
                <w:sz w:val="21"/>
                <w:szCs w:val="21"/>
              </w:rPr>
              <w:t>5823</w:t>
            </w:r>
          </w:p>
          <w:p w14:paraId="4CF30D42" w14:textId="7311329A" w:rsidR="004F7FFD" w:rsidRPr="00601FE0" w:rsidRDefault="007C3BA7" w:rsidP="002D54D3">
            <w:pPr>
              <w:spacing w:before="0" w:after="0"/>
              <w:rPr>
                <w:rFonts w:ascii="Arial" w:hAnsi="Arial" w:cs="Arial"/>
                <w:sz w:val="21"/>
                <w:szCs w:val="21"/>
              </w:rPr>
            </w:pPr>
            <w:hyperlink r:id="rId14" w:history="1">
              <w:r w:rsidR="002D54D3">
                <w:rPr>
                  <w:rFonts w:ascii="Arial" w:hAnsi="Arial" w:cs="Arial"/>
                  <w:b/>
                  <w:sz w:val="21"/>
                  <w:szCs w:val="21"/>
                  <w:u w:val="single" w:color="93D500" w:themeColor="accent1"/>
                </w:rPr>
                <w:t>nishant.mehta@guidehouse.com</w:t>
              </w:r>
            </w:hyperlink>
          </w:p>
        </w:tc>
      </w:tr>
    </w:tbl>
    <w:p w14:paraId="632FA779" w14:textId="77777777" w:rsidR="004F7FFD" w:rsidRPr="00CE32C9" w:rsidRDefault="004F7FFD">
      <w:pPr>
        <w:pStyle w:val="Contactinfo"/>
        <w:rPr>
          <w:rFonts w:cs="Arial"/>
          <w:sz w:val="20"/>
        </w:rPr>
      </w:pPr>
    </w:p>
    <w:p w14:paraId="3638B1E3" w14:textId="77777777" w:rsidR="004F7FFD" w:rsidRPr="00CE32C9" w:rsidRDefault="004F7FFD">
      <w:pPr>
        <w:rPr>
          <w:rFonts w:ascii="Arial" w:hAnsi="Arial" w:cs="Arial"/>
          <w:sz w:val="20"/>
          <w:szCs w:val="20"/>
        </w:rPr>
      </w:pPr>
      <w:r w:rsidRPr="00CE32C9">
        <w:rPr>
          <w:rFonts w:ascii="Arial" w:hAnsi="Arial" w:cs="Arial"/>
          <w:sz w:val="20"/>
          <w:szCs w:val="20"/>
        </w:rPr>
        <w:t xml:space="preserve">This report was prepared by Guidehouse for ComEd. The work presented in this report represents </w:t>
      </w:r>
      <w:proofErr w:type="spellStart"/>
      <w:r w:rsidRPr="00CE32C9">
        <w:rPr>
          <w:rFonts w:ascii="Arial" w:hAnsi="Arial" w:cs="Arial"/>
          <w:sz w:val="20"/>
          <w:szCs w:val="20"/>
        </w:rPr>
        <w:t>Guidehouse’s</w:t>
      </w:r>
      <w:proofErr w:type="spellEnd"/>
      <w:r w:rsidRPr="00CE32C9">
        <w:rPr>
          <w:rFonts w:ascii="Arial" w:hAnsi="Arial" w:cs="Arial"/>
          <w:sz w:val="20"/>
          <w:szCs w:val="20"/>
        </w:rPr>
        <w:t xml:space="preserve">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9D0AD9A" w14:textId="5CDDF08D" w:rsidR="004F7FFD" w:rsidRPr="00CE32C9" w:rsidRDefault="004F7FFD">
      <w:pPr>
        <w:rPr>
          <w:rFonts w:ascii="Arial" w:hAnsi="Arial" w:cs="Arial"/>
          <w:sz w:val="20"/>
          <w:szCs w:val="20"/>
        </w:rPr>
      </w:pPr>
    </w:p>
    <w:p w14:paraId="6A1C0B66" w14:textId="77777777" w:rsidR="004F7FFD" w:rsidRDefault="004F7FFD">
      <w:pPr>
        <w:suppressAutoHyphens w:val="0"/>
        <w:spacing w:before="0" w:after="0"/>
      </w:pPr>
    </w:p>
    <w:p w14:paraId="79139DA4" w14:textId="77777777" w:rsidR="004F7FFD" w:rsidRDefault="004F7FFD">
      <w:pPr>
        <w:suppressAutoHyphens w:val="0"/>
        <w:spacing w:before="0" w:after="0"/>
        <w:rPr>
          <w:rFonts w:ascii="Arial" w:eastAsia="Calibri" w:hAnsi="Arial"/>
          <w:b/>
          <w:i/>
          <w:sz w:val="44"/>
          <w:szCs w:val="22"/>
        </w:rPr>
        <w:sectPr w:rsidR="004F7FFD">
          <w:headerReference w:type="default" r:id="rId15"/>
          <w:footerReference w:type="default" r:id="rId16"/>
          <w:headerReference w:type="first" r:id="rId17"/>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55A0D937" w14:textId="4B645703" w:rsidR="004F7FFD" w:rsidRDefault="004F7FFD">
      <w:pPr>
        <w:pStyle w:val="TOCHeading"/>
      </w:pPr>
      <w:r>
        <w:lastRenderedPageBreak/>
        <w:t>Table of Contents</w:t>
      </w:r>
      <w:bookmarkEnd w:id="1"/>
      <w:bookmarkEnd w:id="2"/>
    </w:p>
    <w:p w14:paraId="1A9849FF" w14:textId="4C795543" w:rsidR="006A0931" w:rsidRDefault="004F7FFD">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91554848" w:history="1">
        <w:r w:rsidR="006A0931" w:rsidRPr="0087458F">
          <w:rPr>
            <w:rStyle w:val="Hyperlink"/>
            <w:noProof/>
          </w:rPr>
          <w:t>Introduction</w:t>
        </w:r>
        <w:r w:rsidR="006A0931">
          <w:rPr>
            <w:noProof/>
            <w:webHidden/>
          </w:rPr>
          <w:tab/>
        </w:r>
        <w:r w:rsidR="006A0931">
          <w:rPr>
            <w:noProof/>
            <w:webHidden/>
          </w:rPr>
          <w:fldChar w:fldCharType="begin"/>
        </w:r>
        <w:r w:rsidR="006A0931">
          <w:rPr>
            <w:noProof/>
            <w:webHidden/>
          </w:rPr>
          <w:instrText xml:space="preserve"> PAGEREF _Toc191554848 \h </w:instrText>
        </w:r>
        <w:r w:rsidR="006A0931">
          <w:rPr>
            <w:noProof/>
            <w:webHidden/>
          </w:rPr>
        </w:r>
        <w:r w:rsidR="006A0931">
          <w:rPr>
            <w:noProof/>
            <w:webHidden/>
          </w:rPr>
          <w:fldChar w:fldCharType="separate"/>
        </w:r>
        <w:r w:rsidR="006A0931">
          <w:rPr>
            <w:noProof/>
            <w:webHidden/>
          </w:rPr>
          <w:t>1</w:t>
        </w:r>
        <w:r w:rsidR="006A0931">
          <w:rPr>
            <w:noProof/>
            <w:webHidden/>
          </w:rPr>
          <w:fldChar w:fldCharType="end"/>
        </w:r>
      </w:hyperlink>
    </w:p>
    <w:p w14:paraId="5F5B7A6D" w14:textId="4C5AB11C" w:rsidR="006A0931" w:rsidRDefault="007C3BA7">
      <w:pPr>
        <w:pStyle w:val="TOC1"/>
        <w:rPr>
          <w:rFonts w:asciiTheme="minorHAnsi" w:eastAsiaTheme="minorEastAsia" w:hAnsiTheme="minorHAnsi" w:cstheme="minorBidi"/>
          <w:b w:val="0"/>
          <w:noProof/>
          <w:kern w:val="2"/>
          <w14:ligatures w14:val="standardContextual"/>
        </w:rPr>
      </w:pPr>
      <w:hyperlink w:anchor="_Toc191554849" w:history="1">
        <w:r w:rsidR="006A0931" w:rsidRPr="0087458F">
          <w:rPr>
            <w:rStyle w:val="Hyperlink"/>
            <w:noProof/>
          </w:rPr>
          <w:t>Program Savings Detail</w:t>
        </w:r>
        <w:r w:rsidR="006A0931">
          <w:rPr>
            <w:noProof/>
            <w:webHidden/>
          </w:rPr>
          <w:tab/>
        </w:r>
        <w:r w:rsidR="006A0931">
          <w:rPr>
            <w:noProof/>
            <w:webHidden/>
          </w:rPr>
          <w:fldChar w:fldCharType="begin"/>
        </w:r>
        <w:r w:rsidR="006A0931">
          <w:rPr>
            <w:noProof/>
            <w:webHidden/>
          </w:rPr>
          <w:instrText xml:space="preserve"> PAGEREF _Toc191554849 \h </w:instrText>
        </w:r>
        <w:r w:rsidR="006A0931">
          <w:rPr>
            <w:noProof/>
            <w:webHidden/>
          </w:rPr>
        </w:r>
        <w:r w:rsidR="006A0931">
          <w:rPr>
            <w:noProof/>
            <w:webHidden/>
          </w:rPr>
          <w:fldChar w:fldCharType="separate"/>
        </w:r>
        <w:r w:rsidR="006A0931">
          <w:rPr>
            <w:noProof/>
            <w:webHidden/>
          </w:rPr>
          <w:t>1</w:t>
        </w:r>
        <w:r w:rsidR="006A0931">
          <w:rPr>
            <w:noProof/>
            <w:webHidden/>
          </w:rPr>
          <w:fldChar w:fldCharType="end"/>
        </w:r>
      </w:hyperlink>
    </w:p>
    <w:p w14:paraId="537489AE" w14:textId="4C5CEBD1" w:rsidR="006A0931" w:rsidRDefault="007C3BA7">
      <w:pPr>
        <w:pStyle w:val="TOC1"/>
        <w:rPr>
          <w:rFonts w:asciiTheme="minorHAnsi" w:eastAsiaTheme="minorEastAsia" w:hAnsiTheme="minorHAnsi" w:cstheme="minorBidi"/>
          <w:b w:val="0"/>
          <w:noProof/>
          <w:kern w:val="2"/>
          <w14:ligatures w14:val="standardContextual"/>
        </w:rPr>
      </w:pPr>
      <w:hyperlink w:anchor="_Toc191554850" w:history="1">
        <w:r w:rsidR="006A0931" w:rsidRPr="0087458F">
          <w:rPr>
            <w:rStyle w:val="Hyperlink"/>
            <w:noProof/>
          </w:rPr>
          <w:t>Cumulative Persisting Annual Savings</w:t>
        </w:r>
        <w:r w:rsidR="006A0931">
          <w:rPr>
            <w:noProof/>
            <w:webHidden/>
          </w:rPr>
          <w:tab/>
        </w:r>
        <w:r w:rsidR="006A0931">
          <w:rPr>
            <w:noProof/>
            <w:webHidden/>
          </w:rPr>
          <w:fldChar w:fldCharType="begin"/>
        </w:r>
        <w:r w:rsidR="006A0931">
          <w:rPr>
            <w:noProof/>
            <w:webHidden/>
          </w:rPr>
          <w:instrText xml:space="preserve"> PAGEREF _Toc191554850 \h </w:instrText>
        </w:r>
        <w:r w:rsidR="006A0931">
          <w:rPr>
            <w:noProof/>
            <w:webHidden/>
          </w:rPr>
        </w:r>
        <w:r w:rsidR="006A0931">
          <w:rPr>
            <w:noProof/>
            <w:webHidden/>
          </w:rPr>
          <w:fldChar w:fldCharType="separate"/>
        </w:r>
        <w:r w:rsidR="006A0931">
          <w:rPr>
            <w:noProof/>
            <w:webHidden/>
          </w:rPr>
          <w:t>1</w:t>
        </w:r>
        <w:r w:rsidR="006A0931">
          <w:rPr>
            <w:noProof/>
            <w:webHidden/>
          </w:rPr>
          <w:fldChar w:fldCharType="end"/>
        </w:r>
      </w:hyperlink>
    </w:p>
    <w:p w14:paraId="20B02861" w14:textId="38D2A922" w:rsidR="004F7FFD" w:rsidRDefault="004F7FFD">
      <w:pPr>
        <w:pStyle w:val="GHBodytext"/>
      </w:pPr>
      <w:r>
        <w:fldChar w:fldCharType="end"/>
      </w:r>
    </w:p>
    <w:p w14:paraId="232F876E" w14:textId="42B37B85" w:rsidR="004F7FFD" w:rsidRPr="00FA4A7C" w:rsidRDefault="004F7FFD">
      <w:pPr>
        <w:pStyle w:val="GHTOC"/>
      </w:pPr>
      <w:bookmarkStart w:id="3" w:name="_Toc181693456"/>
      <w:bookmarkStart w:id="4" w:name="_Toc181693477"/>
      <w:bookmarkStart w:id="5" w:name="_Toc186529826"/>
      <w:r>
        <w:t>List of Figures</w:t>
      </w:r>
      <w:bookmarkEnd w:id="3"/>
      <w:bookmarkEnd w:id="4"/>
      <w:bookmarkEnd w:id="5"/>
    </w:p>
    <w:p w14:paraId="6773D2E6" w14:textId="3D1B3AE1" w:rsidR="006A0931" w:rsidRDefault="004F7FFD">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91554854" w:history="1">
        <w:r w:rsidR="006A0931" w:rsidRPr="001118E9">
          <w:rPr>
            <w:rStyle w:val="Hyperlink"/>
            <w:noProof/>
          </w:rPr>
          <w:t>Figure 1. Verified Net Savings by Measure – Electric</w:t>
        </w:r>
        <w:r w:rsidR="006A0931">
          <w:rPr>
            <w:noProof/>
            <w:webHidden/>
          </w:rPr>
          <w:tab/>
        </w:r>
        <w:r w:rsidR="006A0931">
          <w:rPr>
            <w:noProof/>
            <w:webHidden/>
          </w:rPr>
          <w:fldChar w:fldCharType="begin"/>
        </w:r>
        <w:r w:rsidR="006A0931">
          <w:rPr>
            <w:noProof/>
            <w:webHidden/>
          </w:rPr>
          <w:instrText xml:space="preserve"> PAGEREF _Toc191554854 \h </w:instrText>
        </w:r>
        <w:r w:rsidR="006A0931">
          <w:rPr>
            <w:noProof/>
            <w:webHidden/>
          </w:rPr>
        </w:r>
        <w:r w:rsidR="006A0931">
          <w:rPr>
            <w:noProof/>
            <w:webHidden/>
          </w:rPr>
          <w:fldChar w:fldCharType="separate"/>
        </w:r>
        <w:r w:rsidR="006A0931">
          <w:rPr>
            <w:noProof/>
            <w:webHidden/>
          </w:rPr>
          <w:t>3</w:t>
        </w:r>
        <w:r w:rsidR="006A0931">
          <w:rPr>
            <w:noProof/>
            <w:webHidden/>
          </w:rPr>
          <w:fldChar w:fldCharType="end"/>
        </w:r>
      </w:hyperlink>
    </w:p>
    <w:p w14:paraId="0F310DA1" w14:textId="616EA715" w:rsidR="004F7FFD" w:rsidRDefault="004F7FFD">
      <w:pPr>
        <w:pStyle w:val="GHBodytext"/>
        <w:tabs>
          <w:tab w:val="right" w:pos="9360"/>
        </w:tabs>
      </w:pPr>
      <w:r>
        <w:rPr>
          <w:b/>
        </w:rPr>
        <w:fldChar w:fldCharType="end"/>
      </w:r>
    </w:p>
    <w:p w14:paraId="09D0FB05" w14:textId="1E2BF7AA" w:rsidR="004F7FFD" w:rsidRDefault="004F7FFD">
      <w:pPr>
        <w:pStyle w:val="GHTOC"/>
      </w:pPr>
      <w:bookmarkStart w:id="6" w:name="_Toc181693457"/>
      <w:bookmarkStart w:id="7" w:name="_Toc181693478"/>
      <w:bookmarkStart w:id="8" w:name="_Toc186529827"/>
      <w:r>
        <w:t>List of Tables</w:t>
      </w:r>
      <w:bookmarkEnd w:id="6"/>
      <w:bookmarkEnd w:id="7"/>
      <w:bookmarkEnd w:id="8"/>
    </w:p>
    <w:p w14:paraId="0508D766" w14:textId="5D2EECC5" w:rsidR="006A0931" w:rsidRDefault="004F7FFD">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91554964" w:history="1">
        <w:r w:rsidR="006A0931" w:rsidRPr="006E46E9">
          <w:rPr>
            <w:rStyle w:val="Hyperlink"/>
            <w:noProof/>
          </w:rPr>
          <w:t>Table 1. Total Annual Incremental Electric Savings - Total</w:t>
        </w:r>
        <w:r w:rsidR="006A0931">
          <w:rPr>
            <w:noProof/>
            <w:webHidden/>
          </w:rPr>
          <w:tab/>
        </w:r>
        <w:r w:rsidR="006A0931">
          <w:rPr>
            <w:noProof/>
            <w:webHidden/>
          </w:rPr>
          <w:fldChar w:fldCharType="begin"/>
        </w:r>
        <w:r w:rsidR="006A0931">
          <w:rPr>
            <w:noProof/>
            <w:webHidden/>
          </w:rPr>
          <w:instrText xml:space="preserve"> PAGEREF _Toc191554964 \h </w:instrText>
        </w:r>
        <w:r w:rsidR="006A0931">
          <w:rPr>
            <w:noProof/>
            <w:webHidden/>
          </w:rPr>
        </w:r>
        <w:r w:rsidR="006A0931">
          <w:rPr>
            <w:noProof/>
            <w:webHidden/>
          </w:rPr>
          <w:fldChar w:fldCharType="separate"/>
        </w:r>
        <w:r w:rsidR="006A0931">
          <w:rPr>
            <w:noProof/>
            <w:webHidden/>
          </w:rPr>
          <w:t>1</w:t>
        </w:r>
        <w:r w:rsidR="006A0931">
          <w:rPr>
            <w:noProof/>
            <w:webHidden/>
          </w:rPr>
          <w:fldChar w:fldCharType="end"/>
        </w:r>
      </w:hyperlink>
    </w:p>
    <w:p w14:paraId="3F3C26F7" w14:textId="52D7ED66" w:rsidR="006A0931" w:rsidRDefault="007C3BA7">
      <w:pPr>
        <w:pStyle w:val="TableofFigures"/>
        <w:rPr>
          <w:rFonts w:asciiTheme="minorHAnsi" w:eastAsiaTheme="minorEastAsia" w:hAnsiTheme="minorHAnsi" w:cstheme="minorBidi"/>
          <w:noProof/>
          <w:kern w:val="2"/>
          <w14:ligatures w14:val="standardContextual"/>
        </w:rPr>
      </w:pPr>
      <w:hyperlink w:anchor="_Toc191554965" w:history="1">
        <w:r w:rsidR="006A0931" w:rsidRPr="006E46E9">
          <w:rPr>
            <w:rStyle w:val="Hyperlink"/>
            <w:noProof/>
          </w:rPr>
          <w:t>Table 2. CPAS – Electric</w:t>
        </w:r>
        <w:r w:rsidR="006A0931">
          <w:rPr>
            <w:noProof/>
            <w:webHidden/>
          </w:rPr>
          <w:tab/>
        </w:r>
        <w:r w:rsidR="006A0931">
          <w:rPr>
            <w:noProof/>
            <w:webHidden/>
          </w:rPr>
          <w:fldChar w:fldCharType="begin"/>
        </w:r>
        <w:r w:rsidR="006A0931">
          <w:rPr>
            <w:noProof/>
            <w:webHidden/>
          </w:rPr>
          <w:instrText xml:space="preserve"> PAGEREF _Toc191554965 \h </w:instrText>
        </w:r>
        <w:r w:rsidR="006A0931">
          <w:rPr>
            <w:noProof/>
            <w:webHidden/>
          </w:rPr>
        </w:r>
        <w:r w:rsidR="006A0931">
          <w:rPr>
            <w:noProof/>
            <w:webHidden/>
          </w:rPr>
          <w:fldChar w:fldCharType="separate"/>
        </w:r>
        <w:r w:rsidR="006A0931">
          <w:rPr>
            <w:noProof/>
            <w:webHidden/>
          </w:rPr>
          <w:t>1</w:t>
        </w:r>
        <w:r w:rsidR="006A0931">
          <w:rPr>
            <w:noProof/>
            <w:webHidden/>
          </w:rPr>
          <w:fldChar w:fldCharType="end"/>
        </w:r>
      </w:hyperlink>
    </w:p>
    <w:p w14:paraId="01AFB371" w14:textId="3DCC2A73" w:rsidR="006A0931" w:rsidRDefault="007C3BA7">
      <w:pPr>
        <w:pStyle w:val="TableofFigures"/>
        <w:rPr>
          <w:rFonts w:asciiTheme="minorHAnsi" w:eastAsiaTheme="minorEastAsia" w:hAnsiTheme="minorHAnsi" w:cstheme="minorBidi"/>
          <w:noProof/>
          <w:kern w:val="2"/>
          <w14:ligatures w14:val="standardContextual"/>
        </w:rPr>
      </w:pPr>
      <w:hyperlink w:anchor="_Toc191554966" w:history="1">
        <w:r w:rsidR="006A0931" w:rsidRPr="006E46E9">
          <w:rPr>
            <w:rStyle w:val="Hyperlink"/>
            <w:noProof/>
          </w:rPr>
          <w:t>Table 3. CPAS – Other Fuel (Gas + Propane)</w:t>
        </w:r>
        <w:r w:rsidR="006A0931">
          <w:rPr>
            <w:noProof/>
            <w:webHidden/>
          </w:rPr>
          <w:tab/>
        </w:r>
        <w:r w:rsidR="006A0931">
          <w:rPr>
            <w:noProof/>
            <w:webHidden/>
          </w:rPr>
          <w:fldChar w:fldCharType="begin"/>
        </w:r>
        <w:r w:rsidR="006A0931">
          <w:rPr>
            <w:noProof/>
            <w:webHidden/>
          </w:rPr>
          <w:instrText xml:space="preserve"> PAGEREF _Toc191554966 \h </w:instrText>
        </w:r>
        <w:r w:rsidR="006A0931">
          <w:rPr>
            <w:noProof/>
            <w:webHidden/>
          </w:rPr>
        </w:r>
        <w:r w:rsidR="006A0931">
          <w:rPr>
            <w:noProof/>
            <w:webHidden/>
          </w:rPr>
          <w:fldChar w:fldCharType="separate"/>
        </w:r>
        <w:r w:rsidR="006A0931">
          <w:rPr>
            <w:noProof/>
            <w:webHidden/>
          </w:rPr>
          <w:t>1</w:t>
        </w:r>
        <w:r w:rsidR="006A0931">
          <w:rPr>
            <w:noProof/>
            <w:webHidden/>
          </w:rPr>
          <w:fldChar w:fldCharType="end"/>
        </w:r>
      </w:hyperlink>
    </w:p>
    <w:p w14:paraId="4C83A422" w14:textId="53C7C17B" w:rsidR="006A0931" w:rsidRDefault="007C3BA7">
      <w:pPr>
        <w:pStyle w:val="TableofFigures"/>
        <w:rPr>
          <w:rFonts w:asciiTheme="minorHAnsi" w:eastAsiaTheme="minorEastAsia" w:hAnsiTheme="minorHAnsi" w:cstheme="minorBidi"/>
          <w:noProof/>
          <w:kern w:val="2"/>
          <w14:ligatures w14:val="standardContextual"/>
        </w:rPr>
      </w:pPr>
      <w:hyperlink w:anchor="_Toc191554967" w:history="1">
        <w:r w:rsidR="006A0931" w:rsidRPr="006E46E9">
          <w:rPr>
            <w:rStyle w:val="Hyperlink"/>
            <w:noProof/>
          </w:rPr>
          <w:t>Table 4. CPAS – Total</w:t>
        </w:r>
        <w:r w:rsidR="006A0931">
          <w:rPr>
            <w:noProof/>
            <w:webHidden/>
          </w:rPr>
          <w:tab/>
        </w:r>
        <w:r w:rsidR="006A0931">
          <w:rPr>
            <w:noProof/>
            <w:webHidden/>
          </w:rPr>
          <w:fldChar w:fldCharType="begin"/>
        </w:r>
        <w:r w:rsidR="006A0931">
          <w:rPr>
            <w:noProof/>
            <w:webHidden/>
          </w:rPr>
          <w:instrText xml:space="preserve"> PAGEREF _Toc191554967 \h </w:instrText>
        </w:r>
        <w:r w:rsidR="006A0931">
          <w:rPr>
            <w:noProof/>
            <w:webHidden/>
          </w:rPr>
        </w:r>
        <w:r w:rsidR="006A0931">
          <w:rPr>
            <w:noProof/>
            <w:webHidden/>
          </w:rPr>
          <w:fldChar w:fldCharType="separate"/>
        </w:r>
        <w:r w:rsidR="006A0931">
          <w:rPr>
            <w:noProof/>
            <w:webHidden/>
          </w:rPr>
          <w:t>2</w:t>
        </w:r>
        <w:r w:rsidR="006A0931">
          <w:rPr>
            <w:noProof/>
            <w:webHidden/>
          </w:rPr>
          <w:fldChar w:fldCharType="end"/>
        </w:r>
      </w:hyperlink>
    </w:p>
    <w:p w14:paraId="086D5527" w14:textId="713C7B07" w:rsidR="004F7FFD" w:rsidRPr="00FA4A7C" w:rsidRDefault="004F7FFD">
      <w:r>
        <w:fldChar w:fldCharType="end"/>
      </w:r>
      <w:bookmarkStart w:id="9" w:name="_Toc151371877"/>
      <w:bookmarkStart w:id="10" w:name="_Toc181693463"/>
      <w:bookmarkStart w:id="11" w:name="_Toc181693484"/>
    </w:p>
    <w:p w14:paraId="7716ABE6" w14:textId="77777777" w:rsidR="004F7FFD" w:rsidRDefault="004F7FFD">
      <w:pPr>
        <w:suppressAutoHyphens w:val="0"/>
        <w:spacing w:before="0" w:after="0"/>
        <w:rPr>
          <w:rFonts w:ascii="Arial" w:eastAsia="Calibri" w:hAnsi="Arial"/>
          <w:b/>
          <w:sz w:val="32"/>
          <w:szCs w:val="22"/>
        </w:rPr>
        <w:sectPr w:rsidR="004F7FFD">
          <w:pgSz w:w="12240" w:h="15840" w:code="1"/>
          <w:pgMar w:top="1440" w:right="1440" w:bottom="1440" w:left="1440" w:header="720" w:footer="720" w:gutter="0"/>
          <w:pgNumType w:start="1"/>
          <w:cols w:space="720"/>
          <w:docGrid w:linePitch="360"/>
        </w:sectPr>
      </w:pPr>
    </w:p>
    <w:p w14:paraId="33A1CCEA" w14:textId="77777777" w:rsidR="004F7FFD" w:rsidRDefault="004F7FFD">
      <w:pPr>
        <w:pStyle w:val="Heading10"/>
      </w:pPr>
      <w:bookmarkStart w:id="12" w:name="_Toc151976667"/>
      <w:bookmarkStart w:id="13" w:name="_Toc191554848"/>
      <w:bookmarkEnd w:id="9"/>
      <w:bookmarkEnd w:id="10"/>
      <w:bookmarkEnd w:id="11"/>
      <w:r>
        <w:lastRenderedPageBreak/>
        <w:t>Introduction</w:t>
      </w:r>
      <w:bookmarkEnd w:id="12"/>
      <w:bookmarkEnd w:id="13"/>
    </w:p>
    <w:p w14:paraId="613EEAD2" w14:textId="012F4537" w:rsidR="004F7FFD" w:rsidRPr="00D937E4" w:rsidRDefault="004F7FFD">
      <w:pPr>
        <w:pStyle w:val="BodyText"/>
      </w:pPr>
      <w:r w:rsidRPr="00F64B8B">
        <w:t xml:space="preserve">This report presents </w:t>
      </w:r>
      <w:r>
        <w:t xml:space="preserve">the results of the impact evaluation of the </w:t>
      </w:r>
      <w:r w:rsidR="002D54D3">
        <w:t xml:space="preserve">Small Business </w:t>
      </w:r>
      <w:r>
        <w:t>program from the program year from January 1 to December 31, 2024 (CY2024)</w:t>
      </w:r>
      <w:r w:rsidRPr="00B52A58">
        <w:t xml:space="preserve">. </w:t>
      </w:r>
      <w:r>
        <w:t xml:space="preserve">The program was designed </w:t>
      </w:r>
      <w:r w:rsidR="002D54D3">
        <w:t>to assist qualified ComEd private and public sector non-residential customers</w:t>
      </w:r>
      <w:r w:rsidR="002D54D3" w:rsidRPr="00A33C33">
        <w:rPr>
          <w:vertAlign w:val="superscript"/>
        </w:rPr>
        <w:footnoteReference w:id="2"/>
      </w:r>
      <w:r w:rsidR="002D54D3">
        <w:t xml:space="preserve"> in achieving electric energy savings. The program educates these customers about energy efficiency opportunities through no-cost onsite energy </w:t>
      </w:r>
      <w:r w:rsidR="002D54D3" w:rsidRPr="00947CDB">
        <w:t>assessments conducted by authorized, specially trained</w:t>
      </w:r>
      <w:r w:rsidR="002D54D3">
        <w:t xml:space="preserve"> Energy Efficiency Service Providers</w:t>
      </w:r>
      <w:r w:rsidR="002D54D3" w:rsidRPr="00947CDB">
        <w:t xml:space="preserve"> </w:t>
      </w:r>
      <w:r w:rsidR="002D54D3">
        <w:t>(</w:t>
      </w:r>
      <w:r w:rsidR="002D54D3" w:rsidRPr="00947CDB">
        <w:t>EESPs</w:t>
      </w:r>
      <w:r w:rsidR="002D54D3">
        <w:t>)</w:t>
      </w:r>
      <w:r w:rsidR="002D54D3" w:rsidRPr="00947CDB">
        <w:t xml:space="preserve"> and installs no-cost direct install measures.</w:t>
      </w:r>
      <w:r w:rsidR="002D54D3" w:rsidRPr="00947CDB">
        <w:rPr>
          <w:vertAlign w:val="superscript"/>
        </w:rPr>
        <w:footnoteReference w:id="3"/>
      </w:r>
      <w:r w:rsidR="002D54D3" w:rsidRPr="00947CDB">
        <w:t xml:space="preserve"> Further savings are available to participating customers through incentives of 30%-75% </w:t>
      </w:r>
      <w:r w:rsidR="006525EF">
        <w:t xml:space="preserve">of the project cost </w:t>
      </w:r>
      <w:r w:rsidR="002D54D3" w:rsidRPr="00947CDB">
        <w:t>offered for select contractor-installed measures.</w:t>
      </w:r>
      <w:r w:rsidR="002D54D3" w:rsidRPr="00947CDB">
        <w:rPr>
          <w:vertAlign w:val="superscript"/>
        </w:rPr>
        <w:footnoteReference w:id="4"/>
      </w:r>
    </w:p>
    <w:p w14:paraId="512F9101" w14:textId="77777777" w:rsidR="004F7FFD" w:rsidRDefault="004F7FFD">
      <w:pPr>
        <w:pStyle w:val="Heading10"/>
      </w:pPr>
      <w:bookmarkStart w:id="15" w:name="_Toc151976668"/>
      <w:bookmarkStart w:id="16" w:name="_Toc191554849"/>
      <w:r>
        <w:t>Program Savings Detail</w:t>
      </w:r>
      <w:bookmarkEnd w:id="15"/>
      <w:bookmarkEnd w:id="16"/>
    </w:p>
    <w:bookmarkStart w:id="17" w:name="_Hlk117035428"/>
    <w:p w14:paraId="62A61C5D" w14:textId="16ADBAD6" w:rsidR="004F7FFD" w:rsidRDefault="004F7FFD">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7"/>
      <w:r w:rsidRPr="008E2DD7">
        <w:t xml:space="preserve"> summarizes the incremental energy and demand savings the </w:t>
      </w:r>
      <w:r w:rsidR="00B81C0F">
        <w:t>Small Business</w:t>
      </w:r>
      <w:r w:rsidRPr="008E2DD7">
        <w:t xml:space="preserve"> Program achieved in CY202</w:t>
      </w:r>
      <w:r>
        <w:t>4</w:t>
      </w:r>
      <w:r w:rsidRPr="008E2DD7">
        <w:t>. The gas</w:t>
      </w:r>
      <w:r>
        <w:t xml:space="preserve"> or other fuel</w:t>
      </w:r>
      <w:r w:rsidRPr="008E2DD7">
        <w:t xml:space="preserve"> savings are only those that ComEd may be able to claim</w:t>
      </w:r>
      <w:r w:rsidR="006A0931">
        <w:t xml:space="preserve"> as this is a</w:t>
      </w:r>
      <w:r w:rsidRPr="008E2DD7">
        <w:t xml:space="preserve"> non-joint program.</w:t>
      </w:r>
      <w:r w:rsidRPr="008E2DD7">
        <w:rPr>
          <w:rStyle w:val="FootnoteReference"/>
        </w:rPr>
        <w:footnoteReference w:id="5"/>
      </w:r>
      <w:r w:rsidRPr="008E2DD7">
        <w:t xml:space="preserve"> </w:t>
      </w:r>
    </w:p>
    <w:p w14:paraId="05F42E53" w14:textId="7340F7B6" w:rsidR="004F7FFD" w:rsidRDefault="004F7FFD">
      <w:pPr>
        <w:pStyle w:val="Caption"/>
      </w:pPr>
      <w:bookmarkStart w:id="18" w:name="_Ref482008337"/>
      <w:bookmarkStart w:id="19" w:name="_Toc398546653"/>
      <w:bookmarkStart w:id="20" w:name="_Toc423009515"/>
      <w:bookmarkStart w:id="21" w:name="_Toc426278633"/>
      <w:bookmarkStart w:id="22" w:name="_Toc88241752"/>
      <w:bookmarkStart w:id="23" w:name="_Toc159919732"/>
      <w:bookmarkStart w:id="24" w:name="_Toc191554964"/>
      <w:r>
        <w:t xml:space="preserve">Table </w:t>
      </w:r>
      <w:r>
        <w:fldChar w:fldCharType="begin"/>
      </w:r>
      <w:r>
        <w:instrText>SEQ Table \* ARABIC</w:instrText>
      </w:r>
      <w:r>
        <w:fldChar w:fldCharType="separate"/>
      </w:r>
      <w:r>
        <w:rPr>
          <w:noProof/>
        </w:rPr>
        <w:t>1</w:t>
      </w:r>
      <w:r>
        <w:fldChar w:fldCharType="end"/>
      </w:r>
      <w:bookmarkEnd w:id="18"/>
      <w:r w:rsidRPr="00F7087A">
        <w:t>. Total Annual Incremen</w:t>
      </w:r>
      <w:r>
        <w:t>t</w:t>
      </w:r>
      <w:r w:rsidRPr="00F7087A">
        <w:t>al Electric Savings</w:t>
      </w:r>
      <w:bookmarkEnd w:id="19"/>
      <w:bookmarkEnd w:id="20"/>
      <w:bookmarkEnd w:id="21"/>
      <w:bookmarkEnd w:id="22"/>
      <w:r>
        <w:t xml:space="preserve"> - Total</w:t>
      </w:r>
      <w:bookmarkStart w:id="25" w:name="Table_1"/>
      <w:bookmarkEnd w:id="23"/>
      <w:bookmarkEnd w:id="24"/>
      <w:bookmarkEnd w:id="25"/>
    </w:p>
    <w:tbl>
      <w:tblPr>
        <w:tblW w:w="5000" w:type="pct"/>
        <w:jc w:val="center"/>
        <w:tblLook w:val="0420" w:firstRow="1" w:lastRow="0" w:firstColumn="0" w:lastColumn="0" w:noHBand="0" w:noVBand="1"/>
      </w:tblPr>
      <w:tblGrid>
        <w:gridCol w:w="2016"/>
        <w:gridCol w:w="325"/>
        <w:gridCol w:w="989"/>
        <w:gridCol w:w="1077"/>
        <w:gridCol w:w="985"/>
        <w:gridCol w:w="1010"/>
        <w:gridCol w:w="1004"/>
        <w:gridCol w:w="1004"/>
        <w:gridCol w:w="950"/>
      </w:tblGrid>
      <w:tr w:rsidR="00253659" w14:paraId="26C0C913" w14:textId="77777777" w:rsidTr="00C326DC">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EBE752B"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A1EDBA"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E29E31F"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FADAFA"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DAF83EE"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1653CDE"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DCF0C8"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0E0438"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AC4B0D6"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253659" w14:paraId="5E2DA996" w14:textId="77777777" w:rsidTr="00C326DC">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EB4BE"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8CADD"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B8B6E"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222,088,414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10BA47"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6FBEE"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223,736,119</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BB8D8A"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1A3D3"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133,694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6B46F"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4FDEA"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213,513,037</w:t>
            </w:r>
          </w:p>
        </w:tc>
      </w:tr>
      <w:tr w:rsidR="00C326DC" w14:paraId="3EED9F0B" w14:textId="77777777" w:rsidTr="00C326DC">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FC672" w14:textId="77777777"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CCCEA" w14:textId="77777777"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E347A" w14:textId="77777777"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7,269,948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015BF" w14:textId="77777777"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F09BE" w14:textId="4E4186E1"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7,312,408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59131" w14:textId="77777777"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FF677" w14:textId="77777777"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AF2234" w14:textId="77777777" w:rsidR="00C326DC" w:rsidRDefault="00C326DC" w:rsidP="00C326D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BFD8D1" w14:textId="436D32CC" w:rsidR="00C326DC" w:rsidRDefault="00383753" w:rsidP="00C326D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7,146,382</w:t>
            </w:r>
          </w:p>
        </w:tc>
      </w:tr>
      <w:tr w:rsidR="00253659" w14:paraId="714B9AD6" w14:textId="77777777" w:rsidTr="00C326DC">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B5006"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proofErr w:type="gramStart"/>
            <w:r>
              <w:rPr>
                <w:rFonts w:ascii="Arial" w:eastAsia="DejaVu Sans" w:hAnsi="DejaVu Sans" w:cs="DejaVu Sans"/>
                <w:color w:val="000000"/>
                <w:sz w:val="14"/>
                <w:szCs w:val="14"/>
              </w:rPr>
              <w:t>from  Electrification</w:t>
            </w:r>
            <w:proofErr w:type="gramEnd"/>
            <w:r>
              <w:rPr>
                <w:rFonts w:ascii="Arial" w:eastAsia="DejaVu Sans" w:hAnsi="DejaVu Sans" w:cs="DejaVu Sans"/>
                <w:color w:val="000000"/>
                <w:sz w:val="14"/>
                <w:szCs w:val="14"/>
              </w:rPr>
              <w:t xml:space="preserve">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39C6A8"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6D1A8"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5DD78"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E0A5A"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FFCA7"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1C8A55"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3956E"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B8596E"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253659" w14:paraId="45661F7B" w14:textId="77777777" w:rsidTr="00C326DC">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007B0"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proofErr w:type="gramStart"/>
            <w:r>
              <w:rPr>
                <w:rFonts w:ascii="Arial" w:eastAsia="DejaVu Sans" w:hAnsi="DejaVu Sans" w:cs="DejaVu Sans"/>
                <w:color w:val="000000"/>
                <w:sz w:val="14"/>
                <w:szCs w:val="14"/>
              </w:rPr>
              <w:t>from  Electrification</w:t>
            </w:r>
            <w:proofErr w:type="gramEnd"/>
            <w:r>
              <w:rPr>
                <w:rFonts w:ascii="Arial" w:eastAsia="DejaVu Sans" w:hAnsi="DejaVu Sans" w:cs="DejaVu Sans"/>
                <w:color w:val="000000"/>
                <w:sz w:val="14"/>
                <w:szCs w:val="14"/>
              </w:rPr>
              <w:t xml:space="preserve">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B3E632" w14:textId="77777777" w:rsidR="00253659" w:rsidRDefault="004F7FF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2DE5C"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695339"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AAFD0"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278D02"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598CC0"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96184"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ECE88" w14:textId="77777777" w:rsidR="00253659" w:rsidRDefault="0025365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0310A3" w14:paraId="4FAC6380" w14:textId="77777777" w:rsidTr="00C326DC">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2970F"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A1170"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7BBA3E"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229,358,363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4E471"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CB013" w14:textId="1281BC7B"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231,048,528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5B8778"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68D3C5"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109DB"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3CF82" w14:textId="76F084D9"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220,659,419</w:t>
            </w:r>
          </w:p>
        </w:tc>
      </w:tr>
      <w:tr w:rsidR="000310A3" w14:paraId="06C591D1" w14:textId="77777777" w:rsidTr="00C326DC">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7204F6"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51493"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348FB"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229,358,363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F3AF82"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0DE67" w14:textId="0CEAC75B"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231,190,755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0D688"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2F353"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133,694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2DA1C7" w14:textId="77777777"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414FA" w14:textId="16A6FB8C" w:rsidR="000310A3" w:rsidRDefault="000310A3" w:rsidP="000310A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220,659,419</w:t>
            </w:r>
          </w:p>
        </w:tc>
      </w:tr>
      <w:tr w:rsidR="00627911" w14:paraId="76880561" w14:textId="77777777" w:rsidTr="00C326DC">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77ADFB"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A52B8"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244332"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43,331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2B3A5"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2C304"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43,204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A056E2"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31DB45"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59E43"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855E85"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41,215</w:t>
            </w:r>
          </w:p>
        </w:tc>
      </w:tr>
      <w:tr w:rsidR="00627911" w14:paraId="7E00AE53" w14:textId="77777777" w:rsidTr="00C326DC">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435E30"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w:t>
            </w:r>
            <w:r>
              <w:rPr>
                <w:rFonts w:ascii="Arial" w:eastAsia="DejaVu Sans" w:hAnsi="DejaVu Sans" w:cs="DejaVu Sans"/>
                <w:color w:val="000000"/>
                <w:sz w:val="14"/>
                <w:szCs w:val="14"/>
              </w:rPr>
              <w:br/>
              <w:t xml:space="preserve">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812C55"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8E8AFF"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43,331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775BD7"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0AFCAE"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43,236</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8C742E"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51E1CE"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504E31"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D463AC" w14:textId="77777777" w:rsidR="00627911" w:rsidRDefault="00627911" w:rsidP="0062791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41,245</w:t>
            </w:r>
          </w:p>
        </w:tc>
      </w:tr>
    </w:tbl>
    <w:p w14:paraId="03A1DBA8" w14:textId="77777777" w:rsidR="004F7FFD" w:rsidRPr="0085537E" w:rsidRDefault="004F7FFD">
      <w:pPr>
        <w:pStyle w:val="TableFigureNote"/>
      </w:pPr>
      <w:r w:rsidRPr="0085537E">
        <w:lastRenderedPageBreak/>
        <w:t>N/A = not applicable (refers to a piece of data that cannot be produced or does not apply).</w:t>
      </w:r>
    </w:p>
    <w:p w14:paraId="737463AA" w14:textId="77777777" w:rsidR="004F7FFD" w:rsidRDefault="004F7FFD">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4F7FFD" w:rsidRDefault="004F7FFD">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4F7FFD" w:rsidRDefault="004F7FFD">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059D791B" w14:textId="77777777" w:rsidR="004F7FFD" w:rsidRDefault="004F7FFD">
      <w:pPr>
        <w:pStyle w:val="TableFigureNote"/>
      </w:pPr>
      <w:r>
        <w:t xml:space="preserve">§ Gas savings converted to kWh by multiplying Therms * 29.31 (which is based on 100,000 Btu/Therm and 3,412 Btu/kWh). The evaluation team will determine which gas savings will be converted to kWh and counted toward </w:t>
      </w:r>
      <w:proofErr w:type="spellStart"/>
      <w:r>
        <w:t>ComEd's</w:t>
      </w:r>
      <w:proofErr w:type="spellEnd"/>
      <w:r>
        <w:t xml:space="preserve"> electric savings goal while producing the portfolio-wide Summary Report. </w:t>
      </w:r>
    </w:p>
    <w:p w14:paraId="053BB989" w14:textId="77777777" w:rsidR="004F7FFD" w:rsidRDefault="004F7FFD">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w:t>
      </w:r>
      <w:proofErr w:type="spellStart"/>
      <w:r>
        <w:t>ComEd’s</w:t>
      </w:r>
      <w:proofErr w:type="spellEnd"/>
      <w:r>
        <w:t xml:space="preserve"> electric savings goal (applied to only midstream programs).</w:t>
      </w:r>
      <w:r>
        <w:rPr>
          <w:rStyle w:val="FootnoteReference"/>
        </w:rPr>
        <w:footnoteReference w:id="6"/>
      </w:r>
      <w:r>
        <w:t xml:space="preserve"> The evaluation team determined which electrification savings are allocated toward </w:t>
      </w:r>
      <w:proofErr w:type="spellStart"/>
      <w:r>
        <w:t>ComEd's</w:t>
      </w:r>
      <w:proofErr w:type="spellEnd"/>
      <w:r>
        <w:t xml:space="preserve"> electrification savings goal, and which portion of electrification are converted to traditional efficiency electric savings based on analysis of portfolio-wide verified savings.</w:t>
      </w:r>
    </w:p>
    <w:p w14:paraId="5F495D23" w14:textId="77777777" w:rsidR="004F7FFD" w:rsidRDefault="004F7FFD">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C86F38A" w14:textId="77777777" w:rsidR="004F7FFD" w:rsidRDefault="004F7FFD">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0039B739" w14:textId="77777777" w:rsidR="004F7FFD" w:rsidRDefault="004F7FFD">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7"/>
      </w:r>
    </w:p>
    <w:p w14:paraId="4136C120" w14:textId="77777777" w:rsidR="004F7FFD" w:rsidRPr="008812EE" w:rsidRDefault="004F7FFD">
      <w:pPr>
        <w:pStyle w:val="TableFigureSource"/>
      </w:pPr>
      <w:r w:rsidRPr="008812EE">
        <w:t>Source: Evaluation team analysis</w:t>
      </w:r>
    </w:p>
    <w:p w14:paraId="2BECFFC0" w14:textId="7ECBAC2B" w:rsidR="004F7FFD" w:rsidRDefault="004F7FFD">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 </w:t>
      </w:r>
      <w:r w:rsidRPr="004B16A6">
        <w:t>carryover</w:t>
      </w:r>
      <w:r>
        <w:t xml:space="preserve"> kWh,</w:t>
      </w:r>
      <w:r w:rsidR="006A0931">
        <w:t xml:space="preserve"> and</w:t>
      </w:r>
      <w:r>
        <w:t xml:space="preserve"> </w:t>
      </w:r>
      <w:r w:rsidRPr="004B16A6">
        <w:t>secondary water kWh</w:t>
      </w:r>
      <w:r w:rsidR="006A0931">
        <w:t xml:space="preserve"> </w:t>
      </w:r>
      <w:r w:rsidRPr="004B16A6">
        <w:t>savings. It</w:t>
      </w:r>
      <w:r>
        <w:t xml:space="preserve"> does not </w:t>
      </w:r>
      <w:r w:rsidRPr="004B16A6">
        <w:t xml:space="preserve">include </w:t>
      </w:r>
      <w:r>
        <w:t>other fuel</w:t>
      </w:r>
      <w:r w:rsidRPr="004B16A6">
        <w:t xml:space="preserve"> savings converted to kWh.</w:t>
      </w:r>
    </w:p>
    <w:p w14:paraId="5DF5E1E9" w14:textId="095596BD" w:rsidR="004F7FFD" w:rsidRDefault="004F7FFD">
      <w:pPr>
        <w:pStyle w:val="Caption"/>
      </w:pPr>
      <w:bookmarkStart w:id="26" w:name="_Ref117035780"/>
      <w:bookmarkStart w:id="27" w:name="_Toc151976678"/>
      <w:bookmarkStart w:id="28" w:name="_Toc191554854"/>
      <w:r>
        <w:lastRenderedPageBreak/>
        <w:t xml:space="preserve">Figure </w:t>
      </w:r>
      <w:r>
        <w:fldChar w:fldCharType="begin"/>
      </w:r>
      <w:r>
        <w:instrText>SEQ Figure \* ARABIC</w:instrText>
      </w:r>
      <w:r>
        <w:fldChar w:fldCharType="separate"/>
      </w:r>
      <w:r>
        <w:rPr>
          <w:noProof/>
        </w:rPr>
        <w:t>1</w:t>
      </w:r>
      <w:r>
        <w:fldChar w:fldCharType="end"/>
      </w:r>
      <w:bookmarkEnd w:id="26"/>
      <w:r>
        <w:t xml:space="preserve">. </w:t>
      </w:r>
      <w:r w:rsidRPr="2221D51B">
        <w:t>Verified Net Savings by Measure – Electric</w:t>
      </w:r>
      <w:bookmarkStart w:id="29" w:name="Figure_1"/>
      <w:bookmarkEnd w:id="27"/>
      <w:bookmarkEnd w:id="28"/>
      <w:bookmarkEnd w:id="29"/>
    </w:p>
    <w:p w14:paraId="7056A2D8" w14:textId="4F2C8F07" w:rsidR="00F73A23" w:rsidRDefault="00F73A23">
      <w:r>
        <w:rPr>
          <w:noProof/>
        </w:rPr>
        <w:drawing>
          <wp:inline distT="0" distB="0" distL="0" distR="0" wp14:anchorId="7B77D5B5" wp14:editId="0B91A92A">
            <wp:extent cx="59436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8" cstate="print"/>
                    <a:stretch>
                      <a:fillRect/>
                    </a:stretch>
                  </pic:blipFill>
                  <pic:spPr bwMode="auto">
                    <a:xfrm>
                      <a:off x="0" y="0"/>
                      <a:ext cx="5943600" cy="2743200"/>
                    </a:xfrm>
                    <a:prstGeom prst="rect">
                      <a:avLst/>
                    </a:prstGeom>
                    <a:noFill/>
                  </pic:spPr>
                </pic:pic>
              </a:graphicData>
            </a:graphic>
          </wp:inline>
        </w:drawing>
      </w:r>
    </w:p>
    <w:p w14:paraId="3CE89B42" w14:textId="77777777" w:rsidR="004F7FFD" w:rsidRDefault="004F7FFD">
      <w:pPr>
        <w:pStyle w:val="TableFigureSource"/>
      </w:pPr>
      <w:r w:rsidRPr="27A43C0E">
        <w:t>Source: Evaluation team analysis</w:t>
      </w:r>
    </w:p>
    <w:p w14:paraId="5621E44B" w14:textId="39248489" w:rsidR="004F7FFD" w:rsidRPr="00470CF3" w:rsidRDefault="004F7FFD">
      <w:pPr>
        <w:suppressAutoHyphens w:val="0"/>
        <w:spacing w:before="0" w:after="0"/>
        <w:rPr>
          <w:rFonts w:ascii="Arial" w:hAnsi="Arial"/>
          <w:sz w:val="22"/>
          <w:szCs w:val="20"/>
        </w:rPr>
      </w:pPr>
      <w:r>
        <w:br w:type="page"/>
      </w:r>
    </w:p>
    <w:p w14:paraId="792E6679" w14:textId="77777777" w:rsidR="004F7FFD" w:rsidRDefault="004F7FFD">
      <w:pPr>
        <w:pStyle w:val="Heading10"/>
        <w:sectPr w:rsidR="004F7FFD">
          <w:pgSz w:w="12240" w:h="15840" w:code="1"/>
          <w:pgMar w:top="1440" w:right="1440" w:bottom="1440" w:left="1440" w:header="720" w:footer="720" w:gutter="0"/>
          <w:pgNumType w:start="1"/>
          <w:cols w:space="720"/>
          <w:docGrid w:linePitch="360"/>
        </w:sectPr>
      </w:pPr>
      <w:bookmarkStart w:id="30" w:name="_Toc151976669"/>
    </w:p>
    <w:p w14:paraId="4299173B" w14:textId="77777777" w:rsidR="004F7FFD" w:rsidRDefault="004F7FFD">
      <w:pPr>
        <w:pStyle w:val="Heading10"/>
      </w:pPr>
      <w:bookmarkStart w:id="31" w:name="_Toc191554850"/>
      <w:r>
        <w:lastRenderedPageBreak/>
        <w:t>Cumulative Persisting Annual Savings</w:t>
      </w:r>
      <w:bookmarkEnd w:id="30"/>
      <w:bookmarkEnd w:id="31"/>
    </w:p>
    <w:p w14:paraId="23A068C7" w14:textId="0755B383" w:rsidR="004F7FFD" w:rsidRDefault="004F7FFD">
      <w:pPr>
        <w:pStyle w:val="BodyText"/>
      </w:pPr>
      <w:r>
        <w:fldChar w:fldCharType="begin"/>
      </w:r>
      <w:r>
        <w:instrText xml:space="preserve"> REF _Ref105417109 \h  \* MERGEFORMAT </w:instrText>
      </w:r>
      <w:r>
        <w:fldChar w:fldCharType="separate"/>
      </w:r>
      <w:r w:rsidR="006A0931">
        <w:t xml:space="preserve">Table </w:t>
      </w:r>
      <w:r w:rsidR="006A0931">
        <w:rPr>
          <w:noProof/>
        </w:rPr>
        <w:t>2</w:t>
      </w:r>
      <w:r>
        <w:fldChar w:fldCharType="end"/>
      </w:r>
      <w:r>
        <w:t xml:space="preserve"> to </w:t>
      </w:r>
      <w:r>
        <w:fldChar w:fldCharType="begin"/>
      </w:r>
      <w:r>
        <w:instrText xml:space="preserve"> REF _Ref105417145 \h  \* MERGEFORMAT </w:instrText>
      </w:r>
      <w:r>
        <w:fldChar w:fldCharType="separate"/>
      </w:r>
      <w:r w:rsidR="006A0931">
        <w:t xml:space="preserve">Table </w:t>
      </w:r>
      <w:r w:rsidR="006A0931">
        <w:rPr>
          <w:noProof/>
        </w:rPr>
        <w:t>4</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rsidR="006A0931">
        <w:t xml:space="preserve">Table </w:t>
      </w:r>
      <w:r w:rsidR="006A0931">
        <w:rPr>
          <w:noProof/>
        </w:rPr>
        <w:t>2</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rsidR="006A0931">
        <w:t xml:space="preserve">Table </w:t>
      </w:r>
      <w:r w:rsidR="006A0931">
        <w:rPr>
          <w:noProof/>
        </w:rPr>
        <w:t>3</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rsidR="006A0931">
        <w:t xml:space="preserve">Table </w:t>
      </w:r>
      <w:r w:rsidR="006A0931">
        <w:rPr>
          <w:noProof/>
        </w:rPr>
        <w:t>4</w:t>
      </w:r>
      <w:r>
        <w:fldChar w:fldCharType="end"/>
      </w:r>
      <w:r w:rsidRPr="00C752CF">
        <w:t>.</w:t>
      </w:r>
    </w:p>
    <w:p w14:paraId="10086E21" w14:textId="2F9D79A7" w:rsidR="004F7FFD" w:rsidRDefault="004F7FFD">
      <w:pPr>
        <w:pStyle w:val="Caption"/>
      </w:pPr>
      <w:bookmarkStart w:id="32" w:name="_Ref105417109"/>
      <w:bookmarkStart w:id="33" w:name="_Toc159919735"/>
      <w:bookmarkStart w:id="34" w:name="_Toc191554965"/>
      <w:r>
        <w:t xml:space="preserve">Table </w:t>
      </w:r>
      <w:r>
        <w:fldChar w:fldCharType="begin"/>
      </w:r>
      <w:r>
        <w:instrText>SEQ Table \* ARABIC</w:instrText>
      </w:r>
      <w:r>
        <w:fldChar w:fldCharType="separate"/>
      </w:r>
      <w:r w:rsidR="006A0931">
        <w:rPr>
          <w:noProof/>
        </w:rPr>
        <w:t>2</w:t>
      </w:r>
      <w:r>
        <w:fldChar w:fldCharType="end"/>
      </w:r>
      <w:bookmarkEnd w:id="32"/>
      <w:r>
        <w:t>. CPAS – Electric</w:t>
      </w:r>
      <w:bookmarkStart w:id="35" w:name="Table_4"/>
      <w:bookmarkEnd w:id="33"/>
      <w:bookmarkEnd w:id="34"/>
      <w:bookmarkEnd w:id="35"/>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0347A7" w14:paraId="600B5AEB" w14:textId="77777777" w:rsidTr="00661CE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587A47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FBD153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3E3AA5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0347A7" w14:paraId="177C68D4" w14:textId="77777777" w:rsidTr="00661CE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ABDED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917092"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09851ED"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8BD67A"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5AFD70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5D8A65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3725B6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296BBE"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1170C06"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C351E45"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CD6F99D"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32A685"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82B15C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EF6ED9"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0347A7" w14:paraId="5BB220D9" w14:textId="77777777" w:rsidTr="00661CE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CE595F"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74882"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223,878,347</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58981"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2,867,668,211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68F17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03D5F1"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33607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9380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B7739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D9EB73"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A9030"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213,513,036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A737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213,463,140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5CFAB1"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212,132,092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0A3D4E"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207,606,674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EAD7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202,074,856</w:t>
            </w:r>
          </w:p>
        </w:tc>
      </w:tr>
      <w:tr w:rsidR="000347A7" w14:paraId="55206BC1"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3048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11412"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9BC165"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5704C6"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196,963,232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F0BE6"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329,370,837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86D0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536,386,617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5B12F5"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751,380,221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33F6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1,000,715,528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D4631A"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1,216,463,844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AD2F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1,165,411,225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CCEA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1,145,072,314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0FD51"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1,112,331,598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2D0AF"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1,094,116,990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8CB59E"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1,046,100,543</w:t>
            </w:r>
          </w:p>
        </w:tc>
      </w:tr>
      <w:tr w:rsidR="000347A7" w14:paraId="13B1824A"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D2A09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83DD0"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223,878,347</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1836C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2,867,668,211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FAE89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196,963,232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A5A81"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329,370,837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EB253"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536,386,617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BDB1E"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751,380,221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1D3E2"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1,000,715,528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A519A"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1,216,463,844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996C3F"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1,378,924,261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DA648F"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1,358,535,454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509A3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1,324,463,690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908C6"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1,301,723,664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250C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1,248,175,399</w:t>
            </w:r>
          </w:p>
        </w:tc>
      </w:tr>
      <w:tr w:rsidR="000347A7" w14:paraId="57AA1DFD"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019DE"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D20FA"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71406"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C8181A"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162D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494080"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3C2E0A"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BF10A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F648F"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F1A64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84D3F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49,897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3E92A"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1,331,048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4F2EE"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4,525,418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788C46"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5,531,818</w:t>
            </w:r>
          </w:p>
        </w:tc>
      </w:tr>
      <w:tr w:rsidR="000347A7" w14:paraId="59A7D967"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4D547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E461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42A5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9A003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7DE75"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DEE1F"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4D6E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54C3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8A7E6D"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0F344"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51,052,619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13F1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20,338,910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EF2FC"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32,740,716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C70E9"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18,214,608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C4596E"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48,016,447</w:t>
            </w:r>
          </w:p>
        </w:tc>
      </w:tr>
      <w:tr w:rsidR="000347A7" w14:paraId="52F346E4" w14:textId="77777777" w:rsidTr="00661CE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4C3BC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9E28B1"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8C019D"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26D2C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7107F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4B693F"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11598D"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A52A85"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5D2847"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DEFE4B"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51,052,619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CE3633"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20,388,807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0209C8"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34,071,764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3E33E5"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22,740,026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59A3F1" w14:textId="77777777" w:rsidR="000347A7" w:rsidRDefault="000347A7"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53,548,265</w:t>
            </w:r>
          </w:p>
        </w:tc>
      </w:tr>
    </w:tbl>
    <w:p w14:paraId="439EBF93" w14:textId="77777777" w:rsidR="004F7FFD" w:rsidRDefault="004F7FFD">
      <w:pPr>
        <w:spacing w:before="0" w:after="0"/>
      </w:pPr>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274C8C" w14:paraId="3995CC64" w14:textId="77777777" w:rsidTr="00661CE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ABDB47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AC22B01"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5F8880D"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882786"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61207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2828F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B83F22"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5AC60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6CE49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8A8F6F"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AD649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F9222B"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0A0845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01EAB3"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274C8C" w14:paraId="6DC9BC05" w14:textId="77777777" w:rsidTr="00661CE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ED95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5B81A"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223,878,347</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485D5"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2,867,668,211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2EDB53"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198,486,534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0D9AB"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197,385,029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B4FC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195,426,713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0A39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194,121,573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1B6D1"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191,493,069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F68A2"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169,761,880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BE009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156,144,115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2996B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147,499,615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87DFF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134,752,703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7FFB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132,344,965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ADCE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27,692,540</w:t>
            </w:r>
          </w:p>
        </w:tc>
      </w:tr>
      <w:tr w:rsidR="00274C8C" w14:paraId="64C2959E"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3F02CD"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5B5D65"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1ACD53"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3B6A1"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1,028,784,267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2114A"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894,471,244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1DEC5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814,665,447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00C91A"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706,010,418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FE22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597,714,344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04E29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418,627,570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599A4"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318,019,281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3F9CD"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213,631,803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3036B"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110,529,346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06E076"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74,359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DD860"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60,478</w:t>
            </w:r>
          </w:p>
        </w:tc>
      </w:tr>
      <w:tr w:rsidR="00274C8C" w14:paraId="5CED256A"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2B7D3"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2E2E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223,878,347</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8B70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2,867,668,211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256F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1,227,270,801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F3041"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1,091,856,273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1ADE04"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1,010,092,161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42655"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900,131,991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FF4D6B"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789,207,413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49C0BC"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588,389,450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3D55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474,163,396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C8422"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361,131,419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5ED2A"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245,282,049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80B72"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132,419,324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BEE2D"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27,753,019</w:t>
            </w:r>
          </w:p>
        </w:tc>
      </w:tr>
      <w:tr w:rsidR="00274C8C" w14:paraId="42EDCE2E"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C1311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853A8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238B4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A3507A"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3,588,322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5333D0"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1,101,505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75DB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1,958,315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D34DA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1,305,140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5739DD"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2,628,505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53BB96"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21,731,189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503D5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13,617,766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DEFE6"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8,644,499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F9145C"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12,746,912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EE40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2,407,738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F2C92"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104,652,425</w:t>
            </w:r>
          </w:p>
        </w:tc>
      </w:tr>
      <w:tr w:rsidR="00274C8C" w14:paraId="0A1E4267"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0B9F31"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6E48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A050F"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00C725"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17,316,277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E4C735"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134,313,023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BB2441"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79,805,797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AAFF2"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108,655,029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CCB0F"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108,296,074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6A065"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179,086,774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4010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100,608,289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986E8B"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104,387,478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58DC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103,102,457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AD1B5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110,454,987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FECD7E"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13,881</w:t>
            </w:r>
          </w:p>
        </w:tc>
      </w:tr>
      <w:tr w:rsidR="00274C8C" w14:paraId="250076CB" w14:textId="77777777" w:rsidTr="00661CE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E624E9"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22E10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1F8FFA"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E339C4"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20,904,598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2C0D24"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135,414,528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00D800"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81,764,112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6B3B22"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109,960,169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C87DF7"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110,924,579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9534D1"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200,817,962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17DF5C"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114,226,054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E0B76C"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113,031,977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E977DB"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115,849,370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A813A8"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112,862,725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06DAB0" w14:textId="77777777" w:rsidR="00274C8C" w:rsidRDefault="00274C8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104,666,306</w:t>
            </w:r>
          </w:p>
        </w:tc>
      </w:tr>
    </w:tbl>
    <w:p w14:paraId="7C43443E" w14:textId="77777777" w:rsidR="00CE5317" w:rsidRDefault="00CE5317">
      <w:pPr>
        <w:pStyle w:val="TableFigureNote"/>
        <w:rPr>
          <w:rFonts w:eastAsiaTheme="minorEastAsia"/>
        </w:rPr>
      </w:pPr>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6B6E76" w14:paraId="1EACF338" w14:textId="77777777" w:rsidTr="00661CE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83D458"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75FB00"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2B1055"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1E64D9"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0F95BF"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F0B41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0392820"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BC52AB2"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03A4B0"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D1CC5A"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F997F6C"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BA2D4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767A48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1ECD0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6B6E76" w14:paraId="7F782CAE" w14:textId="77777777" w:rsidTr="00661CE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B651C"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2E519"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223,878,347</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FBC8B9"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2,867,668,211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503679"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46B4E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789F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4A67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C3061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CC5DC4"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60CC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943F2D"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86CDF"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85AAD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6B485"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B6E76" w14:paraId="1299A502"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7024D"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01DCF"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4863C"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E853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39,929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E850AA"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B558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C4E92"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EF18E"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5CF77"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95043D"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0633E"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7BF52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8926A"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5BDA8"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B6E76" w14:paraId="4931E77C"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5C0270"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64BD2"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223,878,347</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27758E"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2,867,668,211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5A04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8,236,560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1A50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8,199,228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48EA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8,197,503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7079D9"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8,197,503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FF5EFD"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8,197,503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BCBC7"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8,197,503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57028"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8,197,503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C605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8,197,503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697B3F"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9EC50"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B9D65"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B6E76" w14:paraId="56767335"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A57F1"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5C6E80"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7F5F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732FC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19,495,910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FC266E"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B149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1BB6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F0A0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07D72"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B93C27"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4597C8"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DCB7F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8B20B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2716F"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B6E76" w14:paraId="0B5C7710"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2EA7D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E90EE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CEE02"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3B0DE"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20,549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55354C"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EAA02A"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0F595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2BED7"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FF0F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CB3D5"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BECBE"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15D9F6"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7A14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27197"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B6E76" w14:paraId="72C7217C" w14:textId="77777777" w:rsidTr="00661CE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50660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67ADE8"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876524"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3FD0F8"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19,516,459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40B174"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37,332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E4968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701F73"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734729"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7DB534"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9D6667"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6E6772"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98334CB"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8D01F2"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8,196,631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909595" w14:textId="77777777" w:rsidR="006B6E76" w:rsidRDefault="006B6E7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7BBFDF05" w14:textId="77777777" w:rsidR="00CE5317" w:rsidRDefault="00CE5317">
      <w:pPr>
        <w:pStyle w:val="TableFigureNote"/>
        <w:rPr>
          <w:rFonts w:eastAsiaTheme="minorEastAsia"/>
        </w:rPr>
      </w:pPr>
    </w:p>
    <w:p w14:paraId="2E759DDD" w14:textId="1E674B49" w:rsidR="004F7FFD" w:rsidRPr="00C34E77" w:rsidRDefault="004F7FFD">
      <w:pPr>
        <w:pStyle w:val="TableFigureNote"/>
      </w:pPr>
      <w:r w:rsidRPr="00C34E77">
        <w:rPr>
          <w:rFonts w:eastAsiaTheme="minorEastAsia"/>
        </w:rPr>
        <w:t>† Lifetime savings are the sum of CPAS savings through the EUL.</w:t>
      </w:r>
    </w:p>
    <w:p w14:paraId="7135FD43" w14:textId="77777777" w:rsidR="004F7FFD" w:rsidRDefault="004F7FFD">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4F7FFD" w:rsidRPr="00C34E77" w:rsidRDefault="004F7FFD">
      <w:pPr>
        <w:pStyle w:val="TableFigureNote"/>
      </w:pPr>
      <w:r w:rsidRPr="00C34E77">
        <w:rPr>
          <w:rFonts w:eastAsiaTheme="minorEastAsia"/>
        </w:rPr>
        <w:t>§ Incremental expiring savings are equal to CPAS Yn-1 - CPAS Yn.</w:t>
      </w:r>
    </w:p>
    <w:p w14:paraId="5FC5C1BE" w14:textId="77777777" w:rsidR="004F7FFD" w:rsidRPr="00C34E77" w:rsidRDefault="004F7FFD">
      <w:pPr>
        <w:pStyle w:val="TableFigureNote"/>
      </w:pPr>
      <w:r w:rsidRPr="00C34E77">
        <w:rPr>
          <w:rFonts w:eastAsiaTheme="minorEastAsia"/>
        </w:rPr>
        <w:t>|| Historic incremental expiring savings are equal to Historic CPAS Yn-1 – Historic CPAS Yn.</w:t>
      </w:r>
    </w:p>
    <w:p w14:paraId="40A66E97" w14:textId="77777777" w:rsidR="004F7FFD" w:rsidRPr="00C34E77" w:rsidRDefault="004F7FFD">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4F7FFD" w:rsidRDefault="004F7FFD">
      <w:pPr>
        <w:pStyle w:val="TableFigureSource"/>
      </w:pPr>
      <w:r w:rsidRPr="00B361A6">
        <w:t>Source: Evaluation team analysis</w:t>
      </w:r>
    </w:p>
    <w:p w14:paraId="48063F23" w14:textId="0DB80BC2" w:rsidR="004F7FFD" w:rsidRDefault="004F7FFD">
      <w:pPr>
        <w:pStyle w:val="Caption"/>
      </w:pPr>
      <w:bookmarkStart w:id="36" w:name="_Ref105417178"/>
      <w:bookmarkStart w:id="37" w:name="_Toc159919736"/>
      <w:bookmarkStart w:id="38" w:name="_Toc191554966"/>
      <w:r>
        <w:t xml:space="preserve">Table </w:t>
      </w:r>
      <w:r>
        <w:fldChar w:fldCharType="begin"/>
      </w:r>
      <w:r>
        <w:instrText>SEQ Table \* ARABIC</w:instrText>
      </w:r>
      <w:r>
        <w:fldChar w:fldCharType="separate"/>
      </w:r>
      <w:r w:rsidR="006A0931">
        <w:rPr>
          <w:noProof/>
        </w:rPr>
        <w:t>3</w:t>
      </w:r>
      <w:r>
        <w:fldChar w:fldCharType="end"/>
      </w:r>
      <w:bookmarkEnd w:id="36"/>
      <w:r w:rsidRPr="00F7087A">
        <w:t xml:space="preserve">. CPAS – </w:t>
      </w:r>
      <w:r w:rsidRPr="00016EEF">
        <w:t>Other Fuel (Gas + Propane)</w:t>
      </w:r>
      <w:bookmarkStart w:id="39" w:name="Table_5"/>
      <w:bookmarkEnd w:id="37"/>
      <w:bookmarkEnd w:id="38"/>
      <w:bookmarkEnd w:id="39"/>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483B6C" w14:paraId="095C4D06" w14:textId="77777777" w:rsidTr="00661CE7">
        <w:trPr>
          <w:tblHeader/>
          <w:jc w:val="center"/>
        </w:trPr>
        <w:tc>
          <w:tcPr>
            <w:tcW w:w="747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42C4E52"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3456"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2C590E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Therms Savings</w:t>
            </w:r>
          </w:p>
        </w:tc>
        <w:tc>
          <w:tcPr>
            <w:tcW w:w="6048"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055DF1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483B6C" w14:paraId="4568AEE7" w14:textId="77777777" w:rsidTr="00661CE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03A69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81AA64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6AC1B2"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95AED1"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606A02"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1CF9FA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2C83B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C6BAB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F6864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8B272B"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6A6560"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BFFC0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2345E73"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E184DA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483B6C" w14:paraId="5C8A771F" w14:textId="77777777" w:rsidTr="00661CE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0AB19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B568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249,485</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44C9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2,087,485</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C2AB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401FE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49DF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DA7C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1B932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EA2388"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1C763"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243,821</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AF688"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243,821</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0A9E2"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204,588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1FAE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204,588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415F0"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204,588</w:t>
            </w:r>
          </w:p>
        </w:tc>
      </w:tr>
      <w:tr w:rsidR="00483B6C" w14:paraId="67D89795"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8BF7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73FC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7,312,408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47A56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A1BCB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D1467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A285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3A5FE8"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7E1A1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BB4018"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968F7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7,146,382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0BA625"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7,146,382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F1BD78"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5,996,478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E913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5,996,478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16B98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5,996,478</w:t>
            </w:r>
          </w:p>
        </w:tc>
      </w:tr>
      <w:tr w:rsidR="00483B6C" w14:paraId="19CD9D61"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C0EA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0B59F0"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861F6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0B79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9,794,779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402CF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21,307,759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ADFE5"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33,883,907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C22F1"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44,421,953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154DB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67,338,340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3615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75,190,318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CA03C0"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74,606,740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FE989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74,343,670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1C441"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73,848,274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42F02B"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72,779,473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47371"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65,317,073</w:t>
            </w:r>
          </w:p>
        </w:tc>
      </w:tr>
      <w:tr w:rsidR="00483B6C" w14:paraId="4E963258"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B583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44F3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7,312,408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2F8F8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300A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9,794,779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5C8D6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21,307,759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A9DC52"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33,883,907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61433"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44,421,953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F1BD45"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67,338,340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6EA9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75,190,318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936E1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81,753,122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429A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81,490,052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EE9A5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79,844,752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4286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78,775,952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AE58E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71,313,551</w:t>
            </w:r>
          </w:p>
        </w:tc>
      </w:tr>
      <w:tr w:rsidR="00483B6C" w14:paraId="7D51503B"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6474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9BC3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779920"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A2B1B"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4736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1C83B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61E5B"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7743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31E55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88E4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718C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3F569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39,232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A1B8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ECBE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483B6C" w14:paraId="23229352"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FD641"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4B47F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14AC17"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1AD4A2"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5C225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F4FF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C363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984C5"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765C3"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7CEC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428B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6BDE4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1,149,904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3C5C01"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2945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483B6C" w14:paraId="27F5322D"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A7AF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C4F30"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6CF23"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549E8"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11B1B"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E99BC6"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9C0E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A9D83"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B96F85"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845B8"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583,579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976CB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263,070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33D17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495,396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7F2F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1,068,801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19A32"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7,462,400</w:t>
            </w:r>
          </w:p>
        </w:tc>
      </w:tr>
      <w:tr w:rsidR="00483B6C" w14:paraId="26E29AC3" w14:textId="77777777" w:rsidTr="00661CE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92C32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55DB6E"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CFD52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30992D"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7117AF"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A6613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ECC0F1"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BB2B359"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970FF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4D084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583,579</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44059B"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263,070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97D56A"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1,645,299</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E30FA4"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1,068,801</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DBA8AC" w14:textId="77777777" w:rsidR="00483B6C" w:rsidRDefault="00483B6C"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7,462,400</w:t>
            </w:r>
          </w:p>
        </w:tc>
      </w:tr>
    </w:tbl>
    <w:p w14:paraId="55A9D218" w14:textId="77777777" w:rsidR="00464426" w:rsidRDefault="00464426">
      <w:pPr>
        <w:pStyle w:val="TableFigureNote"/>
        <w:rPr>
          <w:rFonts w:eastAsiaTheme="minorEastAsia"/>
        </w:rPr>
      </w:pPr>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6214C6" w14:paraId="68015D41" w14:textId="77777777" w:rsidTr="00661CE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CFF6A7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A3F9E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B7B06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FF6EE7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F27ABB8"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FF36CD1"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A23F87"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36C015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17B9A7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E2258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C71C91"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C9F9CB4"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24B577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F6670C8"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6214C6" w14:paraId="5680F159" w14:textId="77777777" w:rsidTr="00661CE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3741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6931E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249,485</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D4B4F"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2,087,485</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ED2FE"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176,797</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12414"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176,797</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B1E9E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176,797</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665C0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176,738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5DCC7"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176,738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37C6A"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106,353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891E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10E07"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63E7A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B9D119"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977C1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r>
      <w:tr w:rsidR="006214C6" w14:paraId="44FB09D9"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7BF7F"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A2EA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7,312,408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C6308"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003BF"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5,181,929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C880E"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5,181,929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C80D7"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5,181,929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78654"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5,180,202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936A1"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5,180,202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C1B0E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3,117,213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C75C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-43,133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ED71E"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-43,133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F577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-43,133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C3C17"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-43,133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A047C"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r>
      <w:tr w:rsidR="006214C6" w14:paraId="45FEFE76"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5ACF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93F1E"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B7558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5866E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56,553,380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1279A"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48,421,761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91DE1"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38,644,596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C1FE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17,669,079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0884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4,678,023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A80D4F"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3,435,041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139EE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930,014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348C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913,462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CCAE5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913,462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8756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201,957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DB75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201,957</w:t>
            </w:r>
          </w:p>
        </w:tc>
      </w:tr>
      <w:tr w:rsidR="006214C6" w14:paraId="790A5B89"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74D2C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60071"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7,312,408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BD01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3A981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61,735,309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9516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53,603,690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E45B8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43,826,524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7D04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22,849,282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1D771A"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9,858,226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EF557"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6,552,254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C6DCBA"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886,881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EA869"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870,329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F79A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870,329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A7CF1"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158,824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281DC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207,067</w:t>
            </w:r>
          </w:p>
        </w:tc>
      </w:tr>
      <w:tr w:rsidR="006214C6" w14:paraId="09BAF1E0"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6A297"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lastRenderedPageBreak/>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782C3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5C82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D19A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27,791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EC5A9"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A1A6A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25E3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64EA6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222E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70,385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1C07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107,825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0CF0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2EB7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F85B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905A8"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-1,646</w:t>
            </w:r>
          </w:p>
        </w:tc>
      </w:tr>
      <w:tr w:rsidR="006214C6" w14:paraId="5D882D63"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DDCAF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FF5C4"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443519"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B5D23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814,550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4DF1B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F486F"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A9854"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2855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3191F"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2,062,989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E7C06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3,160,346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C4ED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93C69"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8F6BBA"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24817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-48,243</w:t>
            </w:r>
          </w:p>
        </w:tc>
      </w:tr>
      <w:tr w:rsidR="006214C6" w14:paraId="1E53E17C"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229C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95F9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58C8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C30D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8,763,693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FA8B3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8,131,619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BC62A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9,777,165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06833"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20,975,516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A185C"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12,991,056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56539"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1,242,982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939D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2,505,027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0BAF0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16,552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5E6C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21384"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711,505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A37888"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214C6" w14:paraId="697CAA89" w14:textId="77777777" w:rsidTr="00661CE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FE10F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DE8391"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A1A5B"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81F63D"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9,578,242</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D072A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8,131,619</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CA56B2"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9,777,165</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6C93BA"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20,977,243</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6C0EBA"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12,991,056</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7DCC56"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3,305,972</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14E61F"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5,665,373</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CCF5E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16,552</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015835"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A1CE2E"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711,505</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6FAE40" w14:textId="77777777" w:rsidR="006214C6" w:rsidRDefault="006214C6"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-48,243</w:t>
            </w:r>
          </w:p>
        </w:tc>
      </w:tr>
    </w:tbl>
    <w:p w14:paraId="11C777B3" w14:textId="77777777" w:rsidR="006B6E76" w:rsidRDefault="006B6E76">
      <w:pPr>
        <w:pStyle w:val="TableFigureNote"/>
        <w:rPr>
          <w:rFonts w:eastAsiaTheme="minorEastAsia"/>
        </w:rPr>
      </w:pPr>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B41A34" w14:paraId="727C736B" w14:textId="77777777" w:rsidTr="00661CE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1100660"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D17A1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54505A3"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3F63D2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9482BE"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46885B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DFB83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9AC03C8"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719E0A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CC4E1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DBD57E"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A9A0B2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2AAC2D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018C9E"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B41A34" w14:paraId="51A3220E" w14:textId="77777777" w:rsidTr="00661CE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64D0E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ED94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249,485</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D33F5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2,087,485</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169FB"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BBB4A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0F194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4A919C"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10A9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FA1BE"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C9E90"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BB80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0BE5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2CD9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C53C3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41A34" w14:paraId="0B81C617"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5E4F6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8CD81"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7,312,408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0926C"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4E1ACA"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66A44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82888"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7B7DA"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52D3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47D1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064C1"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601D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D0E0F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2E0AA"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17C1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41A34" w14:paraId="647834D6"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91B0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AE97A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FC159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D61A3A"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180,907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B8F60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C2D43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5416D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E617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F21F9"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F72951"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F8FCCB"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06AE99"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4D58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61AEB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41A34" w14:paraId="230570F1"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FE2D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E1791"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7,312,408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DAD7D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7157E"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186,017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205A3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1C8D9"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F2F0A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06AC2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082A1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2A16C"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377E8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9,553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FD05A3"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E11D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8F0D7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41A34" w14:paraId="765B0DAE"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AA33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E3803E"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BA48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31533"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7116A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7FB9D3"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8985C"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9F0EB"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2C25A3"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ACB5E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A668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B6709"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CADF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EBCE6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41A34" w14:paraId="06381464"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28B42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937A29"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C2296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BAF1DE"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D93E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7F34D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A467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0E058B"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775E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2A83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ABE72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D06EC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7BD4A"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57B4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41A34" w14:paraId="297EE79D" w14:textId="77777777" w:rsidTr="00661CE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72E48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591E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AAADEC"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F0543"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21,050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99C9A"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176,463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9A1CC"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117DB"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CF310"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5AA18"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B292C"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73748"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084C4"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25B9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FE05B"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41A34" w14:paraId="35975E19" w14:textId="77777777" w:rsidTr="00661CE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8842B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74F1D2"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6E091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5F7E50"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21,050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7D9D80"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176,463</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101A8F"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D7988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030579"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F5E70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AC9285"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7DBAC7"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73428D"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4,444</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CD0866"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C7D731" w14:textId="77777777" w:rsidR="00B41A34" w:rsidRDefault="00B41A34"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2B10BF7" w14:textId="55078E16" w:rsidR="004F7FFD" w:rsidRPr="00C329CB" w:rsidRDefault="004F7FFD">
      <w:pPr>
        <w:pStyle w:val="TableFigureNote"/>
        <w:rPr>
          <w:rFonts w:eastAsiaTheme="minorEastAsia"/>
        </w:rPr>
      </w:pPr>
      <w:r w:rsidRPr="00C329CB">
        <w:rPr>
          <w:rFonts w:eastAsiaTheme="minorEastAsia"/>
        </w:rPr>
        <w:t>† Lifetime savings are the sum of CPAS savings through the EUL.</w:t>
      </w:r>
    </w:p>
    <w:p w14:paraId="4D24CBEF" w14:textId="77777777" w:rsidR="004F7FFD" w:rsidRPr="00C329CB" w:rsidRDefault="004F7FFD">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14:paraId="17B07B6D" w14:textId="77777777" w:rsidR="004F7FFD" w:rsidRDefault="004F7FFD">
      <w:pPr>
        <w:pStyle w:val="TableFigureNote"/>
        <w:rPr>
          <w:rFonts w:eastAsiaTheme="minorEastAsia"/>
        </w:rPr>
      </w:pPr>
      <w:r w:rsidRPr="00C329CB">
        <w:rPr>
          <w:rFonts w:eastAsiaTheme="minorEastAsia"/>
        </w:rPr>
        <w:t>§ Historical savings go back to CY2018.</w:t>
      </w:r>
    </w:p>
    <w:p w14:paraId="687BB1C7" w14:textId="77777777" w:rsidR="004F7FFD" w:rsidRPr="00C329CB" w:rsidRDefault="004F7FFD">
      <w:pPr>
        <w:pStyle w:val="TableFigureNote"/>
        <w:rPr>
          <w:rFonts w:eastAsiaTheme="minorEastAsia"/>
        </w:rPr>
      </w:pPr>
      <w:r w:rsidRPr="00C329CB">
        <w:rPr>
          <w:rFonts w:eastAsiaTheme="minorEastAsia"/>
        </w:rPr>
        <w:t>|| Incremental expiring savings are equal to CPAS Yn-1 - CPAS Yn.</w:t>
      </w:r>
    </w:p>
    <w:p w14:paraId="6C600D6F" w14:textId="77777777" w:rsidR="004F7FFD" w:rsidRPr="00C329CB" w:rsidRDefault="004F7FFD">
      <w:pPr>
        <w:pStyle w:val="TableFigureNote"/>
        <w:rPr>
          <w:rFonts w:eastAsiaTheme="minorEastAsia"/>
        </w:rPr>
      </w:pPr>
      <w:r w:rsidRPr="00C329CB">
        <w:rPr>
          <w:rFonts w:eastAsiaTheme="minorEastAsia"/>
        </w:rPr>
        <w:t># Historic incremental expiring savings are equal to Historic CPAS Yn-1 – Historic CPAS Yn.</w:t>
      </w:r>
    </w:p>
    <w:p w14:paraId="3BF05BFA" w14:textId="77777777" w:rsidR="004F7FFD" w:rsidRDefault="004F7FFD">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0FB5C859" w14:textId="1A7D89B6" w:rsidR="004F7FFD" w:rsidRPr="00882BA7" w:rsidRDefault="004F7FFD" w:rsidP="006A0931">
      <w:pPr>
        <w:pStyle w:val="TableFigureSource"/>
      </w:pPr>
      <w:r>
        <w:t>Source: Evaluation team analysis</w:t>
      </w:r>
    </w:p>
    <w:p w14:paraId="13E03DCC" w14:textId="768B1FF2" w:rsidR="004F7FFD" w:rsidRDefault="004F7FFD">
      <w:pPr>
        <w:pStyle w:val="Caption"/>
      </w:pPr>
      <w:bookmarkStart w:id="40" w:name="_Ref105417145"/>
      <w:bookmarkStart w:id="41" w:name="_Toc159919737"/>
      <w:bookmarkStart w:id="42" w:name="_Toc191554967"/>
      <w:r>
        <w:t xml:space="preserve">Table </w:t>
      </w:r>
      <w:r>
        <w:fldChar w:fldCharType="begin"/>
      </w:r>
      <w:r>
        <w:instrText>SEQ Table \* ARABIC</w:instrText>
      </w:r>
      <w:r>
        <w:fldChar w:fldCharType="separate"/>
      </w:r>
      <w:r w:rsidR="006A0931">
        <w:rPr>
          <w:noProof/>
        </w:rPr>
        <w:t>4</w:t>
      </w:r>
      <w:r>
        <w:fldChar w:fldCharType="end"/>
      </w:r>
      <w:bookmarkEnd w:id="40"/>
      <w:r w:rsidRPr="00F7087A">
        <w:t xml:space="preserve">. </w:t>
      </w:r>
      <w:r>
        <w:t>CPAS – Total</w:t>
      </w:r>
      <w:bookmarkStart w:id="43" w:name="Table_6"/>
      <w:bookmarkEnd w:id="41"/>
      <w:bookmarkEnd w:id="42"/>
      <w:bookmarkEnd w:id="43"/>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2D0063" w14:paraId="38383298" w14:textId="77777777" w:rsidTr="00661CE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0CA882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4D5ECAD"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DE57EA5"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2D0063" w14:paraId="70B6585B" w14:textId="77777777" w:rsidTr="00661CE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F9C2F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B95E1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5B627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DD150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7B4318"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C9BC0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3DFC0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FA82F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7E2EB2"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D21FBC"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182433"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31752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67E443"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AC8D52"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2D0063" w14:paraId="585FEE1A" w14:textId="77777777" w:rsidTr="00661CE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8858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79098"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231,190,755</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2D70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2,928,852,384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912AF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2B5C9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8BF2AE"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9F7A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E4723"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BED8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3DF0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220,659,419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110D4"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220,609,522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F4858"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218,128,570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71BB4"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213,603,152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EC10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208,071,334</w:t>
            </w:r>
          </w:p>
        </w:tc>
      </w:tr>
      <w:tr w:rsidR="002D0063" w14:paraId="19B2CB87"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E3D0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715D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EE301"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E772C8"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206,758,011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B3F3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350,678,596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242128"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570,270,523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8B3CD"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795,802,173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6A91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1,068,053,868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2E872"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1,291,654,162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1C439E"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1,240,017,964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AD4F2"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1,219,415,984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82BD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1,186,179,872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7C97A"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1,166,896,464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92163"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1,111,417,616</w:t>
            </w:r>
          </w:p>
        </w:tc>
      </w:tr>
      <w:tr w:rsidR="002D0063" w14:paraId="5B24DA96"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6B77B"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29E7C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231,190,755</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DFED5"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2,928,852,384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16121C"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206,758,011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C1A91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350,678,596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81C1E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570,270,523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F9C618"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795,802,173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1502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1,068,053,868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C9BF1"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1,291,654,162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75A1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1,460,677,383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83A23"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1,440,025,506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4B2E5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1,404,308,442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3EF4AA"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1,380,499,616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CE4DE"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1,319,488,950</w:t>
            </w:r>
          </w:p>
        </w:tc>
      </w:tr>
      <w:tr w:rsidR="002D0063" w14:paraId="42A556A2"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2805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246E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6AF5D"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2330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CDF93"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89D52E"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42A3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3638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5E280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37E2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B4DB6"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49,897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10F7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2,480,952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A311A"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4,525,418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5A7E1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5,531,818</w:t>
            </w:r>
          </w:p>
        </w:tc>
      </w:tr>
      <w:tr w:rsidR="002D0063" w14:paraId="26217E61"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F969EE"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1AA94"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D99E72"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05B7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E2058D"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FBCED5"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AAEB4"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4CE365"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C4F6A"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F786A"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51,636,198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FB4B5C"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20,601,980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6BB85"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33,236,111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4D8E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19,283,409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90E802"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55,478,847</w:t>
            </w:r>
          </w:p>
        </w:tc>
      </w:tr>
      <w:tr w:rsidR="002D0063" w14:paraId="2EBDE088" w14:textId="77777777" w:rsidTr="00661CE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FA070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EDB0A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9EC737"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4D6CE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58F280"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5C04FE"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388514"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560D0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3ED1A9"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FE0D7F"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51,636,198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B589775"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20,651,877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B72092"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35,717,064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695C4C"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23,808,827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06D8F3" w14:textId="77777777" w:rsidR="002D0063" w:rsidRDefault="002D0063"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61,010,665</w:t>
            </w:r>
          </w:p>
        </w:tc>
      </w:tr>
    </w:tbl>
    <w:p w14:paraId="24722403" w14:textId="77777777" w:rsidR="004F7FFD" w:rsidRDefault="004F7FFD">
      <w:pPr>
        <w:spacing w:before="0" w:after="0"/>
      </w:pPr>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B35380" w14:paraId="4778D1B1" w14:textId="77777777" w:rsidTr="00661CE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3DA50E"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CF1FF1F"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D53DD2"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1B1A158"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8770C7"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FE6AE4"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F579C8B"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1D7A1B"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8E23014"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5B5A0A"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39A054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C85D5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B28F06"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25DC15"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B35380" w14:paraId="3FF17DED" w14:textId="77777777" w:rsidTr="00661CE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1158C2"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86CA18"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231,190,755</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3B65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2,928,852,384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77E33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203,668,463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58E7A"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202,566,958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7A6B4"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200,608,642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30CB3"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199,301,776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B098B"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196,673,271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C9DD28"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172,879,094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6223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156,100,982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AA9C2"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147,456,483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F7043"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134,709,571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28CB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132,301,833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C075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27,697,650</w:t>
            </w:r>
          </w:p>
        </w:tc>
      </w:tr>
      <w:tr w:rsidR="00B35380" w14:paraId="67AC1751"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78BC39"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9A95A"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2C8F3"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3D14A"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1,085,337,647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20FADF"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942,893,005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450D1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853,310,043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4CBAE"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723,679,497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6AA4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602,392,367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4E438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422,062,611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804EB5"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318,949,295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83AF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214,545,265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DBCF75"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111,442,808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2834A"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361D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262,435</w:t>
            </w:r>
          </w:p>
        </w:tc>
      </w:tr>
      <w:tr w:rsidR="00B35380" w14:paraId="07597416"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76574"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BE39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231,190,755</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7DB06"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2,928,852,384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A389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1,289,006,110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ACB29"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1,145,459,962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809B7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1,053,918,685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A0213"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922,981,273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8E4973"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799,065,638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A4A39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594,941,704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5618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475,050,277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C3BCF"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362,001,748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F4904"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246,152,379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10FF9"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132,578,149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E7E2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27,960,085</w:t>
            </w:r>
          </w:p>
        </w:tc>
      </w:tr>
      <w:tr w:rsidR="00B35380" w14:paraId="5ABC8241"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71709"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B59B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E543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2AB48"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4,402,871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1E49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1,101,505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A485E"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1,958,315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87391A"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1,306,867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A69D7F"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2,628,505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F4DF23"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23,794,178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11EE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16,778,111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C427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8,644,499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DA272"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12,746,912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DCE7F"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2,407,738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7CB3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104,604,182</w:t>
            </w:r>
          </w:p>
        </w:tc>
      </w:tr>
      <w:tr w:rsidR="00B35380" w14:paraId="2A482092"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DE01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9A798"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F4DA2"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20A67"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26,079,970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6075B"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142,444,642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45044E"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89,582,962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2DA7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129,630,546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2B3B6"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121,287,130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F5095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180,329,756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74E9C2"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103,113,316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8A16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104,404,030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95A672"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103,102,457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1F20B5"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111,166,492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36899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13,881</w:t>
            </w:r>
          </w:p>
        </w:tc>
      </w:tr>
      <w:tr w:rsidR="00B35380" w14:paraId="701B1CF7" w14:textId="77777777" w:rsidTr="00661CE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1650EA"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2AEC9C"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C40113"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6A1F06"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30,482,841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35235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143,546,147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9890BF"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91,541,277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F5E3A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130,937,412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2C3A17"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123,915,635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BD60D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204,123,934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38115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119,891,427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FCE64F"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113,048,529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1C19AD"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115,849,370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11DC71"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113,574,230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427F50" w14:textId="77777777" w:rsidR="00B35380" w:rsidRDefault="00B35380"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104,618,063</w:t>
            </w:r>
          </w:p>
        </w:tc>
      </w:tr>
    </w:tbl>
    <w:p w14:paraId="5ABD9E55" w14:textId="77777777" w:rsidR="00B41A34" w:rsidRDefault="00B41A34">
      <w:pPr>
        <w:pStyle w:val="TableFigureNote"/>
        <w:rPr>
          <w:rFonts w:eastAsiaTheme="minorEastAsia"/>
        </w:rPr>
      </w:pPr>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941B89" w14:paraId="689672D9" w14:textId="77777777" w:rsidTr="00661CE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AC54B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3ABDE3"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3935300"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5E4274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C3A76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FB22AC"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6DCFB1"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C57D6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690341"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AEB3D9"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366C00"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5DA2E32"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2AE0BE"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FCDC2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941B89" w14:paraId="57CB4596" w14:textId="77777777" w:rsidTr="00661CE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0CEF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0B54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231,190,755</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C7D6E2"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2,928,852,384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8B97C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BB5C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90AA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6B6CF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3FD23E"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142D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1DA298"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F38A6B"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12059C"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E0A3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B947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41B89" w14:paraId="1C6D0249"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979B7"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FF1C60"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05FD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AD56B"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220,836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FA107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56473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F8278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27377"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45FE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3F887E"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641B60"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7ADDF0"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0EC2C"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11F5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41B89" w14:paraId="41E255DB"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D79A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0819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231,190,755</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83EB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2,928,852,384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BE468"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8,422,576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6140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8,208,781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ABAE8E"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8,207,057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45F38"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8,207,057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D5B4D1"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8,207,057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86AF17"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8,207,057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F7ADE4"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8,207,057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6E7EE"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8,207,057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C8914"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38228"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513B9"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41B89" w14:paraId="4DB67E80"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48E7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DB731C"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BABE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5E6F45"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19,495,910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DF91D8"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AD4F9"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F93590"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8BEB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A21F1"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4E6C2"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D54989"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72FB4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F1CB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DD30C"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41B89" w14:paraId="4F04F4BA" w14:textId="77777777" w:rsidTr="00661CE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1FDA2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1DCD7"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8224E9"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CEBB68"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41,599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890E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213,795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B94C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E88717"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3588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8A883"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55F2B"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0A33B"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2D829"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B596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52369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41B89" w14:paraId="6D5A4DB2" w14:textId="77777777" w:rsidTr="00661CE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2D746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D7CF1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3165B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1944E6"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19,537,509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7516B3"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213,795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F4C77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95E6F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CB7D5B"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94F928"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2738FD"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C22A5B"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DFED5A"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A17F1F"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8,201,741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96918B" w14:textId="77777777" w:rsidR="00941B89" w:rsidRDefault="00941B89" w:rsidP="00661CE7">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CAF6C44" w14:textId="42940863" w:rsidR="004F7FFD" w:rsidRPr="00C34E77" w:rsidRDefault="004F7FFD">
      <w:pPr>
        <w:pStyle w:val="TableFigureNote"/>
      </w:pPr>
      <w:r w:rsidRPr="00C34E77">
        <w:rPr>
          <w:rFonts w:eastAsiaTheme="minorEastAsia"/>
        </w:rPr>
        <w:t>† Lifetime savings are the sum of CPAS savings through the EUL.</w:t>
      </w:r>
    </w:p>
    <w:p w14:paraId="10D9262D" w14:textId="77777777" w:rsidR="004F7FFD" w:rsidRPr="00C34E77" w:rsidRDefault="004F7FFD">
      <w:pPr>
        <w:pStyle w:val="TableFigureNote"/>
      </w:pPr>
      <w:r w:rsidRPr="00C34E77">
        <w:rPr>
          <w:rFonts w:eastAsiaTheme="minorEastAsia"/>
        </w:rPr>
        <w:t xml:space="preserve">‡ Historical savings go back to CY2018. </w:t>
      </w:r>
    </w:p>
    <w:p w14:paraId="759A4C09" w14:textId="77777777" w:rsidR="004F7FFD" w:rsidRPr="00C34E77" w:rsidRDefault="004F7FFD">
      <w:pPr>
        <w:pStyle w:val="TableFigureNote"/>
      </w:pPr>
      <w:r w:rsidRPr="00C34E77">
        <w:rPr>
          <w:rFonts w:eastAsiaTheme="minorEastAsia"/>
        </w:rPr>
        <w:t>§ Incremental expiring savings are equal to CPAS Yn-1 - CPAS Yn.</w:t>
      </w:r>
    </w:p>
    <w:p w14:paraId="3B63DE3F" w14:textId="77777777" w:rsidR="004F7FFD" w:rsidRPr="00C34E77" w:rsidRDefault="004F7FFD">
      <w:pPr>
        <w:pStyle w:val="TableFigureNote"/>
      </w:pPr>
      <w:r w:rsidRPr="00C34E77">
        <w:rPr>
          <w:rFonts w:eastAsiaTheme="minorEastAsia"/>
        </w:rPr>
        <w:t>|| Historic incremental expiring savings are equal to Historic CPAS Yn-1 – Historic CPAS Yn.</w:t>
      </w:r>
    </w:p>
    <w:p w14:paraId="0151DCCD" w14:textId="77777777" w:rsidR="004F7FFD" w:rsidRPr="00C34E77" w:rsidRDefault="004F7FFD">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C9043A5" w14:textId="77777777" w:rsidR="004F7FFD" w:rsidRDefault="004F7FFD">
      <w:pPr>
        <w:pStyle w:val="TableFigureSource"/>
      </w:pPr>
      <w:r>
        <w:t>Source: Evaluation team analysis</w:t>
      </w:r>
    </w:p>
    <w:p w14:paraId="0DDA0D3D" w14:textId="7755DA3A" w:rsidR="004F7FFD" w:rsidRPr="00BB1B40" w:rsidRDefault="004F7FFD">
      <w:pPr>
        <w:pStyle w:val="BodyText"/>
      </w:pPr>
    </w:p>
    <w:sectPr w:rsidR="004F7FFD" w:rsidRPr="00BB1B40">
      <w:headerReference w:type="default" r:id="rId19"/>
      <w:footerReference w:type="default" r:id="rId20"/>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BAC8" w14:textId="77777777" w:rsidR="00E54453" w:rsidRDefault="00E54453">
      <w:pPr>
        <w:spacing w:before="0" w:after="0"/>
      </w:pPr>
      <w:r>
        <w:separator/>
      </w:r>
    </w:p>
  </w:endnote>
  <w:endnote w:type="continuationSeparator" w:id="0">
    <w:p w14:paraId="7B3D3921" w14:textId="77777777" w:rsidR="00E54453" w:rsidRDefault="00E54453">
      <w:pPr>
        <w:spacing w:before="0" w:after="0"/>
      </w:pPr>
      <w:r>
        <w:continuationSeparator/>
      </w:r>
    </w:p>
  </w:endnote>
  <w:endnote w:type="continuationNotice" w:id="1">
    <w:p w14:paraId="193FB258" w14:textId="77777777" w:rsidR="00E54453" w:rsidRDefault="00E544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BC2A00" w:rsidRPr="00582062" w14:paraId="4CD7D91E" w14:textId="77777777">
      <w:trPr>
        <w:trHeight w:val="144"/>
        <w:jc w:val="center"/>
      </w:trPr>
      <w:tc>
        <w:tcPr>
          <w:tcW w:w="7200" w:type="dxa"/>
          <w:tcBorders>
            <w:top w:val="single" w:sz="8" w:space="0" w:color="8C8C8C"/>
            <w:left w:val="nil"/>
            <w:bottom w:val="nil"/>
          </w:tcBorders>
        </w:tcPr>
        <w:p w14:paraId="476B4562" w14:textId="77777777" w:rsidR="004F7FFD" w:rsidRPr="00582062" w:rsidRDefault="004F7FFD">
          <w:pPr>
            <w:pStyle w:val="Footer"/>
            <w:spacing w:before="120"/>
            <w:rPr>
              <w:sz w:val="2"/>
              <w:szCs w:val="2"/>
            </w:rPr>
          </w:pPr>
        </w:p>
      </w:tc>
      <w:tc>
        <w:tcPr>
          <w:tcW w:w="2880" w:type="dxa"/>
          <w:tcBorders>
            <w:top w:val="single" w:sz="8" w:space="0" w:color="8C8C8C"/>
          </w:tcBorders>
        </w:tcPr>
        <w:p w14:paraId="7951A946" w14:textId="77777777" w:rsidR="004F7FFD" w:rsidRPr="00582062" w:rsidRDefault="004F7FFD">
          <w:pPr>
            <w:pStyle w:val="Footer"/>
            <w:spacing w:before="120"/>
            <w:jc w:val="right"/>
            <w:rPr>
              <w:sz w:val="2"/>
              <w:szCs w:val="2"/>
            </w:rPr>
          </w:pPr>
        </w:p>
      </w:tc>
    </w:tr>
    <w:tr w:rsidR="00BC2A00" w:rsidRPr="00EA2FA5" w14:paraId="401D6F03" w14:textId="77777777">
      <w:trPr>
        <w:trHeight w:val="195"/>
        <w:jc w:val="center"/>
      </w:trPr>
      <w:tc>
        <w:tcPr>
          <w:tcW w:w="7200" w:type="dxa"/>
          <w:tcBorders>
            <w:top w:val="nil"/>
            <w:left w:val="nil"/>
          </w:tcBorders>
          <w:vAlign w:val="center"/>
        </w:tcPr>
        <w:p w14:paraId="0FB122F3" w14:textId="13D0A9B5" w:rsidR="004F7FFD" w:rsidRPr="0075421C" w:rsidRDefault="004F7FFD">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4F7FFD" w:rsidRPr="0075421C" w:rsidRDefault="004F7FFD">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4438AB18" w14:textId="77777777" w:rsidR="004F7FFD" w:rsidRPr="000C64C5" w:rsidRDefault="004F7FFD">
    <w:pPr>
      <w:pStyle w:val="Footer"/>
      <w:ind w:right="360"/>
      <w:rPr>
        <w:sz w:val="2"/>
        <w:szCs w:val="2"/>
      </w:rPr>
    </w:pPr>
  </w:p>
  <w:p w14:paraId="4D088BDD" w14:textId="77777777" w:rsidR="004F7FFD" w:rsidRPr="008B6585" w:rsidRDefault="004F7FF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BC2A00" w:rsidRPr="00582062" w14:paraId="3D2E2342" w14:textId="77777777">
      <w:trPr>
        <w:trHeight w:val="144"/>
        <w:jc w:val="center"/>
      </w:trPr>
      <w:tc>
        <w:tcPr>
          <w:tcW w:w="7200" w:type="dxa"/>
          <w:tcBorders>
            <w:top w:val="single" w:sz="8" w:space="0" w:color="8C8C8C"/>
            <w:left w:val="nil"/>
            <w:bottom w:val="nil"/>
          </w:tcBorders>
        </w:tcPr>
        <w:p w14:paraId="2D6E4A1B" w14:textId="77777777" w:rsidR="004F7FFD" w:rsidRPr="00582062" w:rsidRDefault="004F7FFD">
          <w:pPr>
            <w:pStyle w:val="Footer"/>
            <w:spacing w:before="120"/>
            <w:rPr>
              <w:sz w:val="2"/>
              <w:szCs w:val="2"/>
            </w:rPr>
          </w:pPr>
        </w:p>
      </w:tc>
      <w:tc>
        <w:tcPr>
          <w:tcW w:w="2880" w:type="dxa"/>
          <w:tcBorders>
            <w:top w:val="single" w:sz="8" w:space="0" w:color="8C8C8C"/>
          </w:tcBorders>
        </w:tcPr>
        <w:p w14:paraId="7B1DB177" w14:textId="77777777" w:rsidR="004F7FFD" w:rsidRPr="00582062" w:rsidRDefault="004F7FFD">
          <w:pPr>
            <w:pStyle w:val="Footer"/>
            <w:spacing w:before="120"/>
            <w:jc w:val="right"/>
            <w:rPr>
              <w:sz w:val="2"/>
              <w:szCs w:val="2"/>
            </w:rPr>
          </w:pPr>
        </w:p>
      </w:tc>
    </w:tr>
    <w:tr w:rsidR="00BC2A00" w:rsidRPr="00EA2FA5" w14:paraId="294BE5C8" w14:textId="77777777">
      <w:trPr>
        <w:trHeight w:val="195"/>
        <w:jc w:val="center"/>
      </w:trPr>
      <w:tc>
        <w:tcPr>
          <w:tcW w:w="7200" w:type="dxa"/>
          <w:tcBorders>
            <w:top w:val="nil"/>
            <w:left w:val="nil"/>
          </w:tcBorders>
          <w:vAlign w:val="center"/>
        </w:tcPr>
        <w:p w14:paraId="2E0B6CBA" w14:textId="77777777" w:rsidR="004F7FFD" w:rsidRPr="0075421C" w:rsidRDefault="004F7FFD">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4F7FFD" w:rsidRPr="0075421C" w:rsidRDefault="004F7FFD">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5FBAF5C8" w14:textId="77777777" w:rsidR="004F7FFD" w:rsidRPr="000C64C5" w:rsidRDefault="004F7FFD">
    <w:pPr>
      <w:pStyle w:val="Footer"/>
      <w:ind w:right="360"/>
      <w:rPr>
        <w:sz w:val="2"/>
        <w:szCs w:val="2"/>
      </w:rPr>
    </w:pPr>
  </w:p>
  <w:p w14:paraId="2273E87A" w14:textId="77777777" w:rsidR="004F7FFD" w:rsidRPr="008B6585" w:rsidRDefault="004F7FF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BABC" w14:textId="77777777" w:rsidR="00E54453" w:rsidRDefault="00E54453">
      <w:pPr>
        <w:spacing w:before="0" w:after="0"/>
      </w:pPr>
      <w:r>
        <w:separator/>
      </w:r>
    </w:p>
  </w:footnote>
  <w:footnote w:type="continuationSeparator" w:id="0">
    <w:p w14:paraId="30B85C3C" w14:textId="77777777" w:rsidR="00E54453" w:rsidRDefault="00E54453">
      <w:pPr>
        <w:spacing w:before="0" w:after="0"/>
      </w:pPr>
      <w:r>
        <w:continuationSeparator/>
      </w:r>
    </w:p>
  </w:footnote>
  <w:footnote w:type="continuationNotice" w:id="1">
    <w:p w14:paraId="2D661B86" w14:textId="77777777" w:rsidR="00E54453" w:rsidRDefault="00E54453">
      <w:pPr>
        <w:spacing w:before="0" w:after="0"/>
      </w:pPr>
    </w:p>
  </w:footnote>
  <w:footnote w:id="2">
    <w:p w14:paraId="1DA72E42" w14:textId="77777777" w:rsidR="002D54D3" w:rsidRPr="005B1271" w:rsidRDefault="002D54D3" w:rsidP="002D54D3">
      <w:pPr>
        <w:pStyle w:val="Footnote"/>
        <w:rPr>
          <w:sz w:val="16"/>
          <w:szCs w:val="16"/>
        </w:rPr>
      </w:pPr>
      <w:r w:rsidRPr="005B1271">
        <w:rPr>
          <w:rStyle w:val="FootnoteReference"/>
        </w:rPr>
        <w:footnoteRef/>
      </w:r>
      <w:r w:rsidRPr="005B1271">
        <w:rPr>
          <w:rStyle w:val="FootnoteReference"/>
        </w:rPr>
        <w:t xml:space="preserve"> </w:t>
      </w:r>
      <w:bookmarkStart w:id="14" w:name="_Hlk95970769"/>
      <w:r w:rsidRPr="005B1271">
        <w:t>Participants must be ComEd commercial or industrial customers with monthly peak demand levels up to 200 kW for private businesses and 400 kW for the public sector in CY2022.</w:t>
      </w:r>
      <w:bookmarkEnd w:id="14"/>
      <w:r w:rsidRPr="005B1271">
        <w:t xml:space="preserve"> In CY2023 – CY2025, commercial or industrial private business customers with monthly peak demand levels up to 400 kWh will be eligible to align with public sector customer eligibility.</w:t>
      </w:r>
    </w:p>
  </w:footnote>
  <w:footnote w:id="3">
    <w:p w14:paraId="31A64F1A" w14:textId="77777777" w:rsidR="002D54D3" w:rsidRPr="005B1271" w:rsidRDefault="002D54D3" w:rsidP="002D54D3">
      <w:pPr>
        <w:pStyle w:val="Footnote"/>
        <w:rPr>
          <w:sz w:val="16"/>
          <w:szCs w:val="16"/>
        </w:rPr>
      </w:pPr>
      <w:r w:rsidRPr="005B1271">
        <w:rPr>
          <w:rStyle w:val="FootnoteReference"/>
          <w:rFonts w:cstheme="minorBidi"/>
        </w:rPr>
        <w:footnoteRef/>
      </w:r>
      <w:r w:rsidRPr="005B1271">
        <w:rPr>
          <w:rStyle w:val="FootnoteReference"/>
          <w:rFonts w:cstheme="minorBidi"/>
        </w:rPr>
        <w:t xml:space="preserve"> </w:t>
      </w:r>
      <w:r w:rsidRPr="005B1271">
        <w:t xml:space="preserve">No-cost direct install measures include low flow showerheads and faucet aerators, pre-rinse spray valves, power strips, and controls for novelty coolers, beverage machines, and snack machines. The program also offers kits consisting of a variety of measures including lighting (BR30, PAR30, and candelabra lamps), hot water (bathroom and kitchen aerators, pre-rinse spray valves, and low flow showerheads), and consumer electronics (smart sockets) for fire stations, the </w:t>
      </w:r>
      <w:r w:rsidRPr="005B1271">
        <w:t>general public, or private facilities and restaurants. Kits are offered to customers in CY2022 and will be discontinued in CY2023 – CY2025.</w:t>
      </w:r>
    </w:p>
  </w:footnote>
  <w:footnote w:id="4">
    <w:p w14:paraId="543569F7" w14:textId="77777777" w:rsidR="002D54D3" w:rsidRPr="005B1271" w:rsidRDefault="002D54D3" w:rsidP="002D54D3">
      <w:pPr>
        <w:pStyle w:val="Footnote"/>
      </w:pPr>
      <w:r w:rsidRPr="6D2D46B7">
        <w:rPr>
          <w:rStyle w:val="FootnoteReference"/>
          <w:rFonts w:cstheme="minorBidi"/>
        </w:rPr>
        <w:footnoteRef/>
      </w:r>
      <w:r w:rsidRPr="005B1271">
        <w:t xml:space="preserve"> Incented measures may include LED retrofits and fixtures, lighting controls, VSDs and HVAC system components, electric water heaters, refrigeration system components, commercial kitchen equipment, compressed air system measures, smart thermostats, and building envelope measures. </w:t>
      </w:r>
    </w:p>
  </w:footnote>
  <w:footnote w:id="5">
    <w:p w14:paraId="09592804" w14:textId="77777777" w:rsidR="004F7FFD" w:rsidRDefault="004F7FFD">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6">
    <w:p w14:paraId="603A1357" w14:textId="77777777" w:rsidR="004F7FFD" w:rsidRDefault="004F7FFD">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7">
    <w:p w14:paraId="2F04D097" w14:textId="77777777" w:rsidR="004F7FFD" w:rsidRDefault="004F7FFD">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BC2A00" w14:paraId="6B008A86" w14:textId="77777777">
      <w:trPr>
        <w:jc w:val="center"/>
      </w:trPr>
      <w:tc>
        <w:tcPr>
          <w:tcW w:w="2880" w:type="dxa"/>
          <w:vAlign w:val="center"/>
        </w:tcPr>
        <w:p w14:paraId="78DF3A04" w14:textId="77777777" w:rsidR="004F7FFD" w:rsidRPr="006A71F6" w:rsidRDefault="004F7FFD">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42F8C8D5" w:rsidR="004F7FFD" w:rsidRDefault="004F7FFD">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7C3BA7">
            <w:rPr>
              <w:bCs/>
              <w:noProof/>
            </w:rPr>
            <w:t>ComEd Small Business Program Impact Evaluation Report</w:t>
          </w:r>
          <w:r>
            <w:rPr>
              <w:bCs/>
              <w:noProof/>
            </w:rPr>
            <w:fldChar w:fldCharType="end"/>
          </w:r>
        </w:p>
      </w:tc>
    </w:tr>
  </w:tbl>
  <w:p w14:paraId="0ECF1D7C" w14:textId="77777777" w:rsidR="004F7FFD" w:rsidRPr="00B21048" w:rsidRDefault="004F7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0BC" w14:textId="67781FE9" w:rsidR="004F7FFD" w:rsidRDefault="004F7FFD">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BC2A00" w14:paraId="4683791D" w14:textId="77777777">
      <w:trPr>
        <w:jc w:val="center"/>
      </w:trPr>
      <w:tc>
        <w:tcPr>
          <w:tcW w:w="2880" w:type="dxa"/>
          <w:vAlign w:val="center"/>
        </w:tcPr>
        <w:p w14:paraId="43443BFF" w14:textId="77777777" w:rsidR="004F7FFD" w:rsidRPr="006A71F6" w:rsidRDefault="004F7FFD">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30E307EE" w:rsidR="004F7FFD" w:rsidRDefault="004F7FFD">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7C3BA7">
            <w:rPr>
              <w:bCs/>
              <w:noProof/>
            </w:rPr>
            <w:t>ComEd Small Business Program Impact Evaluation Report</w:t>
          </w:r>
          <w:r>
            <w:rPr>
              <w:bCs/>
              <w:noProof/>
            </w:rPr>
            <w:fldChar w:fldCharType="end"/>
          </w:r>
        </w:p>
      </w:tc>
    </w:tr>
  </w:tbl>
  <w:p w14:paraId="3CCA1E62" w14:textId="77777777" w:rsidR="004F7FFD" w:rsidRPr="00B21048" w:rsidRDefault="004F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59"/>
    <w:rsid w:val="00003169"/>
    <w:rsid w:val="00010319"/>
    <w:rsid w:val="00013B42"/>
    <w:rsid w:val="00020F8B"/>
    <w:rsid w:val="00024874"/>
    <w:rsid w:val="000310A3"/>
    <w:rsid w:val="000347A7"/>
    <w:rsid w:val="0008112B"/>
    <w:rsid w:val="000C0838"/>
    <w:rsid w:val="000E0C24"/>
    <w:rsid w:val="0011368A"/>
    <w:rsid w:val="001208CB"/>
    <w:rsid w:val="00140617"/>
    <w:rsid w:val="001407F2"/>
    <w:rsid w:val="001448FE"/>
    <w:rsid w:val="00153224"/>
    <w:rsid w:val="0018472E"/>
    <w:rsid w:val="001A4004"/>
    <w:rsid w:val="001E1823"/>
    <w:rsid w:val="00225294"/>
    <w:rsid w:val="00237FF3"/>
    <w:rsid w:val="00253659"/>
    <w:rsid w:val="0026669D"/>
    <w:rsid w:val="00274C8C"/>
    <w:rsid w:val="002D0063"/>
    <w:rsid w:val="002D53A4"/>
    <w:rsid w:val="002D54D3"/>
    <w:rsid w:val="002E12D1"/>
    <w:rsid w:val="00331721"/>
    <w:rsid w:val="0035603F"/>
    <w:rsid w:val="00370EEC"/>
    <w:rsid w:val="00383753"/>
    <w:rsid w:val="003936B7"/>
    <w:rsid w:val="003C2966"/>
    <w:rsid w:val="003E07F4"/>
    <w:rsid w:val="00400A8F"/>
    <w:rsid w:val="004070E1"/>
    <w:rsid w:val="00425B91"/>
    <w:rsid w:val="004401DE"/>
    <w:rsid w:val="00447480"/>
    <w:rsid w:val="00460663"/>
    <w:rsid w:val="00464426"/>
    <w:rsid w:val="0046536D"/>
    <w:rsid w:val="00482B43"/>
    <w:rsid w:val="00483B6C"/>
    <w:rsid w:val="00487B9C"/>
    <w:rsid w:val="004B63C6"/>
    <w:rsid w:val="004D6484"/>
    <w:rsid w:val="004D70E9"/>
    <w:rsid w:val="004E7C6E"/>
    <w:rsid w:val="004F7FFD"/>
    <w:rsid w:val="005047B7"/>
    <w:rsid w:val="00511EDF"/>
    <w:rsid w:val="0051241B"/>
    <w:rsid w:val="0051323B"/>
    <w:rsid w:val="00522DDE"/>
    <w:rsid w:val="00530E01"/>
    <w:rsid w:val="005469AF"/>
    <w:rsid w:val="005729E1"/>
    <w:rsid w:val="0059177A"/>
    <w:rsid w:val="00595F75"/>
    <w:rsid w:val="005C3133"/>
    <w:rsid w:val="005C3FBB"/>
    <w:rsid w:val="005D7CEB"/>
    <w:rsid w:val="005E69C6"/>
    <w:rsid w:val="00617DD7"/>
    <w:rsid w:val="006214C6"/>
    <w:rsid w:val="00627911"/>
    <w:rsid w:val="00637EDB"/>
    <w:rsid w:val="0064448F"/>
    <w:rsid w:val="00650849"/>
    <w:rsid w:val="006525EF"/>
    <w:rsid w:val="00662266"/>
    <w:rsid w:val="006645A6"/>
    <w:rsid w:val="00670E5F"/>
    <w:rsid w:val="006A0931"/>
    <w:rsid w:val="006B6E76"/>
    <w:rsid w:val="006F72A3"/>
    <w:rsid w:val="00724411"/>
    <w:rsid w:val="00763EED"/>
    <w:rsid w:val="00787C98"/>
    <w:rsid w:val="007C3BA7"/>
    <w:rsid w:val="007D137B"/>
    <w:rsid w:val="007F18EE"/>
    <w:rsid w:val="007F7B62"/>
    <w:rsid w:val="00803484"/>
    <w:rsid w:val="008265AC"/>
    <w:rsid w:val="00834996"/>
    <w:rsid w:val="008422C3"/>
    <w:rsid w:val="0085193A"/>
    <w:rsid w:val="008536A7"/>
    <w:rsid w:val="0089123A"/>
    <w:rsid w:val="00893724"/>
    <w:rsid w:val="00894FD5"/>
    <w:rsid w:val="008B033E"/>
    <w:rsid w:val="008D2767"/>
    <w:rsid w:val="008D3248"/>
    <w:rsid w:val="008E0260"/>
    <w:rsid w:val="008E20BD"/>
    <w:rsid w:val="009150CF"/>
    <w:rsid w:val="00941B89"/>
    <w:rsid w:val="009544F0"/>
    <w:rsid w:val="00962B94"/>
    <w:rsid w:val="009748E5"/>
    <w:rsid w:val="009E4DE4"/>
    <w:rsid w:val="00A015D6"/>
    <w:rsid w:val="00A239C9"/>
    <w:rsid w:val="00A40C7B"/>
    <w:rsid w:val="00A53E85"/>
    <w:rsid w:val="00A86B98"/>
    <w:rsid w:val="00A97DED"/>
    <w:rsid w:val="00AB3D80"/>
    <w:rsid w:val="00AC51F5"/>
    <w:rsid w:val="00AD36FA"/>
    <w:rsid w:val="00B00586"/>
    <w:rsid w:val="00B24986"/>
    <w:rsid w:val="00B35380"/>
    <w:rsid w:val="00B41A34"/>
    <w:rsid w:val="00B439D3"/>
    <w:rsid w:val="00B50F41"/>
    <w:rsid w:val="00B5259F"/>
    <w:rsid w:val="00B53668"/>
    <w:rsid w:val="00B57419"/>
    <w:rsid w:val="00B81C0F"/>
    <w:rsid w:val="00BC2A00"/>
    <w:rsid w:val="00C153BE"/>
    <w:rsid w:val="00C326DC"/>
    <w:rsid w:val="00C33C19"/>
    <w:rsid w:val="00CC55F1"/>
    <w:rsid w:val="00CD1483"/>
    <w:rsid w:val="00CE5317"/>
    <w:rsid w:val="00D25907"/>
    <w:rsid w:val="00D373FA"/>
    <w:rsid w:val="00D37F08"/>
    <w:rsid w:val="00D478F7"/>
    <w:rsid w:val="00D80571"/>
    <w:rsid w:val="00DB7BD4"/>
    <w:rsid w:val="00DC3CC9"/>
    <w:rsid w:val="00DF0AEF"/>
    <w:rsid w:val="00E26E18"/>
    <w:rsid w:val="00E307A9"/>
    <w:rsid w:val="00E31752"/>
    <w:rsid w:val="00E54120"/>
    <w:rsid w:val="00E54453"/>
    <w:rsid w:val="00EE22DC"/>
    <w:rsid w:val="00EE242C"/>
    <w:rsid w:val="00F36364"/>
    <w:rsid w:val="00F378D5"/>
    <w:rsid w:val="00F7082B"/>
    <w:rsid w:val="00F7106A"/>
    <w:rsid w:val="00F73A23"/>
    <w:rsid w:val="00F8755F"/>
    <w:rsid w:val="00FA1113"/>
    <w:rsid w:val="00FB65EE"/>
    <w:rsid w:val="00FC3A32"/>
    <w:rsid w:val="00FD78FA"/>
    <w:rsid w:val="3924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E161"/>
  <w15:docId w15:val="{D33E77FE-C78B-41EC-8213-A581C017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FC"/>
    <w:uiPriority w:val="99"/>
    <w:qFormat/>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DejaVu Sans" w:hAnsi="DejaVu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 w:type="paragraph" w:customStyle="1" w:styleId="Footnote">
    <w:name w:val="Footnote"/>
    <w:basedOn w:val="Normal"/>
    <w:link w:val="FootnoteChar"/>
    <w:autoRedefine/>
    <w:uiPriority w:val="99"/>
    <w:qFormat/>
    <w:rsid w:val="002D54D3"/>
    <w:pPr>
      <w:widowControl w:val="0"/>
      <w:suppressAutoHyphens w:val="0"/>
      <w:autoSpaceDN/>
      <w:spacing w:before="0" w:after="40"/>
    </w:pPr>
    <w:rPr>
      <w:rFonts w:ascii="Arial" w:hAnsi="Arial" w:cs="Calibri"/>
      <w:sz w:val="18"/>
      <w:szCs w:val="20"/>
    </w:rPr>
  </w:style>
  <w:style w:type="character" w:customStyle="1" w:styleId="FootnoteChar">
    <w:name w:val="Footnote Char"/>
    <w:basedOn w:val="DefaultParagraphFont"/>
    <w:link w:val="Footnote"/>
    <w:uiPriority w:val="99"/>
    <w:locked/>
    <w:rsid w:val="002D54D3"/>
    <w:rPr>
      <w:rFonts w:ascii="Arial" w:hAnsi="Arial" w:cs="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maglione@guidehous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shant.mehta@guidehous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62967-CFB2-4D7D-8ACD-A4C3BC2CB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3.xml><?xml version="1.0" encoding="utf-8"?>
<ds:datastoreItem xmlns:ds="http://schemas.openxmlformats.org/officeDocument/2006/customXml" ds:itemID="{4DA48528-2E6A-4EEA-853F-6A024FEF5A90}">
  <ds:schemaRefs>
    <ds:schemaRef ds:uri="http://purl.org/dc/dcmitype/"/>
    <ds:schemaRef ds:uri="http://www.w3.org/XML/1998/namespace"/>
    <ds:schemaRef ds:uri="dd860c49-519f-4fad-a9e7-096243cb3a9a"/>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d755eef-71ec-496f-ab18-a3e771bfb4a9"/>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9BA77A4-96FF-4F37-8832-3FE05EB9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19800</CharactersWithSpaces>
  <SharedDoc>false</SharedDoc>
  <HLinks>
    <vt:vector size="66" baseType="variant">
      <vt:variant>
        <vt:i4>1638460</vt:i4>
      </vt:variant>
      <vt:variant>
        <vt:i4>59</vt:i4>
      </vt:variant>
      <vt:variant>
        <vt:i4>0</vt:i4>
      </vt:variant>
      <vt:variant>
        <vt:i4>5</vt:i4>
      </vt:variant>
      <vt:variant>
        <vt:lpwstr/>
      </vt:variant>
      <vt:variant>
        <vt:lpwstr>_Toc191554967</vt:lpwstr>
      </vt:variant>
      <vt:variant>
        <vt:i4>1638460</vt:i4>
      </vt:variant>
      <vt:variant>
        <vt:i4>53</vt:i4>
      </vt:variant>
      <vt:variant>
        <vt:i4>0</vt:i4>
      </vt:variant>
      <vt:variant>
        <vt:i4>5</vt:i4>
      </vt:variant>
      <vt:variant>
        <vt:lpwstr/>
      </vt:variant>
      <vt:variant>
        <vt:lpwstr>_Toc191554966</vt:lpwstr>
      </vt:variant>
      <vt:variant>
        <vt:i4>1638460</vt:i4>
      </vt:variant>
      <vt:variant>
        <vt:i4>47</vt:i4>
      </vt:variant>
      <vt:variant>
        <vt:i4>0</vt:i4>
      </vt:variant>
      <vt:variant>
        <vt:i4>5</vt:i4>
      </vt:variant>
      <vt:variant>
        <vt:lpwstr/>
      </vt:variant>
      <vt:variant>
        <vt:lpwstr>_Toc191554965</vt:lpwstr>
      </vt:variant>
      <vt:variant>
        <vt:i4>1638460</vt:i4>
      </vt:variant>
      <vt:variant>
        <vt:i4>41</vt:i4>
      </vt:variant>
      <vt:variant>
        <vt:i4>0</vt:i4>
      </vt:variant>
      <vt:variant>
        <vt:i4>5</vt:i4>
      </vt:variant>
      <vt:variant>
        <vt:lpwstr/>
      </vt:variant>
      <vt:variant>
        <vt:lpwstr>_Toc191554964</vt:lpwstr>
      </vt:variant>
      <vt:variant>
        <vt:i4>1703997</vt:i4>
      </vt:variant>
      <vt:variant>
        <vt:i4>32</vt:i4>
      </vt:variant>
      <vt:variant>
        <vt:i4>0</vt:i4>
      </vt:variant>
      <vt:variant>
        <vt:i4>5</vt:i4>
      </vt:variant>
      <vt:variant>
        <vt:lpwstr/>
      </vt:variant>
      <vt:variant>
        <vt:lpwstr>_Toc191554854</vt:lpwstr>
      </vt:variant>
      <vt:variant>
        <vt:i4>1703997</vt:i4>
      </vt:variant>
      <vt:variant>
        <vt:i4>23</vt:i4>
      </vt:variant>
      <vt:variant>
        <vt:i4>0</vt:i4>
      </vt:variant>
      <vt:variant>
        <vt:i4>5</vt:i4>
      </vt:variant>
      <vt:variant>
        <vt:lpwstr/>
      </vt:variant>
      <vt:variant>
        <vt:lpwstr>_Toc191554850</vt:lpwstr>
      </vt:variant>
      <vt:variant>
        <vt:i4>1769533</vt:i4>
      </vt:variant>
      <vt:variant>
        <vt:i4>17</vt:i4>
      </vt:variant>
      <vt:variant>
        <vt:i4>0</vt:i4>
      </vt:variant>
      <vt:variant>
        <vt:i4>5</vt:i4>
      </vt:variant>
      <vt:variant>
        <vt:lpwstr/>
      </vt:variant>
      <vt:variant>
        <vt:lpwstr>_Toc191554849</vt:lpwstr>
      </vt:variant>
      <vt:variant>
        <vt:i4>1769533</vt:i4>
      </vt:variant>
      <vt:variant>
        <vt:i4>11</vt:i4>
      </vt:variant>
      <vt:variant>
        <vt:i4>0</vt:i4>
      </vt:variant>
      <vt:variant>
        <vt:i4>5</vt:i4>
      </vt:variant>
      <vt:variant>
        <vt:lpwstr/>
      </vt:variant>
      <vt:variant>
        <vt:lpwstr>_Toc191554848</vt:lpwstr>
      </vt:variant>
      <vt:variant>
        <vt:i4>3670096</vt:i4>
      </vt:variant>
      <vt:variant>
        <vt:i4>6</vt:i4>
      </vt:variant>
      <vt:variant>
        <vt:i4>0</vt:i4>
      </vt:variant>
      <vt:variant>
        <vt:i4>5</vt:i4>
      </vt:variant>
      <vt:variant>
        <vt:lpwstr>mailto:nishant.mehta@guidehouse.com</vt:lpwstr>
      </vt:variant>
      <vt:variant>
        <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Sophie Berne</cp:lastModifiedBy>
  <cp:revision>92</cp:revision>
  <dcterms:created xsi:type="dcterms:W3CDTF">2025-02-27T21:22:00Z</dcterms:created>
  <dcterms:modified xsi:type="dcterms:W3CDTF">2025-03-05T20:10:00Z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