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20CB" w14:textId="77777777" w:rsidR="00AA4DAE" w:rsidRDefault="00AA4DAE"/>
    <w:tbl>
      <w:tblPr>
        <w:tblW w:w="5000" w:type="pct"/>
        <w:jc w:val="center"/>
        <w:tblLayout w:type="fixed"/>
        <w:tblLook w:val="01E0" w:firstRow="1" w:lastRow="1" w:firstColumn="1" w:lastColumn="1" w:noHBand="0" w:noVBand="0"/>
      </w:tblPr>
      <w:tblGrid>
        <w:gridCol w:w="2214"/>
        <w:gridCol w:w="4948"/>
        <w:gridCol w:w="2198"/>
      </w:tblGrid>
      <w:tr w:rsidR="00000000" w:rsidRPr="00FD0661" w14:paraId="4E68E66C" w14:textId="77777777">
        <w:trPr>
          <w:trHeight w:val="1152"/>
          <w:jc w:val="center"/>
        </w:trPr>
        <w:tc>
          <w:tcPr>
            <w:tcW w:w="10224" w:type="dxa"/>
            <w:gridSpan w:val="3"/>
            <w:vAlign w:val="center"/>
          </w:tcPr>
          <w:p w14:paraId="21E0F6CD" w14:textId="77777777" w:rsidR="00AA4DAE" w:rsidRPr="00FD0661" w:rsidRDefault="00AA4DAE">
            <w:pPr>
              <w:pStyle w:val="Title"/>
              <w:rPr>
                <w:rFonts w:cs="Arial"/>
                <w:bCs/>
              </w:rPr>
            </w:pPr>
          </w:p>
        </w:tc>
      </w:tr>
      <w:tr w:rsidR="00000000" w:rsidRPr="00FD0661" w14:paraId="079D0B83" w14:textId="77777777">
        <w:trPr>
          <w:trHeight w:val="2114"/>
          <w:jc w:val="center"/>
        </w:trPr>
        <w:tc>
          <w:tcPr>
            <w:tcW w:w="10224" w:type="dxa"/>
            <w:gridSpan w:val="3"/>
            <w:vAlign w:val="center"/>
          </w:tcPr>
          <w:p w14:paraId="44E72CA0" w14:textId="23D0E7E4" w:rsidR="00AA4DAE" w:rsidRPr="00FD0661" w:rsidRDefault="00A13F0F">
            <w:pPr>
              <w:pStyle w:val="Title"/>
              <w:rPr>
                <w:rFonts w:cs="Arial"/>
                <w:b w:val="0"/>
                <w:bCs/>
              </w:rPr>
            </w:pPr>
            <w:r w:rsidRPr="00FD0661">
              <w:rPr>
                <w:rFonts w:cs="Arial"/>
                <w:bCs/>
              </w:rPr>
              <w:t xml:space="preserve">ComEd </w:t>
            </w:r>
            <w:bookmarkStart w:id="0" w:name="Title_Program_Name"/>
            <w:r w:rsidRPr="003B3336">
              <w:rPr>
                <w:rFonts w:cs="Arial"/>
                <w:bCs/>
              </w:rPr>
              <w:t>New Construction - IE</w:t>
            </w:r>
            <w:bookmarkEnd w:id="0"/>
            <w:r w:rsidRPr="00FD0661">
              <w:rPr>
                <w:rFonts w:cs="Arial"/>
                <w:bCs/>
              </w:rPr>
              <w:t xml:space="preserve"> Program Impact Evaluation Report</w:t>
            </w:r>
          </w:p>
          <w:p w14:paraId="73A7CE2A" w14:textId="320C9C13" w:rsidR="00AA4DAE" w:rsidRPr="00FD0661" w:rsidRDefault="00A13F0F">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r>
      <w:tr w:rsidR="00000000" w:rsidRPr="00FD0661" w14:paraId="31B5C567" w14:textId="77777777">
        <w:trPr>
          <w:trHeight w:val="2263"/>
          <w:jc w:val="center"/>
        </w:trPr>
        <w:tc>
          <w:tcPr>
            <w:tcW w:w="10224" w:type="dxa"/>
            <w:gridSpan w:val="3"/>
          </w:tcPr>
          <w:p w14:paraId="2ECF4395" w14:textId="663F0CCF" w:rsidR="00AA4DAE" w:rsidRPr="00FD0661" w:rsidRDefault="00A13F0F">
            <w:pPr>
              <w:pStyle w:val="Preparedfor"/>
              <w:spacing w:before="0" w:after="240"/>
              <w:rPr>
                <w:rFonts w:cs="Arial"/>
              </w:rPr>
            </w:pPr>
            <w:r w:rsidRPr="00FD0661">
              <w:rPr>
                <w:rFonts w:cs="Arial"/>
              </w:rPr>
              <w:t>Prepared for:</w:t>
            </w:r>
          </w:p>
          <w:p w14:paraId="60607E4C" w14:textId="77777777" w:rsidR="00AA4DAE" w:rsidRPr="00FD0661" w:rsidRDefault="00A13F0F">
            <w:pPr>
              <w:pStyle w:val="Preparedfor"/>
              <w:rPr>
                <w:rFonts w:cs="Arial"/>
              </w:rPr>
            </w:pPr>
            <w:r w:rsidRPr="00FD0661">
              <w:rPr>
                <w:rFonts w:cs="Arial"/>
              </w:rPr>
              <w:t>ComEd</w:t>
            </w:r>
          </w:p>
          <w:p w14:paraId="70DA1B46" w14:textId="77777777" w:rsidR="00AA4DAE" w:rsidRPr="00FD0661" w:rsidRDefault="00A13F0F">
            <w:pPr>
              <w:pStyle w:val="CoverClientName"/>
              <w:spacing w:after="0"/>
              <w:rPr>
                <w:rFonts w:cs="Arial"/>
                <w:sz w:val="48"/>
                <w:szCs w:val="48"/>
              </w:rPr>
            </w:pPr>
            <w:r w:rsidRPr="00FD0661">
              <w:rPr>
                <w:rFonts w:cs="Arial"/>
                <w:sz w:val="48"/>
                <w:szCs w:val="48"/>
              </w:rPr>
              <w:t>DRAFT</w:t>
            </w:r>
          </w:p>
          <w:p w14:paraId="7A553B52" w14:textId="77777777" w:rsidR="00AA4DAE" w:rsidRPr="00FD0661" w:rsidRDefault="00AA4DAE">
            <w:pPr>
              <w:pStyle w:val="CoverClientName"/>
              <w:spacing w:after="0"/>
              <w:rPr>
                <w:rFonts w:cs="Arial"/>
              </w:rPr>
            </w:pPr>
          </w:p>
          <w:p w14:paraId="32D1B266" w14:textId="6673BB5F" w:rsidR="00AA4DAE" w:rsidRPr="00FD0661" w:rsidRDefault="00EC4E4D">
            <w:pPr>
              <w:pStyle w:val="CoverClientName"/>
              <w:spacing w:after="0"/>
              <w:rPr>
                <w:rFonts w:cs="Arial"/>
              </w:rPr>
            </w:pPr>
            <w:r>
              <w:rPr>
                <w:rFonts w:cs="Arial"/>
              </w:rPr>
              <w:t>February 2</w:t>
            </w:r>
            <w:r w:rsidR="00B41BAD">
              <w:rPr>
                <w:rFonts w:cs="Arial"/>
              </w:rPr>
              <w:t>8</w:t>
            </w:r>
            <w:r>
              <w:rPr>
                <w:rFonts w:cs="Arial"/>
              </w:rPr>
              <w:t>, 2025</w:t>
            </w:r>
          </w:p>
        </w:tc>
      </w:tr>
      <w:tr w:rsidR="00000000" w:rsidRPr="00FD0661" w14:paraId="4B7C97C1" w14:textId="77777777">
        <w:trPr>
          <w:trHeight w:val="419"/>
          <w:jc w:val="center"/>
        </w:trPr>
        <w:tc>
          <w:tcPr>
            <w:tcW w:w="7830" w:type="dxa"/>
            <w:gridSpan w:val="2"/>
          </w:tcPr>
          <w:p w14:paraId="2562CBCC" w14:textId="77777777" w:rsidR="00AA4DAE" w:rsidRPr="00FD0661" w:rsidRDefault="00AA4DAE">
            <w:pPr>
              <w:rPr>
                <w:rStyle w:val="CoverText"/>
                <w:rFonts w:cs="Arial"/>
              </w:rPr>
            </w:pPr>
          </w:p>
          <w:p w14:paraId="5A31209B" w14:textId="0B73CB7F" w:rsidR="00AA4DAE" w:rsidRPr="00FD0661" w:rsidRDefault="00A13F0F">
            <w:pPr>
              <w:rPr>
                <w:rStyle w:val="CoverText"/>
                <w:rFonts w:cs="Arial"/>
              </w:rPr>
            </w:pPr>
            <w:r w:rsidRPr="00FD0661">
              <w:rPr>
                <w:rStyle w:val="CoverText"/>
                <w:rFonts w:cs="Arial"/>
              </w:rPr>
              <w:t xml:space="preserve">Prepared by: </w:t>
            </w:r>
          </w:p>
        </w:tc>
        <w:tc>
          <w:tcPr>
            <w:tcW w:w="2394" w:type="dxa"/>
          </w:tcPr>
          <w:p w14:paraId="29BCCFCC" w14:textId="77777777" w:rsidR="00AA4DAE" w:rsidRPr="00FD0661" w:rsidRDefault="00AA4DAE">
            <w:pPr>
              <w:rPr>
                <w:rStyle w:val="CoverText"/>
                <w:rFonts w:cs="Arial"/>
              </w:rPr>
            </w:pPr>
          </w:p>
        </w:tc>
      </w:tr>
      <w:tr w:rsidR="00000000" w:rsidRPr="00FD0661" w14:paraId="5C9AEF26" w14:textId="77777777">
        <w:trPr>
          <w:trHeight w:val="1296"/>
          <w:jc w:val="center"/>
        </w:trPr>
        <w:tc>
          <w:tcPr>
            <w:tcW w:w="2411" w:type="dxa"/>
            <w:vAlign w:val="center"/>
          </w:tcPr>
          <w:p w14:paraId="6C27E7B7" w14:textId="541EF05A" w:rsidR="00AA4DAE" w:rsidRPr="00C84E9D" w:rsidRDefault="00947A0A">
            <w:pPr>
              <w:rPr>
                <w:rFonts w:ascii="Arial" w:hAnsi="Arial" w:cs="Arial"/>
                <w:noProof/>
              </w:rPr>
            </w:pPr>
            <w:r>
              <w:rPr>
                <w:rFonts w:ascii="Arial" w:hAnsi="Arial" w:cs="Arial"/>
                <w:noProof/>
              </w:rPr>
              <w:t>Natasha Herring</w:t>
            </w:r>
          </w:p>
          <w:p w14:paraId="17EC0B2A" w14:textId="5A70F8EF" w:rsidR="00AA4DAE" w:rsidRPr="00FD0661" w:rsidRDefault="00EC4E4D">
            <w:pPr>
              <w:rPr>
                <w:rFonts w:ascii="Arial" w:hAnsi="Arial" w:cs="Arial"/>
                <w:bCs/>
              </w:rPr>
            </w:pPr>
            <w:r>
              <w:rPr>
                <w:rFonts w:ascii="Arial" w:hAnsi="Arial" w:cs="Arial"/>
                <w:noProof/>
              </w:rPr>
              <w:t>Guidehouse</w:t>
            </w:r>
            <w:r w:rsidRPr="00FD0661">
              <w:rPr>
                <w:rFonts w:ascii="Arial" w:hAnsi="Arial" w:cs="Arial"/>
                <w:bCs/>
              </w:rPr>
              <w:t xml:space="preserve"> </w:t>
            </w:r>
          </w:p>
        </w:tc>
        <w:tc>
          <w:tcPr>
            <w:tcW w:w="5419" w:type="dxa"/>
            <w:vAlign w:val="center"/>
          </w:tcPr>
          <w:p w14:paraId="55751AE1" w14:textId="0712421A" w:rsidR="00AA4DAE" w:rsidRPr="00C84E9D" w:rsidRDefault="00EC4E4D">
            <w:pPr>
              <w:rPr>
                <w:rFonts w:ascii="Arial" w:hAnsi="Arial" w:cs="Arial"/>
                <w:noProof/>
              </w:rPr>
            </w:pPr>
            <w:r>
              <w:rPr>
                <w:rFonts w:ascii="Arial" w:hAnsi="Arial" w:cs="Arial"/>
                <w:noProof/>
              </w:rPr>
              <w:t>Ryan Kroll</w:t>
            </w:r>
          </w:p>
          <w:p w14:paraId="089514AA" w14:textId="46F38A04" w:rsidR="00AA4DAE" w:rsidRPr="00FD0661" w:rsidRDefault="00EC4E4D">
            <w:pPr>
              <w:rPr>
                <w:rStyle w:val="CoverText"/>
                <w:rFonts w:cs="Arial"/>
                <w:bCs/>
              </w:rPr>
            </w:pPr>
            <w:r>
              <w:rPr>
                <w:rFonts w:ascii="Arial" w:hAnsi="Arial" w:cs="Arial"/>
                <w:noProof/>
              </w:rPr>
              <w:t>Driftless Energy</w:t>
            </w:r>
          </w:p>
        </w:tc>
        <w:tc>
          <w:tcPr>
            <w:tcW w:w="2394" w:type="dxa"/>
          </w:tcPr>
          <w:p w14:paraId="5A4678F3" w14:textId="77777777" w:rsidR="00AA4DAE" w:rsidRPr="00FD0661" w:rsidRDefault="00AA4DAE">
            <w:pPr>
              <w:pStyle w:val="PresentedBy"/>
              <w:spacing w:after="120"/>
              <w:rPr>
                <w:rStyle w:val="CoverText"/>
                <w:rFonts w:cs="Arial"/>
                <w:bCs/>
                <w:iCs/>
              </w:rPr>
            </w:pPr>
          </w:p>
        </w:tc>
      </w:tr>
      <w:tr w:rsidR="00000000" w:rsidRPr="00FD0661" w14:paraId="62532FF8" w14:textId="77777777">
        <w:trPr>
          <w:trHeight w:val="900"/>
          <w:jc w:val="center"/>
        </w:trPr>
        <w:tc>
          <w:tcPr>
            <w:tcW w:w="2411" w:type="dxa"/>
            <w:vAlign w:val="center"/>
          </w:tcPr>
          <w:p w14:paraId="15D4E541" w14:textId="4AB71245" w:rsidR="00AA4DAE" w:rsidRPr="00FD0661" w:rsidRDefault="00AA4DAE">
            <w:pPr>
              <w:pStyle w:val="PresentedBy"/>
              <w:jc w:val="center"/>
              <w:rPr>
                <w:rFonts w:cs="Arial"/>
                <w:bCs/>
                <w:color w:val="auto"/>
              </w:rPr>
            </w:pPr>
          </w:p>
        </w:tc>
        <w:tc>
          <w:tcPr>
            <w:tcW w:w="5419" w:type="dxa"/>
            <w:vAlign w:val="center"/>
          </w:tcPr>
          <w:p w14:paraId="236BAD08" w14:textId="45B5CCAE" w:rsidR="00AA4DAE" w:rsidRPr="00FD0661" w:rsidRDefault="00AA4DAE">
            <w:pPr>
              <w:jc w:val="center"/>
              <w:rPr>
                <w:rStyle w:val="CoverText"/>
                <w:rFonts w:cs="Arial"/>
                <w:bCs/>
              </w:rPr>
            </w:pPr>
          </w:p>
        </w:tc>
        <w:tc>
          <w:tcPr>
            <w:tcW w:w="2394" w:type="dxa"/>
            <w:vAlign w:val="center"/>
          </w:tcPr>
          <w:p w14:paraId="74D9CB25" w14:textId="4D364249" w:rsidR="00AA4DAE" w:rsidRPr="00FD0661" w:rsidRDefault="00AA4DAE">
            <w:pPr>
              <w:pStyle w:val="PresentedBy"/>
              <w:jc w:val="center"/>
              <w:rPr>
                <w:rStyle w:val="CoverText"/>
                <w:rFonts w:cs="Arial"/>
                <w:bCs/>
                <w:iCs/>
              </w:rPr>
            </w:pPr>
          </w:p>
        </w:tc>
      </w:tr>
      <w:tr w:rsidR="00000000" w:rsidRPr="00FD0661" w14:paraId="482BF8E9" w14:textId="77777777">
        <w:trPr>
          <w:trHeight w:val="900"/>
          <w:jc w:val="center"/>
        </w:trPr>
        <w:tc>
          <w:tcPr>
            <w:tcW w:w="2411" w:type="dxa"/>
            <w:vAlign w:val="center"/>
          </w:tcPr>
          <w:p w14:paraId="08FE96E6" w14:textId="0C3F1484" w:rsidR="00AA4DAE" w:rsidRPr="00FD0661" w:rsidRDefault="00A13F0F">
            <w:pPr>
              <w:pStyle w:val="PresentedBy"/>
              <w:jc w:val="center"/>
              <w:rPr>
                <w:rFonts w:cs="Arial"/>
                <w:bCs/>
                <w:color w:val="auto"/>
              </w:rPr>
            </w:pPr>
            <w:r w:rsidRPr="00FD0661">
              <w:rPr>
                <w:rFonts w:cs="Arial"/>
                <w:noProof/>
              </w:rPr>
              <w:drawing>
                <wp:inline distT="0" distB="0" distL="0" distR="0" wp14:anchorId="6B02CD23" wp14:editId="7739109B">
                  <wp:extent cx="1320800" cy="43878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0800" cy="438785"/>
                          </a:xfrm>
                          <a:prstGeom prst="rect">
                            <a:avLst/>
                          </a:prstGeom>
                          <a:noFill/>
                          <a:ln>
                            <a:noFill/>
                          </a:ln>
                        </pic:spPr>
                      </pic:pic>
                    </a:graphicData>
                  </a:graphic>
                </wp:inline>
              </w:drawing>
            </w:r>
          </w:p>
        </w:tc>
        <w:tc>
          <w:tcPr>
            <w:tcW w:w="5419" w:type="dxa"/>
            <w:vAlign w:val="center"/>
          </w:tcPr>
          <w:p w14:paraId="29EFB638" w14:textId="77777777" w:rsidR="00AA4DAE" w:rsidRPr="00FD0661" w:rsidRDefault="00AA4DAE">
            <w:pPr>
              <w:jc w:val="center"/>
              <w:rPr>
                <w:rStyle w:val="CoverText"/>
                <w:rFonts w:cs="Arial"/>
                <w:bCs/>
              </w:rPr>
            </w:pPr>
          </w:p>
        </w:tc>
        <w:tc>
          <w:tcPr>
            <w:tcW w:w="2394" w:type="dxa"/>
            <w:vAlign w:val="center"/>
          </w:tcPr>
          <w:p w14:paraId="6C2E52D0" w14:textId="5D329ED4" w:rsidR="00AA4DAE" w:rsidRPr="00FD0661" w:rsidRDefault="00AA4DAE">
            <w:pPr>
              <w:pStyle w:val="PresentedBy"/>
              <w:jc w:val="center"/>
              <w:rPr>
                <w:rStyle w:val="CoverText"/>
                <w:rFonts w:cs="Arial"/>
                <w:bCs/>
                <w:iCs/>
              </w:rPr>
            </w:pPr>
          </w:p>
        </w:tc>
      </w:tr>
    </w:tbl>
    <w:p w14:paraId="6F570DAA" w14:textId="3050FDAC" w:rsidR="00AA4DAE" w:rsidRDefault="00AA4DAE"/>
    <w:p w14:paraId="79B418E2" w14:textId="2573CE38" w:rsidR="00AA4DAE" w:rsidRDefault="00A13F0F">
      <w:pPr>
        <w:suppressAutoHyphens w:val="0"/>
        <w:spacing w:before="0" w:after="0"/>
      </w:pPr>
      <w:r>
        <w:br w:type="page"/>
      </w:r>
    </w:p>
    <w:p w14:paraId="66BB0E90" w14:textId="77777777" w:rsidR="00AA4DAE" w:rsidRPr="00CE32C9" w:rsidRDefault="00AA4DAE">
      <w:pPr>
        <w:rPr>
          <w:rFonts w:ascii="Arial" w:hAnsi="Arial" w:cs="Arial"/>
          <w:sz w:val="20"/>
          <w:szCs w:val="20"/>
        </w:rPr>
      </w:pPr>
    </w:p>
    <w:p w14:paraId="34B22307" w14:textId="77777777" w:rsidR="00AA4DAE" w:rsidRPr="006C7A52" w:rsidRDefault="00A13F0F">
      <w:pPr>
        <w:spacing w:before="0" w:after="0"/>
        <w:rPr>
          <w:rFonts w:ascii="Arial" w:hAnsi="Arial" w:cs="Arial"/>
          <w:b/>
          <w:bCs/>
        </w:rPr>
      </w:pPr>
      <w:r w:rsidRPr="006C7A52">
        <w:rPr>
          <w:rFonts w:ascii="Arial" w:hAnsi="Arial" w:cs="Arial"/>
          <w:b/>
          <w:bCs/>
        </w:rPr>
        <w:t>Submitted to:</w:t>
      </w:r>
    </w:p>
    <w:p w14:paraId="30F68748" w14:textId="77777777" w:rsidR="00AA4DAE" w:rsidRPr="006C7A52" w:rsidRDefault="00A13F0F">
      <w:pPr>
        <w:spacing w:before="0" w:after="0"/>
        <w:rPr>
          <w:rFonts w:ascii="Arial" w:hAnsi="Arial" w:cs="Arial"/>
        </w:rPr>
      </w:pPr>
      <w:r w:rsidRPr="006C7A52">
        <w:rPr>
          <w:rFonts w:ascii="Arial" w:hAnsi="Arial" w:cs="Arial"/>
        </w:rPr>
        <w:t>ComEd</w:t>
      </w:r>
    </w:p>
    <w:p w14:paraId="7CB0906C" w14:textId="77777777" w:rsidR="00AA4DAE" w:rsidRPr="006C7A52" w:rsidRDefault="00A13F0F">
      <w:pPr>
        <w:spacing w:before="0" w:after="0"/>
        <w:rPr>
          <w:rFonts w:ascii="Arial" w:hAnsi="Arial" w:cs="Arial"/>
        </w:rPr>
      </w:pPr>
      <w:r w:rsidRPr="006C7A52">
        <w:rPr>
          <w:rFonts w:ascii="Arial" w:hAnsi="Arial" w:cs="Arial"/>
        </w:rPr>
        <w:t>2011 Swift Drive</w:t>
      </w:r>
    </w:p>
    <w:p w14:paraId="1CA17313" w14:textId="77777777" w:rsidR="00AA4DAE" w:rsidRPr="006C7A52" w:rsidRDefault="00A13F0F">
      <w:pPr>
        <w:spacing w:before="0" w:after="0"/>
        <w:rPr>
          <w:rFonts w:ascii="Arial" w:hAnsi="Arial" w:cs="Arial"/>
        </w:rPr>
      </w:pPr>
      <w:r w:rsidRPr="006C7A52">
        <w:rPr>
          <w:rFonts w:ascii="Arial" w:hAnsi="Arial" w:cs="Arial"/>
        </w:rPr>
        <w:t>Oak Brook, IL 60523</w:t>
      </w:r>
    </w:p>
    <w:p w14:paraId="3CEACB98" w14:textId="77777777" w:rsidR="00AA4DAE" w:rsidRPr="006C7A52" w:rsidRDefault="00AA4DAE">
      <w:pPr>
        <w:spacing w:before="0" w:after="0"/>
        <w:rPr>
          <w:rFonts w:ascii="Arial" w:hAnsi="Arial" w:cs="Arial"/>
        </w:rPr>
      </w:pPr>
    </w:p>
    <w:p w14:paraId="16915B44" w14:textId="77777777" w:rsidR="00AA4DAE" w:rsidRPr="006C7A52" w:rsidRDefault="00A13F0F">
      <w:pPr>
        <w:spacing w:before="0" w:after="0"/>
        <w:rPr>
          <w:rFonts w:ascii="Arial" w:hAnsi="Arial" w:cs="Arial"/>
          <w:b/>
          <w:bCs/>
        </w:rPr>
      </w:pPr>
      <w:r w:rsidRPr="006C7A52">
        <w:rPr>
          <w:rFonts w:ascii="Arial" w:hAnsi="Arial" w:cs="Arial"/>
          <w:b/>
          <w:bCs/>
        </w:rPr>
        <w:t>Submitted by:</w:t>
      </w:r>
    </w:p>
    <w:p w14:paraId="6166F965" w14:textId="77777777" w:rsidR="00AA4DAE" w:rsidRPr="006C7A52" w:rsidRDefault="00A13F0F">
      <w:pPr>
        <w:spacing w:before="0" w:after="0"/>
        <w:rPr>
          <w:rFonts w:ascii="Arial" w:hAnsi="Arial" w:cs="Arial"/>
        </w:rPr>
      </w:pPr>
      <w:r w:rsidRPr="006C7A52">
        <w:rPr>
          <w:rFonts w:ascii="Arial" w:hAnsi="Arial" w:cs="Arial"/>
        </w:rPr>
        <w:t>Guidehouse Inc.</w:t>
      </w:r>
    </w:p>
    <w:p w14:paraId="467A92A6" w14:textId="77777777" w:rsidR="00AA4DAE" w:rsidRPr="006C7A52" w:rsidRDefault="00A13F0F">
      <w:pPr>
        <w:spacing w:before="0" w:after="0"/>
        <w:rPr>
          <w:rFonts w:ascii="Arial" w:hAnsi="Arial" w:cs="Arial"/>
        </w:rPr>
      </w:pPr>
      <w:r w:rsidRPr="006C7A52">
        <w:rPr>
          <w:rFonts w:ascii="Arial" w:hAnsi="Arial" w:cs="Arial"/>
        </w:rPr>
        <w:t>150 N. Riverside Plaza, Suite 2100</w:t>
      </w:r>
    </w:p>
    <w:p w14:paraId="6758C6EA" w14:textId="77777777" w:rsidR="00AA4DAE" w:rsidRPr="006C7A52" w:rsidRDefault="00A13F0F">
      <w:pPr>
        <w:spacing w:before="0" w:after="0"/>
        <w:rPr>
          <w:rFonts w:ascii="Arial" w:hAnsi="Arial" w:cs="Arial"/>
        </w:rPr>
      </w:pPr>
      <w:r w:rsidRPr="006C7A52">
        <w:rPr>
          <w:rFonts w:ascii="Arial" w:hAnsi="Arial" w:cs="Arial"/>
        </w:rPr>
        <w:t>Chicago, IL 60606</w:t>
      </w:r>
    </w:p>
    <w:p w14:paraId="53D3EC54" w14:textId="77777777" w:rsidR="00AA4DAE" w:rsidRPr="006C7A52" w:rsidRDefault="00AA4DAE">
      <w:pPr>
        <w:spacing w:before="0" w:after="0"/>
        <w:rPr>
          <w:rFonts w:ascii="Arial" w:hAnsi="Arial" w:cs="Arial"/>
        </w:rPr>
      </w:pPr>
    </w:p>
    <w:p w14:paraId="041E2CE2" w14:textId="77777777" w:rsidR="00AA4DAE" w:rsidRPr="006C7A52" w:rsidRDefault="00AA4DAE">
      <w:pPr>
        <w:spacing w:before="0" w:after="0"/>
        <w:rPr>
          <w:rFonts w:ascii="Arial" w:hAnsi="Arial" w:cs="Arial"/>
        </w:rPr>
      </w:pPr>
    </w:p>
    <w:p w14:paraId="14AC8FD4" w14:textId="77777777" w:rsidR="00AA4DAE" w:rsidRPr="006C7A52" w:rsidRDefault="00A13F0F">
      <w:pPr>
        <w:spacing w:before="0" w:after="0"/>
        <w:rPr>
          <w:rFonts w:ascii="Arial" w:hAnsi="Arial" w:cs="Arial"/>
        </w:rPr>
      </w:pPr>
      <w:r w:rsidRPr="006C7A52">
        <w:rPr>
          <w:rFonts w:ascii="Arial" w:hAnsi="Arial" w:cs="Arial"/>
          <w:b/>
        </w:rPr>
        <w:t>Contact:</w:t>
      </w:r>
    </w:p>
    <w:p w14:paraId="3B16748F" w14:textId="77777777" w:rsidR="00AA4DAE" w:rsidRPr="006C7A52" w:rsidRDefault="00AA4DAE">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600"/>
        <w:gridCol w:w="3330"/>
      </w:tblGrid>
      <w:tr w:rsidR="00000000" w:rsidRPr="00D2661E" w14:paraId="235085F4" w14:textId="77777777">
        <w:tc>
          <w:tcPr>
            <w:tcW w:w="3330" w:type="dxa"/>
          </w:tcPr>
          <w:p w14:paraId="678262CB" w14:textId="77777777" w:rsidR="00AA4DAE" w:rsidRPr="00601FE0" w:rsidRDefault="00A13F0F">
            <w:pPr>
              <w:spacing w:before="0" w:after="0"/>
              <w:rPr>
                <w:rFonts w:ascii="Arial" w:hAnsi="Arial" w:cs="Arial"/>
                <w:sz w:val="21"/>
                <w:szCs w:val="21"/>
              </w:rPr>
            </w:pPr>
            <w:r w:rsidRPr="00601FE0">
              <w:rPr>
                <w:rFonts w:ascii="Arial" w:eastAsia="Arial" w:hAnsi="Arial" w:cs="Arial"/>
                <w:sz w:val="21"/>
                <w:szCs w:val="21"/>
              </w:rPr>
              <w:t>Charles Maglione, Partner</w:t>
            </w:r>
          </w:p>
          <w:p w14:paraId="10150594" w14:textId="77777777" w:rsidR="00AA4DAE" w:rsidRPr="00601FE0" w:rsidRDefault="00A13F0F">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AA4DAE" w:rsidRPr="00601FE0" w:rsidRDefault="003C7AD3">
            <w:pPr>
              <w:spacing w:before="0" w:after="0"/>
              <w:rPr>
                <w:rFonts w:cs="Arial"/>
                <w:sz w:val="21"/>
                <w:szCs w:val="21"/>
              </w:rPr>
            </w:pPr>
            <w:hyperlink r:id="rId12">
              <w:r w:rsidR="00A13F0F" w:rsidRPr="00601FE0">
                <w:rPr>
                  <w:rFonts w:ascii="Arial" w:hAnsi="Arial" w:cs="Arial"/>
                  <w:b/>
                  <w:sz w:val="21"/>
                  <w:szCs w:val="21"/>
                  <w:u w:val="single" w:color="93D500" w:themeColor="accent1"/>
                </w:rPr>
                <w:t>cmaglione@guidehouse.com</w:t>
              </w:r>
            </w:hyperlink>
          </w:p>
        </w:tc>
        <w:tc>
          <w:tcPr>
            <w:tcW w:w="3600" w:type="dxa"/>
          </w:tcPr>
          <w:p w14:paraId="4E07A055" w14:textId="77777777" w:rsidR="00AA4DAE" w:rsidRPr="00601FE0" w:rsidRDefault="00A13F0F">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AA4DAE" w:rsidRPr="00601FE0" w:rsidRDefault="00A13F0F">
            <w:pPr>
              <w:spacing w:before="0" w:after="0"/>
              <w:rPr>
                <w:rFonts w:ascii="Arial" w:hAnsi="Arial" w:cs="Arial"/>
                <w:sz w:val="21"/>
                <w:szCs w:val="21"/>
              </w:rPr>
            </w:pPr>
            <w:r w:rsidRPr="00601FE0">
              <w:rPr>
                <w:rFonts w:ascii="Arial" w:hAnsi="Arial" w:cs="Arial"/>
                <w:sz w:val="21"/>
                <w:szCs w:val="21"/>
              </w:rPr>
              <w:t>608.616.4962</w:t>
            </w:r>
          </w:p>
          <w:p w14:paraId="055B9C71" w14:textId="27646AED" w:rsidR="00AA4DAE" w:rsidRPr="00601FE0" w:rsidRDefault="003C7AD3">
            <w:pPr>
              <w:spacing w:before="0" w:after="0"/>
              <w:rPr>
                <w:rFonts w:ascii="Arial" w:hAnsi="Arial" w:cs="Arial"/>
                <w:sz w:val="21"/>
                <w:szCs w:val="21"/>
                <w:u w:color="93D500" w:themeColor="accent1"/>
              </w:rPr>
            </w:pPr>
            <w:hyperlink r:id="rId13" w:history="1">
              <w:r w:rsidR="00A13F0F" w:rsidRPr="00601FE0">
                <w:rPr>
                  <w:rFonts w:ascii="Arial" w:hAnsi="Arial" w:cs="Arial"/>
                  <w:b/>
                  <w:sz w:val="21"/>
                  <w:szCs w:val="21"/>
                  <w:u w:val="single" w:color="93D500" w:themeColor="accent1"/>
                </w:rPr>
                <w:t>jeff.erickson@guidehouse.com</w:t>
              </w:r>
            </w:hyperlink>
          </w:p>
        </w:tc>
        <w:tc>
          <w:tcPr>
            <w:tcW w:w="3330" w:type="dxa"/>
          </w:tcPr>
          <w:p w14:paraId="22DF3BDF" w14:textId="6CD71BF8" w:rsidR="00EC4E4D" w:rsidRPr="00D2661E" w:rsidRDefault="00EC4E4D">
            <w:pPr>
              <w:spacing w:before="0" w:after="0"/>
              <w:rPr>
                <w:rFonts w:ascii="Arial" w:hAnsi="Arial" w:cs="Arial"/>
                <w:sz w:val="21"/>
                <w:szCs w:val="21"/>
              </w:rPr>
            </w:pPr>
            <w:r w:rsidRPr="00D2661E">
              <w:rPr>
                <w:rFonts w:ascii="Arial" w:hAnsi="Arial" w:cs="Arial"/>
                <w:sz w:val="21"/>
                <w:szCs w:val="21"/>
              </w:rPr>
              <w:t>N</w:t>
            </w:r>
            <w:r w:rsidR="00D31800">
              <w:rPr>
                <w:rFonts w:ascii="Arial" w:hAnsi="Arial" w:cs="Arial"/>
                <w:sz w:val="21"/>
                <w:szCs w:val="21"/>
              </w:rPr>
              <w:t xml:space="preserve">atasha Herring, Managing </w:t>
            </w:r>
            <w:r w:rsidR="00947A0A">
              <w:rPr>
                <w:rFonts w:ascii="Arial" w:hAnsi="Arial" w:cs="Arial"/>
                <w:sz w:val="21"/>
                <w:szCs w:val="21"/>
              </w:rPr>
              <w:t>Consultant</w:t>
            </w:r>
          </w:p>
          <w:p w14:paraId="268D4C35" w14:textId="035566FC" w:rsidR="00AA4DAE" w:rsidRPr="00D2661E" w:rsidRDefault="00947A0A">
            <w:pPr>
              <w:spacing w:before="0" w:after="0"/>
              <w:rPr>
                <w:rFonts w:ascii="Arial" w:hAnsi="Arial" w:cs="Arial"/>
                <w:sz w:val="21"/>
                <w:szCs w:val="21"/>
              </w:rPr>
            </w:pPr>
            <w:r>
              <w:rPr>
                <w:rFonts w:ascii="Arial" w:hAnsi="Arial" w:cs="Arial"/>
                <w:sz w:val="21"/>
                <w:szCs w:val="21"/>
              </w:rPr>
              <w:t>303.600.3934</w:t>
            </w:r>
          </w:p>
          <w:p w14:paraId="4CF30D42" w14:textId="3D2A2DE3" w:rsidR="00AA4DAE" w:rsidRPr="00D2661E" w:rsidRDefault="00EC4E4D">
            <w:pPr>
              <w:spacing w:before="0" w:after="0"/>
              <w:rPr>
                <w:rFonts w:ascii="Arial" w:hAnsi="Arial" w:cs="Arial"/>
                <w:sz w:val="21"/>
                <w:szCs w:val="21"/>
              </w:rPr>
            </w:pPr>
            <w:r w:rsidRPr="00D2661E">
              <w:rPr>
                <w:rFonts w:ascii="Arial" w:hAnsi="Arial" w:cs="Arial"/>
                <w:b/>
                <w:sz w:val="21"/>
                <w:szCs w:val="21"/>
                <w:u w:val="single" w:color="93D500" w:themeColor="accent1"/>
              </w:rPr>
              <w:t>N</w:t>
            </w:r>
            <w:r w:rsidR="00024313">
              <w:rPr>
                <w:rFonts w:ascii="Arial" w:hAnsi="Arial" w:cs="Arial"/>
                <w:b/>
                <w:sz w:val="21"/>
                <w:szCs w:val="21"/>
                <w:u w:val="single" w:color="93D500" w:themeColor="accent1"/>
              </w:rPr>
              <w:t>AHerring@</w:t>
            </w:r>
            <w:r w:rsidRPr="00D2661E">
              <w:rPr>
                <w:rFonts w:ascii="Arial" w:hAnsi="Arial" w:cs="Arial"/>
                <w:b/>
                <w:sz w:val="21"/>
                <w:szCs w:val="21"/>
                <w:u w:val="single" w:color="93D500" w:themeColor="accent1"/>
              </w:rPr>
              <w:t>guidehouse.com</w:t>
            </w:r>
            <w:r w:rsidRPr="00D2661E">
              <w:rPr>
                <w:rFonts w:ascii="Arial" w:hAnsi="Arial" w:cs="Arial"/>
                <w:b/>
                <w:bCs/>
                <w:color w:val="7030A0"/>
                <w:sz w:val="21"/>
                <w:szCs w:val="21"/>
              </w:rPr>
              <w:t xml:space="preserve"> </w:t>
            </w:r>
          </w:p>
        </w:tc>
      </w:tr>
    </w:tbl>
    <w:p w14:paraId="632FA779" w14:textId="77777777" w:rsidR="00AA4DAE" w:rsidRPr="00D2661E" w:rsidRDefault="00AA4DAE">
      <w:pPr>
        <w:pStyle w:val="Contactinfo"/>
        <w:rPr>
          <w:rFonts w:cs="Arial"/>
          <w:sz w:val="20"/>
        </w:rPr>
      </w:pPr>
    </w:p>
    <w:p w14:paraId="3638B1E3" w14:textId="77777777" w:rsidR="00AA4DAE" w:rsidRPr="00CE32C9" w:rsidRDefault="00A13F0F">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AA4DAE" w:rsidRPr="00CE32C9" w:rsidRDefault="00AA4DAE">
      <w:pPr>
        <w:rPr>
          <w:rFonts w:ascii="Arial" w:hAnsi="Arial" w:cs="Arial"/>
          <w:sz w:val="20"/>
          <w:szCs w:val="20"/>
        </w:rPr>
      </w:pPr>
    </w:p>
    <w:p w14:paraId="6A1C0B66" w14:textId="77777777" w:rsidR="00AA4DAE" w:rsidRDefault="00AA4DAE">
      <w:pPr>
        <w:suppressAutoHyphens w:val="0"/>
        <w:spacing w:before="0" w:after="0"/>
      </w:pPr>
    </w:p>
    <w:p w14:paraId="79139DA4" w14:textId="77777777" w:rsidR="00AA4DAE" w:rsidRDefault="00AA4DAE">
      <w:pPr>
        <w:suppressAutoHyphens w:val="0"/>
        <w:spacing w:before="0" w:after="0"/>
        <w:rPr>
          <w:rFonts w:ascii="Arial" w:eastAsia="Calibri" w:hAnsi="Arial"/>
          <w:b/>
          <w:i/>
          <w:sz w:val="44"/>
          <w:szCs w:val="22"/>
        </w:rPr>
        <w:sectPr w:rsidR="00AA4DAE">
          <w:headerReference w:type="default" r:id="rId14"/>
          <w:footerReference w:type="default" r:id="rId15"/>
          <w:headerReference w:type="first" r:id="rId16"/>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5A0D937" w14:textId="4B645703" w:rsidR="00AA4DAE" w:rsidRDefault="00A13F0F">
      <w:pPr>
        <w:pStyle w:val="TOCHeading"/>
      </w:pPr>
      <w:r>
        <w:t>Table of Contents</w:t>
      </w:r>
      <w:bookmarkEnd w:id="1"/>
      <w:bookmarkEnd w:id="2"/>
    </w:p>
    <w:p w14:paraId="132CBEE3" w14:textId="0D56C6C3" w:rsidR="00AA4DAE" w:rsidRDefault="00A13F0F">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36A3C2BD" w14:textId="69299AB5" w:rsidR="00AA4DAE" w:rsidRDefault="003C7AD3">
      <w:pPr>
        <w:pStyle w:val="TOC1"/>
        <w:rPr>
          <w:rFonts w:asciiTheme="minorHAnsi" w:eastAsiaTheme="minorEastAsia" w:hAnsiTheme="minorHAnsi" w:cstheme="minorBidi"/>
          <w:b w:val="0"/>
          <w:noProof/>
          <w:kern w:val="2"/>
          <w14:ligatures w14:val="standardContextual"/>
        </w:rPr>
      </w:pPr>
      <w:hyperlink w:anchor="_Toc187399542" w:history="1">
        <w:r w:rsidR="00A13F0F" w:rsidRPr="0096315A">
          <w:rPr>
            <w:rStyle w:val="Hyperlink"/>
            <w:noProof/>
          </w:rPr>
          <w:t>Program Savings Detail</w:t>
        </w:r>
        <w:r w:rsidR="00A13F0F">
          <w:rPr>
            <w:noProof/>
            <w:webHidden/>
          </w:rPr>
          <w:tab/>
        </w:r>
        <w:r w:rsidR="00A13F0F">
          <w:rPr>
            <w:noProof/>
            <w:webHidden/>
          </w:rPr>
          <w:fldChar w:fldCharType="begin"/>
        </w:r>
        <w:r w:rsidR="00A13F0F">
          <w:rPr>
            <w:noProof/>
            <w:webHidden/>
          </w:rPr>
          <w:instrText xml:space="preserve"> PAGEREF _Toc187399542 \h </w:instrText>
        </w:r>
        <w:r w:rsidR="00A13F0F">
          <w:rPr>
            <w:noProof/>
            <w:webHidden/>
          </w:rPr>
        </w:r>
        <w:r w:rsidR="00A13F0F">
          <w:rPr>
            <w:noProof/>
            <w:webHidden/>
          </w:rPr>
          <w:fldChar w:fldCharType="separate"/>
        </w:r>
        <w:r w:rsidR="00A13F0F">
          <w:rPr>
            <w:noProof/>
            <w:webHidden/>
          </w:rPr>
          <w:t>1</w:t>
        </w:r>
        <w:r w:rsidR="00A13F0F">
          <w:rPr>
            <w:noProof/>
            <w:webHidden/>
          </w:rPr>
          <w:fldChar w:fldCharType="end"/>
        </w:r>
      </w:hyperlink>
    </w:p>
    <w:p w14:paraId="43728FF2" w14:textId="570BD683" w:rsidR="00AA4DAE" w:rsidRDefault="003C7AD3">
      <w:pPr>
        <w:pStyle w:val="TOC1"/>
        <w:rPr>
          <w:rFonts w:asciiTheme="minorHAnsi" w:eastAsiaTheme="minorEastAsia" w:hAnsiTheme="minorHAnsi" w:cstheme="minorBidi"/>
          <w:b w:val="0"/>
          <w:noProof/>
          <w:kern w:val="2"/>
          <w14:ligatures w14:val="standardContextual"/>
        </w:rPr>
      </w:pPr>
      <w:hyperlink w:anchor="_Toc187399543" w:history="1">
        <w:r w:rsidR="00A13F0F" w:rsidRPr="0096315A">
          <w:rPr>
            <w:rStyle w:val="Hyperlink"/>
            <w:noProof/>
          </w:rPr>
          <w:t>Cumulative Persisting Annual Savings</w:t>
        </w:r>
        <w:r w:rsidR="00A13F0F">
          <w:rPr>
            <w:noProof/>
            <w:webHidden/>
          </w:rPr>
          <w:tab/>
        </w:r>
        <w:r w:rsidR="00A13F0F">
          <w:rPr>
            <w:noProof/>
            <w:webHidden/>
          </w:rPr>
          <w:fldChar w:fldCharType="begin"/>
        </w:r>
        <w:r w:rsidR="00A13F0F">
          <w:rPr>
            <w:noProof/>
            <w:webHidden/>
          </w:rPr>
          <w:instrText xml:space="preserve"> PAGEREF _Toc187399543 \h </w:instrText>
        </w:r>
        <w:r w:rsidR="00A13F0F">
          <w:rPr>
            <w:noProof/>
            <w:webHidden/>
          </w:rPr>
        </w:r>
        <w:r w:rsidR="00A13F0F">
          <w:rPr>
            <w:noProof/>
            <w:webHidden/>
          </w:rPr>
          <w:fldChar w:fldCharType="separate"/>
        </w:r>
        <w:r w:rsidR="00A13F0F">
          <w:rPr>
            <w:noProof/>
            <w:webHidden/>
          </w:rPr>
          <w:t>4</w:t>
        </w:r>
        <w:r w:rsidR="00A13F0F">
          <w:rPr>
            <w:noProof/>
            <w:webHidden/>
          </w:rPr>
          <w:fldChar w:fldCharType="end"/>
        </w:r>
      </w:hyperlink>
    </w:p>
    <w:p w14:paraId="20B02861" w14:textId="1D09151A" w:rsidR="00AA4DAE" w:rsidRDefault="00A13F0F">
      <w:pPr>
        <w:pStyle w:val="GHBodytext"/>
      </w:pPr>
      <w:r>
        <w:fldChar w:fldCharType="end"/>
      </w:r>
    </w:p>
    <w:p w14:paraId="232F876E" w14:textId="42B37B85" w:rsidR="00AA4DAE" w:rsidRPr="00FA4A7C" w:rsidRDefault="00A13F0F">
      <w:pPr>
        <w:pStyle w:val="GHTOC"/>
      </w:pPr>
      <w:bookmarkStart w:id="3" w:name="_Toc181693456"/>
      <w:bookmarkStart w:id="4" w:name="_Toc181693477"/>
      <w:bookmarkStart w:id="5" w:name="_Toc186529826"/>
      <w:r>
        <w:t>List of Figures</w:t>
      </w:r>
      <w:bookmarkEnd w:id="3"/>
      <w:bookmarkEnd w:id="4"/>
      <w:bookmarkEnd w:id="5"/>
    </w:p>
    <w:p w14:paraId="1EE3E29C" w14:textId="00CE69EE" w:rsidR="00AA4DAE" w:rsidRDefault="00A13F0F">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Pr>
            <w:noProof/>
            <w:webHidden/>
          </w:rPr>
          <w:t>4</w:t>
        </w:r>
        <w:r>
          <w:rPr>
            <w:noProof/>
            <w:webHidden/>
          </w:rPr>
          <w:fldChar w:fldCharType="end"/>
        </w:r>
      </w:hyperlink>
    </w:p>
    <w:p w14:paraId="0F310DA1" w14:textId="277942AE" w:rsidR="00AA4DAE" w:rsidRDefault="00A13F0F">
      <w:pPr>
        <w:pStyle w:val="GHBodytext"/>
        <w:tabs>
          <w:tab w:val="right" w:pos="9360"/>
        </w:tabs>
      </w:pPr>
      <w:r>
        <w:rPr>
          <w:b/>
        </w:rPr>
        <w:fldChar w:fldCharType="end"/>
      </w:r>
    </w:p>
    <w:p w14:paraId="09D0FB05" w14:textId="2D5BE164" w:rsidR="00AA4DAE" w:rsidRDefault="00A13F0F">
      <w:pPr>
        <w:pStyle w:val="GHTOC"/>
      </w:pPr>
      <w:bookmarkStart w:id="6" w:name="_Toc181693457"/>
      <w:bookmarkStart w:id="7" w:name="_Toc181693478"/>
      <w:bookmarkStart w:id="8" w:name="_Toc186529827"/>
      <w:r>
        <w:t>List of Tables</w:t>
      </w:r>
      <w:bookmarkEnd w:id="6"/>
      <w:bookmarkEnd w:id="7"/>
      <w:bookmarkEnd w:id="8"/>
      <w:r>
        <w:t xml:space="preserve"> </w:t>
      </w:r>
    </w:p>
    <w:p w14:paraId="272DFC95" w14:textId="41E9BA19" w:rsidR="00AA4DAE" w:rsidRDefault="00A13F0F">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87399545" w:history="1">
        <w:r w:rsidRPr="00F53DC4">
          <w:rPr>
            <w:rStyle w:val="Hyperlink"/>
            <w:noProof/>
          </w:rPr>
          <w:t>Table 1. Total Annual Incremental Electric Savings - Total</w:t>
        </w:r>
        <w:r>
          <w:rPr>
            <w:noProof/>
            <w:webHidden/>
          </w:rPr>
          <w:tab/>
        </w:r>
        <w:r>
          <w:rPr>
            <w:noProof/>
            <w:webHidden/>
          </w:rPr>
          <w:fldChar w:fldCharType="begin"/>
        </w:r>
        <w:r>
          <w:rPr>
            <w:noProof/>
            <w:webHidden/>
          </w:rPr>
          <w:instrText xml:space="preserve"> PAGEREF _Toc187399545 \h </w:instrText>
        </w:r>
        <w:r>
          <w:rPr>
            <w:noProof/>
            <w:webHidden/>
          </w:rPr>
        </w:r>
        <w:r>
          <w:rPr>
            <w:noProof/>
            <w:webHidden/>
          </w:rPr>
          <w:fldChar w:fldCharType="separate"/>
        </w:r>
        <w:r>
          <w:rPr>
            <w:noProof/>
            <w:webHidden/>
          </w:rPr>
          <w:t>2</w:t>
        </w:r>
        <w:r>
          <w:rPr>
            <w:noProof/>
            <w:webHidden/>
          </w:rPr>
          <w:fldChar w:fldCharType="end"/>
        </w:r>
      </w:hyperlink>
    </w:p>
    <w:p w14:paraId="2A3FB3D3" w14:textId="5D058A1C" w:rsidR="00AA4DAE" w:rsidRDefault="003C7AD3">
      <w:pPr>
        <w:pStyle w:val="TableofFigures"/>
        <w:rPr>
          <w:rFonts w:asciiTheme="minorHAnsi" w:eastAsiaTheme="minorEastAsia" w:hAnsiTheme="minorHAnsi" w:cstheme="minorBidi"/>
          <w:noProof/>
          <w:kern w:val="2"/>
          <w14:ligatures w14:val="standardContextual"/>
        </w:rPr>
      </w:pPr>
      <w:hyperlink w:anchor="_Toc187399546" w:history="1">
        <w:r w:rsidR="00A13F0F" w:rsidRPr="00F53DC4">
          <w:rPr>
            <w:rStyle w:val="Hyperlink"/>
            <w:noProof/>
          </w:rPr>
          <w:t>Table 2. Incremental Electric Savings – Income Eligible</w:t>
        </w:r>
        <w:r w:rsidR="00A13F0F">
          <w:rPr>
            <w:noProof/>
            <w:webHidden/>
          </w:rPr>
          <w:tab/>
        </w:r>
        <w:r w:rsidR="00A13F0F">
          <w:rPr>
            <w:noProof/>
            <w:webHidden/>
          </w:rPr>
          <w:fldChar w:fldCharType="begin"/>
        </w:r>
        <w:r w:rsidR="00A13F0F">
          <w:rPr>
            <w:noProof/>
            <w:webHidden/>
          </w:rPr>
          <w:instrText xml:space="preserve"> PAGEREF _Toc187399546 \h </w:instrText>
        </w:r>
        <w:r w:rsidR="00A13F0F">
          <w:rPr>
            <w:noProof/>
            <w:webHidden/>
          </w:rPr>
        </w:r>
        <w:r w:rsidR="00A13F0F">
          <w:rPr>
            <w:noProof/>
            <w:webHidden/>
          </w:rPr>
          <w:fldChar w:fldCharType="separate"/>
        </w:r>
        <w:r w:rsidR="00A13F0F">
          <w:rPr>
            <w:noProof/>
            <w:webHidden/>
          </w:rPr>
          <w:t>3</w:t>
        </w:r>
        <w:r w:rsidR="00A13F0F">
          <w:rPr>
            <w:noProof/>
            <w:webHidden/>
          </w:rPr>
          <w:fldChar w:fldCharType="end"/>
        </w:r>
      </w:hyperlink>
    </w:p>
    <w:p w14:paraId="68E27B5E" w14:textId="646876C5" w:rsidR="00AA4DAE" w:rsidRDefault="003C7AD3">
      <w:pPr>
        <w:pStyle w:val="TableofFigures"/>
        <w:rPr>
          <w:rFonts w:asciiTheme="minorHAnsi" w:eastAsiaTheme="minorEastAsia" w:hAnsiTheme="minorHAnsi" w:cstheme="minorBidi"/>
          <w:noProof/>
          <w:kern w:val="2"/>
          <w14:ligatures w14:val="standardContextual"/>
        </w:rPr>
      </w:pPr>
      <w:hyperlink w:anchor="_Toc187399547" w:history="1">
        <w:r w:rsidR="00A13F0F" w:rsidRPr="00F53DC4">
          <w:rPr>
            <w:rStyle w:val="Hyperlink"/>
            <w:noProof/>
          </w:rPr>
          <w:t>Table 3. Total Annual Incremental Electric Savings – Non-Income Eligible</w:t>
        </w:r>
        <w:r w:rsidR="00A13F0F">
          <w:rPr>
            <w:noProof/>
            <w:webHidden/>
          </w:rPr>
          <w:tab/>
        </w:r>
        <w:r w:rsidR="00A13F0F">
          <w:rPr>
            <w:noProof/>
            <w:webHidden/>
          </w:rPr>
          <w:fldChar w:fldCharType="begin"/>
        </w:r>
        <w:r w:rsidR="00A13F0F">
          <w:rPr>
            <w:noProof/>
            <w:webHidden/>
          </w:rPr>
          <w:instrText xml:space="preserve"> PAGEREF _Toc187399547 \h </w:instrText>
        </w:r>
        <w:r w:rsidR="00A13F0F">
          <w:rPr>
            <w:noProof/>
            <w:webHidden/>
          </w:rPr>
        </w:r>
        <w:r w:rsidR="00A13F0F">
          <w:rPr>
            <w:noProof/>
            <w:webHidden/>
          </w:rPr>
          <w:fldChar w:fldCharType="separate"/>
        </w:r>
        <w:r w:rsidR="00A13F0F">
          <w:rPr>
            <w:noProof/>
            <w:webHidden/>
          </w:rPr>
          <w:t>3</w:t>
        </w:r>
        <w:r w:rsidR="00A13F0F">
          <w:rPr>
            <w:noProof/>
            <w:webHidden/>
          </w:rPr>
          <w:fldChar w:fldCharType="end"/>
        </w:r>
      </w:hyperlink>
    </w:p>
    <w:p w14:paraId="53A3BD8F" w14:textId="2FE6BB27" w:rsidR="00AA4DAE" w:rsidRDefault="003C7AD3">
      <w:pPr>
        <w:pStyle w:val="TableofFigures"/>
        <w:rPr>
          <w:rFonts w:asciiTheme="minorHAnsi" w:eastAsiaTheme="minorEastAsia" w:hAnsiTheme="minorHAnsi" w:cstheme="minorBidi"/>
          <w:noProof/>
          <w:kern w:val="2"/>
          <w14:ligatures w14:val="standardContextual"/>
        </w:rPr>
      </w:pPr>
      <w:hyperlink w:anchor="_Toc187399548" w:history="1">
        <w:r w:rsidR="00A13F0F" w:rsidRPr="00F53DC4">
          <w:rPr>
            <w:rStyle w:val="Hyperlink"/>
            <w:noProof/>
          </w:rPr>
          <w:t>Table 4. CPAS – Electric</w:t>
        </w:r>
        <w:r w:rsidR="00A13F0F">
          <w:rPr>
            <w:noProof/>
            <w:webHidden/>
          </w:rPr>
          <w:tab/>
        </w:r>
        <w:r w:rsidR="00A13F0F">
          <w:rPr>
            <w:noProof/>
            <w:webHidden/>
          </w:rPr>
          <w:fldChar w:fldCharType="begin"/>
        </w:r>
        <w:r w:rsidR="00A13F0F">
          <w:rPr>
            <w:noProof/>
            <w:webHidden/>
          </w:rPr>
          <w:instrText xml:space="preserve"> PAGEREF _Toc187399548 \h </w:instrText>
        </w:r>
        <w:r w:rsidR="00A13F0F">
          <w:rPr>
            <w:noProof/>
            <w:webHidden/>
          </w:rPr>
        </w:r>
        <w:r w:rsidR="00A13F0F">
          <w:rPr>
            <w:noProof/>
            <w:webHidden/>
          </w:rPr>
          <w:fldChar w:fldCharType="separate"/>
        </w:r>
        <w:r w:rsidR="00A13F0F">
          <w:rPr>
            <w:noProof/>
            <w:webHidden/>
          </w:rPr>
          <w:t>4</w:t>
        </w:r>
        <w:r w:rsidR="00A13F0F">
          <w:rPr>
            <w:noProof/>
            <w:webHidden/>
          </w:rPr>
          <w:fldChar w:fldCharType="end"/>
        </w:r>
      </w:hyperlink>
    </w:p>
    <w:p w14:paraId="4BABECD1" w14:textId="229FEA73" w:rsidR="00AA4DAE" w:rsidRDefault="003C7AD3">
      <w:pPr>
        <w:pStyle w:val="TableofFigures"/>
        <w:rPr>
          <w:rFonts w:asciiTheme="minorHAnsi" w:eastAsiaTheme="minorEastAsia" w:hAnsiTheme="minorHAnsi" w:cstheme="minorBidi"/>
          <w:noProof/>
          <w:kern w:val="2"/>
          <w14:ligatures w14:val="standardContextual"/>
        </w:rPr>
      </w:pPr>
      <w:hyperlink w:anchor="_Toc187399549" w:history="1">
        <w:r w:rsidR="00A13F0F" w:rsidRPr="00F53DC4">
          <w:rPr>
            <w:rStyle w:val="Hyperlink"/>
            <w:noProof/>
          </w:rPr>
          <w:t>Table 5. CPAS – Other Fuel (Gas + Propane)</w:t>
        </w:r>
        <w:r w:rsidR="00A13F0F">
          <w:rPr>
            <w:noProof/>
            <w:webHidden/>
          </w:rPr>
          <w:tab/>
        </w:r>
        <w:r w:rsidR="00A13F0F">
          <w:rPr>
            <w:noProof/>
            <w:webHidden/>
          </w:rPr>
          <w:fldChar w:fldCharType="begin"/>
        </w:r>
        <w:r w:rsidR="00A13F0F">
          <w:rPr>
            <w:noProof/>
            <w:webHidden/>
          </w:rPr>
          <w:instrText xml:space="preserve"> PAGEREF _Toc187399549 \h </w:instrText>
        </w:r>
        <w:r w:rsidR="00A13F0F">
          <w:rPr>
            <w:noProof/>
            <w:webHidden/>
          </w:rPr>
        </w:r>
        <w:r w:rsidR="00A13F0F">
          <w:rPr>
            <w:noProof/>
            <w:webHidden/>
          </w:rPr>
          <w:fldChar w:fldCharType="separate"/>
        </w:r>
        <w:r w:rsidR="00A13F0F">
          <w:rPr>
            <w:noProof/>
            <w:webHidden/>
          </w:rPr>
          <w:t>5</w:t>
        </w:r>
        <w:r w:rsidR="00A13F0F">
          <w:rPr>
            <w:noProof/>
            <w:webHidden/>
          </w:rPr>
          <w:fldChar w:fldCharType="end"/>
        </w:r>
      </w:hyperlink>
    </w:p>
    <w:p w14:paraId="1DA8EDE9" w14:textId="0DC935F2" w:rsidR="00AA4DAE" w:rsidRDefault="003C7AD3">
      <w:pPr>
        <w:pStyle w:val="TableofFigures"/>
        <w:rPr>
          <w:rFonts w:asciiTheme="minorHAnsi" w:eastAsiaTheme="minorEastAsia" w:hAnsiTheme="minorHAnsi" w:cstheme="minorBidi"/>
          <w:noProof/>
          <w:kern w:val="2"/>
          <w14:ligatures w14:val="standardContextual"/>
        </w:rPr>
      </w:pPr>
      <w:hyperlink w:anchor="_Toc187399550" w:history="1">
        <w:r w:rsidR="00A13F0F" w:rsidRPr="00F53DC4">
          <w:rPr>
            <w:rStyle w:val="Hyperlink"/>
            <w:noProof/>
          </w:rPr>
          <w:t>Table 6. CPAS – Total</w:t>
        </w:r>
        <w:r w:rsidR="00A13F0F">
          <w:rPr>
            <w:noProof/>
            <w:webHidden/>
          </w:rPr>
          <w:tab/>
        </w:r>
        <w:r w:rsidR="00A13F0F">
          <w:rPr>
            <w:noProof/>
            <w:webHidden/>
          </w:rPr>
          <w:fldChar w:fldCharType="begin"/>
        </w:r>
        <w:r w:rsidR="00A13F0F">
          <w:rPr>
            <w:noProof/>
            <w:webHidden/>
          </w:rPr>
          <w:instrText xml:space="preserve"> PAGEREF _Toc187399550 \h </w:instrText>
        </w:r>
        <w:r w:rsidR="00A13F0F">
          <w:rPr>
            <w:noProof/>
            <w:webHidden/>
          </w:rPr>
        </w:r>
        <w:r w:rsidR="00A13F0F">
          <w:rPr>
            <w:noProof/>
            <w:webHidden/>
          </w:rPr>
          <w:fldChar w:fldCharType="separate"/>
        </w:r>
        <w:r w:rsidR="00A13F0F">
          <w:rPr>
            <w:noProof/>
            <w:webHidden/>
          </w:rPr>
          <w:t>5</w:t>
        </w:r>
        <w:r w:rsidR="00A13F0F">
          <w:rPr>
            <w:noProof/>
            <w:webHidden/>
          </w:rPr>
          <w:fldChar w:fldCharType="end"/>
        </w:r>
      </w:hyperlink>
    </w:p>
    <w:p w14:paraId="086D5527" w14:textId="74BBD144" w:rsidR="00AA4DAE" w:rsidRPr="00FA4A7C" w:rsidRDefault="00A13F0F">
      <w:r>
        <w:fldChar w:fldCharType="end"/>
      </w:r>
      <w:bookmarkStart w:id="9" w:name="_Toc151371877"/>
      <w:bookmarkStart w:id="10" w:name="_Toc181693463"/>
      <w:bookmarkStart w:id="11" w:name="_Toc181693484"/>
    </w:p>
    <w:p w14:paraId="7716ABE6" w14:textId="77777777" w:rsidR="00AA4DAE" w:rsidRDefault="00AA4DAE">
      <w:pPr>
        <w:suppressAutoHyphens w:val="0"/>
        <w:spacing w:before="0" w:after="0"/>
        <w:rPr>
          <w:rFonts w:ascii="Arial" w:eastAsia="Calibri" w:hAnsi="Arial"/>
          <w:b/>
          <w:sz w:val="32"/>
          <w:szCs w:val="22"/>
        </w:rPr>
        <w:sectPr w:rsidR="00AA4DAE">
          <w:pgSz w:w="12240" w:h="15840" w:code="1"/>
          <w:pgMar w:top="1440" w:right="1440" w:bottom="1440" w:left="1440" w:header="720" w:footer="720" w:gutter="0"/>
          <w:pgNumType w:start="1"/>
          <w:cols w:space="720"/>
          <w:docGrid w:linePitch="360"/>
        </w:sectPr>
      </w:pPr>
    </w:p>
    <w:p w14:paraId="33A1CCEA" w14:textId="77777777" w:rsidR="00AA4DAE" w:rsidRDefault="00A13F0F">
      <w:pPr>
        <w:pStyle w:val="Heading10"/>
      </w:pPr>
      <w:bookmarkStart w:id="12" w:name="_Toc151976667"/>
      <w:bookmarkStart w:id="13" w:name="_Toc187399541"/>
      <w:bookmarkEnd w:id="9"/>
      <w:bookmarkEnd w:id="10"/>
      <w:bookmarkEnd w:id="11"/>
      <w:r>
        <w:t>Introduction</w:t>
      </w:r>
      <w:bookmarkEnd w:id="12"/>
      <w:bookmarkEnd w:id="13"/>
    </w:p>
    <w:p w14:paraId="613EEAD2" w14:textId="35331D7C" w:rsidR="00AA4DAE" w:rsidRPr="00D937E4" w:rsidRDefault="00A13F0F">
      <w:pPr>
        <w:pStyle w:val="BodyText"/>
      </w:pPr>
      <w:r w:rsidRPr="00F64B8B">
        <w:t xml:space="preserve">This report presents </w:t>
      </w:r>
      <w:r>
        <w:t xml:space="preserve">the </w:t>
      </w:r>
      <w:r w:rsidR="005C743E">
        <w:t xml:space="preserve">impact evaluation </w:t>
      </w:r>
      <w:r>
        <w:t>results of the</w:t>
      </w:r>
      <w:r w:rsidR="00BC04ED">
        <w:t xml:space="preserve"> New Construction-IE </w:t>
      </w:r>
      <w:r>
        <w:t xml:space="preserve">program </w:t>
      </w:r>
      <w:r w:rsidR="00784DA4">
        <w:t xml:space="preserve">for </w:t>
      </w:r>
      <w:r>
        <w:t>the program year from January 1 to December 31, 2024 (CY2024)</w:t>
      </w:r>
      <w:r w:rsidRPr="00B52A58">
        <w:t xml:space="preserve">. </w:t>
      </w:r>
      <w:r>
        <w:t>Th</w:t>
      </w:r>
      <w:r w:rsidR="00BC04ED">
        <w:t xml:space="preserve">e New Construction-IE program offers technical assistance and incentive funding to building developers for new construction or major renovation of affordable housing, including single-family, low-rise, mid-rise, and high-rise multifamily buildings. Bundled energy conservation measures and custom or prescriptive approaches for specific building types are designed to result in significant energy savings over the current Illinois energy code. The program targets affordable housing developers and owners who are construction housing for households with incomes at or below 80% of the area median income. The program also aims to educate housing developers on cost-effective energy efficient building practices. </w:t>
      </w:r>
      <w:r>
        <w:t xml:space="preserve"> </w:t>
      </w:r>
    </w:p>
    <w:p w14:paraId="791FBA00" w14:textId="68FE3929" w:rsidR="00AA4DAE" w:rsidRPr="00D937E4" w:rsidRDefault="00A13F0F">
      <w:pPr>
        <w:pStyle w:val="BodyText"/>
      </w:pPr>
      <w:r>
        <w:t>The program is offered jointly to customers served by ComEd</w:t>
      </w:r>
      <w:r w:rsidR="00EC4E4D">
        <w:t xml:space="preserve"> and Nicor Gas</w:t>
      </w:r>
      <w:r>
        <w:t>. This report presents the results just for ComEd. The results for the gas utilities will be in a separate report.</w:t>
      </w:r>
    </w:p>
    <w:p w14:paraId="512F9101" w14:textId="77777777" w:rsidR="00AA4DAE" w:rsidRDefault="00A13F0F">
      <w:pPr>
        <w:pStyle w:val="Heading10"/>
      </w:pPr>
      <w:bookmarkStart w:id="14" w:name="_Toc151976668"/>
      <w:bookmarkStart w:id="15" w:name="_Toc187399542"/>
      <w:r>
        <w:t>Program Savings Detail</w:t>
      </w:r>
      <w:bookmarkEnd w:id="14"/>
      <w:bookmarkEnd w:id="15"/>
    </w:p>
    <w:bookmarkStart w:id="16" w:name="_Hlk117035428"/>
    <w:p w14:paraId="62A61C5D" w14:textId="783DF28E" w:rsidR="00AA4DAE" w:rsidRDefault="00A13F0F">
      <w:pPr>
        <w:pStyle w:val="BodyText"/>
      </w:pPr>
      <w:r w:rsidRPr="008E2DD7">
        <w:fldChar w:fldCharType="begin"/>
      </w:r>
      <w:r w:rsidRPr="008E2DD7">
        <w:instrText xml:space="preserve"> REF _Ref482008337 \h </w:instrText>
      </w:r>
      <w:r>
        <w:instrText xml:space="preserve"> \* MERGEFORMAT </w:instrText>
      </w:r>
      <w:r w:rsidRPr="008E2DD7">
        <w:fldChar w:fldCharType="separate"/>
      </w:r>
      <w:r>
        <w:t xml:space="preserve">Table </w:t>
      </w:r>
      <w:r>
        <w:rPr>
          <w:noProof/>
        </w:rPr>
        <w:t>1</w:t>
      </w:r>
      <w:r w:rsidRPr="008E2DD7">
        <w:fldChar w:fldCharType="end"/>
      </w:r>
      <w:bookmarkEnd w:id="16"/>
      <w:r w:rsidRPr="008E2DD7">
        <w:t xml:space="preserve"> summarizes the incremental energy and demand savings the</w:t>
      </w:r>
      <w:r w:rsidR="00EC4E4D">
        <w:t xml:space="preserve"> New Construction-IE</w:t>
      </w:r>
      <w:r w:rsidRPr="008E2DD7">
        <w:t xml:space="preserve"> Program achieved in CY202</w:t>
      </w:r>
      <w:r>
        <w:t>4</w:t>
      </w:r>
      <w:r w:rsidRPr="008E2DD7">
        <w:t>. The gas or other fuel savings are only those that ComEd may be able to claim, which excludes savings the gas utilities claim, either via joint or non-joint programs.</w:t>
      </w:r>
      <w:r w:rsidRPr="008E2DD7">
        <w:rPr>
          <w:rStyle w:val="FootnoteReference"/>
        </w:rPr>
        <w:footnoteReference w:id="2"/>
      </w:r>
      <w:r w:rsidRPr="008E2DD7">
        <w:t xml:space="preserve"> The electrification savings are those resulting from </w:t>
      </w:r>
      <w:r>
        <w:t xml:space="preserve">electrification </w:t>
      </w:r>
      <w:r w:rsidRPr="008E2DD7">
        <w:t>measures.</w:t>
      </w:r>
      <w:r w:rsidRPr="008E2DD7">
        <w:rPr>
          <w:rStyle w:val="FootnoteReference"/>
        </w:rPr>
        <w:footnoteReference w:id="3"/>
      </w:r>
      <w:r w:rsidRPr="008E2DD7">
        <w:t xml:space="preserve"> </w:t>
      </w:r>
      <w:r w:rsidR="006E3BC1">
        <w:t>All included savings</w:t>
      </w:r>
      <w:r w:rsidR="00080465">
        <w:t xml:space="preserve"> for the New Construction-IE program</w:t>
      </w:r>
      <w:r w:rsidR="006E3BC1">
        <w:t xml:space="preserve"> are income-eligible savings.</w:t>
      </w:r>
    </w:p>
    <w:p w14:paraId="05F42E53" w14:textId="7340F7B6" w:rsidR="00AA4DAE" w:rsidRDefault="00A13F0F">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87399545"/>
      <w:r>
        <w:t xml:space="preserve">Table </w:t>
      </w:r>
      <w:r>
        <w:fldChar w:fldCharType="begin"/>
      </w:r>
      <w:r>
        <w:instrText>SEQ Table \* ARABIC</w:instrText>
      </w:r>
      <w:r>
        <w:fldChar w:fldCharType="separate"/>
      </w:r>
      <w:r>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5000" w:type="pct"/>
        <w:jc w:val="center"/>
        <w:tblLook w:val="0420" w:firstRow="1" w:lastRow="0" w:firstColumn="0" w:lastColumn="0" w:noHBand="0" w:noVBand="1"/>
      </w:tblPr>
      <w:tblGrid>
        <w:gridCol w:w="2064"/>
        <w:gridCol w:w="325"/>
        <w:gridCol w:w="945"/>
        <w:gridCol w:w="1097"/>
        <w:gridCol w:w="941"/>
        <w:gridCol w:w="1035"/>
        <w:gridCol w:w="1024"/>
        <w:gridCol w:w="1024"/>
        <w:gridCol w:w="905"/>
      </w:tblGrid>
      <w:tr w:rsidR="00B64B08" w14:paraId="33666975" w14:textId="77777777" w:rsidTr="007B73E0">
        <w:trPr>
          <w:tblHeader/>
          <w:jc w:val="center"/>
        </w:trPr>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EA4F5A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69702E0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0FA39FA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132FEDC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0C2DD8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3EB8D71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5420416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747AFC0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center"/>
          </w:tcPr>
          <w:p w14:paraId="2D23043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B64B08" w14:paraId="3610170F" w14:textId="77777777" w:rsidTr="007B73E0">
        <w:trPr>
          <w:jc w:val="center"/>
        </w:trPr>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E88A69"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12E757"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1BE8F"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2,985,900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385881" w14:textId="53BDB544"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0.97</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81D8F" w14:textId="3CDA67FC"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2,886,902</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82E8D7"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2B5D8A"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06461"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07B0A3" w14:textId="4BDC0AD3"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2,886,902</w:t>
            </w:r>
          </w:p>
        </w:tc>
      </w:tr>
      <w:tr w:rsidR="00B64B08" w14:paraId="43D78B53" w14:textId="77777777" w:rsidTr="007B73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517CFB"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47D8E"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C1784C"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3,748,370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0A890"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BF9BEB"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CD46BD"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F7542"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E25272"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1C7B7" w14:textId="0AEFDFF6"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r>
      <w:tr w:rsidR="00B64B08" w14:paraId="78EF3B2D" w14:textId="77777777" w:rsidTr="007B73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8D2CF" w14:textId="36BC33CA"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C1901"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A811FB"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4,526,530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C6A320"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CCD67"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4,541,879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10CCE5"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15D5C"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7690A"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57D94" w14:textId="6695F67E"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4,541,879</w:t>
            </w:r>
          </w:p>
        </w:tc>
      </w:tr>
      <w:tr w:rsidR="00B64B08" w14:paraId="5569EC08" w14:textId="77777777" w:rsidTr="007B73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E3831" w14:textId="5267533F"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E799A"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C05ED"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4C2E0A"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F0069"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FA0A0"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91E3EF"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E1F815"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F6F035" w14:textId="7A616FD4"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64B08" w14:paraId="7C0304D0" w14:textId="77777777" w:rsidTr="007B73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90D362"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0A46B1"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46EA50"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11,260,799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97DC1F"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48208" w14:textId="6364B2FD"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D2E9F"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248B5"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3BEB0C" w14:textId="77777777"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4F40B" w14:textId="7709C281" w:rsidR="007B73E0" w:rsidRDefault="007B73E0" w:rsidP="007B73E0">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r>
      <w:tr w:rsidR="00961579" w14:paraId="47A3DBDD" w14:textId="77777777" w:rsidTr="007B73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DC8FF5" w14:textId="77777777"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B6F2A" w14:textId="77777777"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346AD5" w14:textId="7BA53995"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35FA5" w14:textId="3EC52DB2"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A916EF" w14:textId="2BF56E76"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18811" w14:textId="2942D6C4"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2DEBB0" w14:textId="38DE0448"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B78DFD" w14:textId="4FEEC09F"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EEE97" w14:textId="083C5917"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r>
      <w:tr w:rsidR="00B64B08" w14:paraId="0772D97E" w14:textId="77777777" w:rsidTr="007B73E0">
        <w:trPr>
          <w:jc w:val="center"/>
        </w:trPr>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6924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6F50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42E6C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428</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9C6D61" w14:textId="540CCAAC" w:rsidR="00556DAB" w:rsidRDefault="00B64B08">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1D23A4" w14:textId="7F1AA4C4"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w:t>
            </w:r>
            <w:r w:rsidR="00B64B08">
              <w:rPr>
                <w:rFonts w:ascii="Arial" w:eastAsia="DejaVu Sans" w:hAnsi="DejaVu Sans" w:cs="DejaVu Sans"/>
                <w:color w:val="000000"/>
                <w:sz w:val="14"/>
                <w:szCs w:val="14"/>
              </w:rPr>
              <w:t>9</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ED18B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A82B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59CF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0" w:type="auto"/>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F2AA0F" w14:textId="5D7A9BFD"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w:t>
            </w:r>
            <w:r w:rsidR="00B64B08">
              <w:rPr>
                <w:rFonts w:ascii="Arial" w:eastAsia="DejaVu Sans" w:hAnsi="DejaVu Sans" w:cs="DejaVu Sans"/>
                <w:color w:val="000000"/>
                <w:sz w:val="14"/>
                <w:szCs w:val="14"/>
              </w:rPr>
              <w:t>9</w:t>
            </w:r>
          </w:p>
        </w:tc>
      </w:tr>
      <w:tr w:rsidR="00961579" w14:paraId="5E062230" w14:textId="77777777" w:rsidTr="007B73E0">
        <w:trPr>
          <w:jc w:val="center"/>
        </w:trPr>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0E7AA8" w14:textId="77AC0F8B"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Including Carryover</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846E9A" w14:textId="77777777"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93CF2E" w14:textId="5E0EE3EC"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7FEB41" w14:textId="4270F11C"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710AC2" w14:textId="01DEA6BA"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B68EC5" w14:textId="55AEE218"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8FCA52" w14:textId="31249939"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5192D0" w14:textId="6416FCC4"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c>
          <w:tcPr>
            <w:tcW w:w="0" w:type="auto"/>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47A2C67" w14:textId="60EBDBF8" w:rsidR="00961579" w:rsidRDefault="00961579" w:rsidP="00961579">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N/A</w:t>
            </w:r>
          </w:p>
        </w:tc>
      </w:tr>
    </w:tbl>
    <w:p w14:paraId="03A1DBA8" w14:textId="77777777" w:rsidR="00AA4DAE" w:rsidRPr="0085537E" w:rsidRDefault="00A13F0F">
      <w:pPr>
        <w:pStyle w:val="TableFigureNote"/>
      </w:pPr>
      <w:r w:rsidRPr="0085537E">
        <w:t>N/A = not applicable (refers to a piece of data that cannot be produced or does not apply).</w:t>
      </w:r>
    </w:p>
    <w:p w14:paraId="737463AA" w14:textId="77777777" w:rsidR="00AA4DAE" w:rsidRDefault="00A13F0F">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AA4DAE" w:rsidRDefault="00A13F0F">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AA4DAE" w:rsidRDefault="00A13F0F">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AA4DAE" w:rsidRDefault="00A13F0F">
      <w:pPr>
        <w:pStyle w:val="TableFigureNote"/>
      </w:pPr>
      <w:r>
        <w:t xml:space="preserve">§ Gas savings converted to kWh by multiplying Therms * 29.31 (which is based on 100,000 Btu/Therm and 3,412 Btu/kWh). The evaluation team will determine which gas savings will be converted to kWh and counted toward ComEd's electric savings goal while producing the portfolio-wide Summary Report. </w:t>
      </w:r>
    </w:p>
    <w:p w14:paraId="053BB989" w14:textId="77777777" w:rsidR="00AA4DAE" w:rsidRDefault="00A13F0F">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4"/>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5F495D23" w14:textId="77777777" w:rsidR="00AA4DAE" w:rsidRDefault="00A13F0F">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AA4DAE" w:rsidRDefault="00A13F0F">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77777777" w:rsidR="00AA4DAE" w:rsidRDefault="00A13F0F">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5"/>
      </w:r>
    </w:p>
    <w:p w14:paraId="4136C120" w14:textId="77777777" w:rsidR="00AA4DAE" w:rsidRPr="008812EE" w:rsidRDefault="00A13F0F">
      <w:pPr>
        <w:pStyle w:val="TableFigureSource"/>
      </w:pPr>
      <w:r w:rsidRPr="008812EE">
        <w:t>Source: Evaluation team analysis</w:t>
      </w:r>
    </w:p>
    <w:bookmarkStart w:id="25" w:name="Table_2"/>
    <w:bookmarkStart w:id="26" w:name="Table_3"/>
    <w:bookmarkEnd w:id="25"/>
    <w:bookmarkEnd w:id="26"/>
    <w:p w14:paraId="2BECFFC0" w14:textId="0FDA35F6" w:rsidR="00AA4DAE" w:rsidRDefault="00A13F0F">
      <w:pPr>
        <w:pStyle w:val="BodyText"/>
      </w:pPr>
      <w:r>
        <w:fldChar w:fldCharType="begin"/>
      </w:r>
      <w:r>
        <w:instrText xml:space="preserve"> REF _Ref117035780 \h  \* MERGEFORMAT </w:instrText>
      </w:r>
      <w:r>
        <w:fldChar w:fldCharType="separate"/>
      </w:r>
      <w:r>
        <w:t xml:space="preserve">Figure </w:t>
      </w:r>
      <w:r>
        <w:rPr>
          <w:noProof/>
        </w:rPr>
        <w:t>1</w:t>
      </w:r>
      <w:r>
        <w:fldChar w:fldCharType="end"/>
      </w:r>
      <w:r>
        <w:t xml:space="preserve"> shows the electric energy savings by measure end use. It includes measure efficiency savings, </w:t>
      </w:r>
      <w:r w:rsidRPr="004B16A6">
        <w:t>carryover</w:t>
      </w:r>
      <w:r>
        <w:t xml:space="preserve"> kWh, </w:t>
      </w:r>
      <w:r w:rsidRPr="004B16A6">
        <w:t>secondary water kWh</w:t>
      </w:r>
      <w:r>
        <w:t>, and</w:t>
      </w:r>
      <w:r w:rsidRPr="004B16A6">
        <w:t xml:space="preserve"> electrification</w:t>
      </w:r>
      <w:r>
        <w:t xml:space="preserve"> </w:t>
      </w:r>
      <w:r w:rsidRPr="004B16A6">
        <w:t>savings. It</w:t>
      </w:r>
      <w:r>
        <w:t xml:space="preserve"> does not </w:t>
      </w:r>
      <w:r w:rsidRPr="004B16A6">
        <w:t xml:space="preserve">include </w:t>
      </w:r>
      <w:r>
        <w:t>other fuel</w:t>
      </w:r>
      <w:r w:rsidRPr="004B16A6">
        <w:t xml:space="preserve"> savings converted to kWh.</w:t>
      </w:r>
    </w:p>
    <w:p w14:paraId="5DF5E1E9" w14:textId="095596BD" w:rsidR="00AA4DAE" w:rsidRDefault="00A13F0F">
      <w:pPr>
        <w:pStyle w:val="Caption"/>
      </w:pPr>
      <w:bookmarkStart w:id="27" w:name="_Ref117035780"/>
      <w:bookmarkStart w:id="28" w:name="_Toc151976678"/>
      <w:bookmarkStart w:id="29" w:name="_Toc187399544"/>
      <w:r>
        <w:t xml:space="preserve">Figure </w:t>
      </w:r>
      <w:r>
        <w:fldChar w:fldCharType="begin"/>
      </w:r>
      <w:r>
        <w:instrText>SEQ Figure \* ARABIC</w:instrText>
      </w:r>
      <w:r>
        <w:fldChar w:fldCharType="separate"/>
      </w:r>
      <w:r>
        <w:rPr>
          <w:noProof/>
        </w:rPr>
        <w:t>1</w:t>
      </w:r>
      <w:r>
        <w:fldChar w:fldCharType="end"/>
      </w:r>
      <w:bookmarkEnd w:id="27"/>
      <w:r>
        <w:t xml:space="preserve">. </w:t>
      </w:r>
      <w:r w:rsidRPr="2221D51B">
        <w:t>Verified Net Savings by Measure – Electric</w:t>
      </w:r>
      <w:bookmarkStart w:id="30" w:name="Figure_1"/>
      <w:bookmarkEnd w:id="28"/>
      <w:bookmarkEnd w:id="29"/>
      <w:bookmarkEnd w:id="30"/>
    </w:p>
    <w:p w14:paraId="7663CC38" w14:textId="77777777" w:rsidR="00556DAB" w:rsidRDefault="00A13F0F">
      <w:r>
        <w:rPr>
          <w:noProof/>
        </w:rPr>
        <w:drawing>
          <wp:inline distT="0" distB="0" distL="0" distR="0" wp14:anchorId="40DE6685" wp14:editId="2F0FC5E6">
            <wp:extent cx="594360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a:picLocks noChangeAspect="1" noChangeArrowheads="1"/>
                    </pic:cNvPicPr>
                  </pic:nvPicPr>
                  <pic:blipFill>
                    <a:blip r:embed="rId17" cstate="print"/>
                    <a:stretch>
                      <a:fillRect/>
                    </a:stretch>
                  </pic:blipFill>
                  <pic:spPr bwMode="auto">
                    <a:xfrm>
                      <a:off x="0" y="0"/>
                      <a:ext cx="82550" cy="38100"/>
                    </a:xfrm>
                    <a:prstGeom prst="rect">
                      <a:avLst/>
                    </a:prstGeom>
                    <a:noFill/>
                  </pic:spPr>
                </pic:pic>
              </a:graphicData>
            </a:graphic>
          </wp:inline>
        </w:drawing>
      </w:r>
    </w:p>
    <w:p w14:paraId="3CE89B42" w14:textId="77777777" w:rsidR="00AA4DAE" w:rsidRDefault="00A13F0F">
      <w:pPr>
        <w:pStyle w:val="TableFigureSource"/>
      </w:pPr>
      <w:r w:rsidRPr="27A43C0E">
        <w:t>Source: Evaluation team analysis</w:t>
      </w:r>
    </w:p>
    <w:p w14:paraId="5621E44B" w14:textId="39248489" w:rsidR="00AA4DAE" w:rsidRPr="00470CF3" w:rsidRDefault="00A13F0F">
      <w:pPr>
        <w:suppressAutoHyphens w:val="0"/>
        <w:spacing w:before="0" w:after="0"/>
        <w:rPr>
          <w:rFonts w:ascii="Arial" w:hAnsi="Arial"/>
          <w:sz w:val="22"/>
          <w:szCs w:val="20"/>
        </w:rPr>
      </w:pPr>
      <w:r>
        <w:br w:type="page"/>
      </w:r>
    </w:p>
    <w:p w14:paraId="792E6679" w14:textId="77777777" w:rsidR="00AA4DAE" w:rsidRDefault="00AA4DAE">
      <w:pPr>
        <w:pStyle w:val="Heading10"/>
        <w:sectPr w:rsidR="00AA4DAE">
          <w:pgSz w:w="12240" w:h="15840" w:code="1"/>
          <w:pgMar w:top="1440" w:right="1440" w:bottom="1440" w:left="1440" w:header="720" w:footer="720" w:gutter="0"/>
          <w:pgNumType w:start="1"/>
          <w:cols w:space="720"/>
          <w:docGrid w:linePitch="360"/>
        </w:sectPr>
      </w:pPr>
      <w:bookmarkStart w:id="31" w:name="_Toc151976669"/>
      <w:bookmarkStart w:id="32" w:name="_Toc187399543"/>
    </w:p>
    <w:p w14:paraId="4299173B" w14:textId="77777777" w:rsidR="00AA4DAE" w:rsidRDefault="00A13F0F">
      <w:pPr>
        <w:pStyle w:val="Heading10"/>
      </w:pPr>
      <w:r>
        <w:t>Cumulative Persisting Annual Savings</w:t>
      </w:r>
      <w:bookmarkEnd w:id="31"/>
      <w:bookmarkEnd w:id="32"/>
    </w:p>
    <w:p w14:paraId="23A068C7" w14:textId="73A0AD17" w:rsidR="00AA4DAE" w:rsidRDefault="00A13F0F">
      <w:pPr>
        <w:pStyle w:val="BodyText"/>
      </w:pPr>
      <w:r>
        <w:fldChar w:fldCharType="begin"/>
      </w:r>
      <w:r>
        <w:instrText xml:space="preserve"> REF _Ref105417109 \h  \* MERGEFORMAT </w:instrText>
      </w:r>
      <w:r>
        <w:fldChar w:fldCharType="separate"/>
      </w:r>
      <w:r w:rsidR="008522A2">
        <w:t xml:space="preserve">Table </w:t>
      </w:r>
      <w:r w:rsidR="008522A2">
        <w:rPr>
          <w:noProof/>
        </w:rPr>
        <w:t>2</w:t>
      </w:r>
      <w:r>
        <w:fldChar w:fldCharType="end"/>
      </w:r>
      <w:r>
        <w:t xml:space="preserve"> to </w:t>
      </w:r>
      <w:r>
        <w:fldChar w:fldCharType="begin"/>
      </w:r>
      <w:r>
        <w:instrText xml:space="preserve"> REF _Ref105417145 \h  \* MERGEFORMAT </w:instrText>
      </w:r>
      <w:r>
        <w:fldChar w:fldCharType="separate"/>
      </w:r>
      <w:r w:rsidR="008522A2">
        <w:rPr>
          <w:noProof/>
        </w:rPr>
        <w:t>Table</w:t>
      </w:r>
      <w:r w:rsidR="008522A2">
        <w:t xml:space="preserve"> </w:t>
      </w:r>
      <w:r w:rsidR="008522A2">
        <w:rPr>
          <w:noProof/>
        </w:rPr>
        <w:t>4</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rsidR="00553F25">
        <w:t xml:space="preserve">Table </w:t>
      </w:r>
      <w:r w:rsidR="00553F25">
        <w:rPr>
          <w:noProof/>
        </w:rPr>
        <w:t>2</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rsidR="00553F25">
        <w:rPr>
          <w:noProof/>
        </w:rPr>
        <w:t>Table</w:t>
      </w:r>
      <w:r w:rsidR="00553F25">
        <w:t xml:space="preserve"> </w:t>
      </w:r>
      <w:r w:rsidR="00553F25">
        <w:rPr>
          <w:noProof/>
        </w:rPr>
        <w:t>3</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rsidR="00553F25">
        <w:rPr>
          <w:noProof/>
        </w:rPr>
        <w:t>Table</w:t>
      </w:r>
      <w:r w:rsidR="00553F25">
        <w:t xml:space="preserve"> </w:t>
      </w:r>
      <w:r w:rsidR="00553F25">
        <w:rPr>
          <w:noProof/>
        </w:rPr>
        <w:t>4</w:t>
      </w:r>
      <w:r>
        <w:fldChar w:fldCharType="end"/>
      </w:r>
      <w:r w:rsidRPr="00C752CF">
        <w:t>.</w:t>
      </w:r>
    </w:p>
    <w:p w14:paraId="10086E21" w14:textId="1BC841BB" w:rsidR="00AA4DAE" w:rsidRDefault="00A13F0F">
      <w:pPr>
        <w:pStyle w:val="Caption"/>
      </w:pPr>
      <w:bookmarkStart w:id="33" w:name="_Ref105417109"/>
      <w:bookmarkStart w:id="34" w:name="_Toc159919735"/>
      <w:bookmarkStart w:id="35" w:name="_Toc187399548"/>
      <w:r>
        <w:t xml:space="preserve">Table </w:t>
      </w:r>
      <w:r>
        <w:fldChar w:fldCharType="begin"/>
      </w:r>
      <w:r>
        <w:instrText>SEQ Table \* ARABIC</w:instrText>
      </w:r>
      <w:r>
        <w:fldChar w:fldCharType="separate"/>
      </w:r>
      <w:r w:rsidR="008522A2">
        <w:rPr>
          <w:noProof/>
        </w:rPr>
        <w:t>2</w:t>
      </w:r>
      <w:r>
        <w:fldChar w:fldCharType="end"/>
      </w:r>
      <w:bookmarkEnd w:id="33"/>
      <w:r>
        <w:t>. CPAS – Electric</w:t>
      </w:r>
      <w:bookmarkStart w:id="36" w:name="Table_4"/>
      <w:bookmarkEnd w:id="34"/>
      <w:bookmarkEnd w:id="35"/>
      <w:bookmarkEnd w:id="36"/>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556DAB" w14:paraId="1BA3F6B3"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D9E6E43" w14:textId="77777777" w:rsidR="00556DAB" w:rsidRDefault="00556DAB">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1F8EC2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588C96B" w14:textId="77777777" w:rsidR="00556DAB" w:rsidRDefault="00556DA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556DAB" w14:paraId="7522432B"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3BE8F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6672C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4E04B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19060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09111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E14AF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05B4C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F5286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E1C101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5A3562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62C9DF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B4BC0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9D8A3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CD4D7C"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BC670D" w14:paraId="4FC3586A"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77C082"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106AF" w14:textId="3E8CD5E2"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0A17AD" w14:textId="6CBA151D"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110,190,101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3B3937"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EC614"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D1B199"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972D99"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D1975"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64CF0"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245D7" w14:textId="6DD6DCC4"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7E1ADA" w14:textId="458308E9"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D8FD8E" w14:textId="5B8600C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3FAB2" w14:textId="1B7B2D11"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5246D" w14:textId="4B719F66"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r>
      <w:tr w:rsidR="00BC670D" w14:paraId="618B4069"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3CD27"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20133"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74C58F"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CBFC75" w14:textId="6090B96C"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1,935,089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0D180" w14:textId="78A6285A"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4,227,324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91C96F" w14:textId="1DC9B909"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5,896,588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E9680F" w14:textId="5D7EA87F"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6,916,634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4A0542" w14:textId="75C6350C"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12,096,347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B8677B" w14:textId="78BC53F4"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15,132,150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669D7E" w14:textId="17AA62B4"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15,132,150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B4E1C2" w14:textId="581591C5"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15,132,150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45BA66" w14:textId="08883898"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15,132,150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CBC9D" w14:textId="473F0AAA"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14,400,718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AC998A" w14:textId="18CFC56E"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13,407,078</w:t>
            </w:r>
          </w:p>
        </w:tc>
      </w:tr>
      <w:tr w:rsidR="00BC670D" w14:paraId="3519764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32F0F5"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52C7A9" w14:textId="25E8077B"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C28460" w14:textId="5F873B64"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262,469,213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5D1284" w14:textId="74038508"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1,935,089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9C4246" w14:textId="71CC2570"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4,227,324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A735B3" w14:textId="0C30D2D1"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5,896,588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C3C554" w14:textId="500B7F02"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6,916,634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61549" w14:textId="7C1751A9"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12,096,347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B6F55" w14:textId="3A97B543"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15,132,150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8AD33E" w14:textId="6223681A"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D6B050" w14:textId="37102233"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22,560,931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36CF25" w14:textId="7E338942"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22,560,931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B58F71" w14:textId="30DE122D"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21,829,499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4CA317" w14:textId="156BEB06"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20,835,859</w:t>
            </w:r>
          </w:p>
        </w:tc>
      </w:tr>
      <w:tr w:rsidR="00BC670D" w14:paraId="67CB42FF"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DC7D15"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B753F1"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1BF8B4"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20D50C"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A2E62"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F25DB6"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01EF8D"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4FC54D"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50BC9D"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0C23B" w14:textId="47BC2E8E"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83131" w14:textId="1B6413A9"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403E2" w14:textId="2C9EFFA5"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25E232" w14:textId="337AF958"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6383FC" w14:textId="4BA1D0A8"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BC670D" w14:paraId="11B7DF6B"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D6126A"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D6E48"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CB112"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B1F57A"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31F91"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EB3C6"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C39251"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D0E9AA"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12075"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71288" w14:textId="27EE7E9F"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3E9FC7" w14:textId="569161F4"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49439" w14:textId="01AA1C28"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371D29" w14:textId="7F3AF303"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731,432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666831" w14:textId="227546C2"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993,640</w:t>
            </w:r>
          </w:p>
        </w:tc>
      </w:tr>
      <w:tr w:rsidR="00BC670D" w14:paraId="30BA0C1A"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02C783"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ACDCE8"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A394D5"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91A670"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AB0894"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74F333"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A2D8C7"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62F77A"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BCCB1B" w14:textId="7777777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CC87EBB" w14:textId="0C7465C0"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B2C76B" w14:textId="34A30721"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99148A" w14:textId="7A6D1D2A"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B59C3D" w14:textId="1D1E5E39"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731,432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37D383" w14:textId="05C3F3A7" w:rsidR="00BC670D" w:rsidRDefault="00BC670D" w:rsidP="00BC670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993,640</w:t>
            </w:r>
          </w:p>
        </w:tc>
      </w:tr>
    </w:tbl>
    <w:p w14:paraId="470727AD" w14:textId="77777777" w:rsidR="00AA4DAE" w:rsidRDefault="00AA4DAE">
      <w:pPr>
        <w:spacing w:before="0" w:after="0"/>
      </w:pPr>
      <w:bookmarkStart w:id="37" w:name="Table_4_2"/>
      <w:bookmarkEnd w:id="37"/>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556DAB" w14:paraId="674ECC5E"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6F0E2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B7F87D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68A7B6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ACD87C"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FA047C"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8AD10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82CEE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48D62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E4B71C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58A53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C6816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5FFBA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46135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C60594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2D4481" w14:paraId="382C23F8"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3137B"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0F2DA6" w14:textId="62B22290"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571C96" w14:textId="72F3456C"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110,190,101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F073E4" w14:textId="1DC6AFE8"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9AE406" w14:textId="284A45E4"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A66C3" w14:textId="66C6A1C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52399" w14:textId="5E7FE86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39FD7" w14:textId="7885472A"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7,382,244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7CD3B" w14:textId="4A951E2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7,323,977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4906E8" w14:textId="58ADD45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7,197,731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9ACE25" w14:textId="50B47A7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7,091,483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E32F71" w14:textId="06AC5E0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7,068,245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9FDF43" w14:textId="7BD75E16"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3,296,291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4E5AE" w14:textId="3AFA4C26"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1,427,431</w:t>
            </w:r>
          </w:p>
        </w:tc>
      </w:tr>
      <w:tr w:rsidR="002D4481" w14:paraId="239D5BA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CC02E"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156B72"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C7B9DF"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328876" w14:textId="7D53E00D"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12,429,112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A9F8A6" w14:textId="19CB0B06"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12,092,305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4D3B7" w14:textId="5242C096"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12,084,310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B0465" w14:textId="571F098E"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11,961,663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548CB5" w14:textId="0F0D598A"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11,543,118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A6B274" w14:textId="00EB0D0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11,195,056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8D68B" w14:textId="02C0340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9,255,359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EB7A7F" w14:textId="375CB91A"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4,940,290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C73879" w14:textId="5E0F1B8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2,865,648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CE47BC" w14:textId="0912377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1,326,854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2BF9A" w14:textId="79B5E93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1,071,531</w:t>
            </w:r>
          </w:p>
        </w:tc>
      </w:tr>
      <w:tr w:rsidR="002D4481" w14:paraId="1B17E464"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1CDF0"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D659D7" w14:textId="588B8D10"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144ED" w14:textId="741040B0"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262,469,213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FE1E4E" w14:textId="3096D758"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19,857,893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DD4085" w14:textId="3AD3A56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19,521,086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11245" w14:textId="16807214"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19,513,091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6C6BE" w14:textId="53E478D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19,390,444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35385" w14:textId="22519A2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18,925,362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C7EFC2" w14:textId="4AC0582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18,519,033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5A22C" w14:textId="1ECB846F"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16,453,090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B2A67" w14:textId="3C33F22D"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12,031,773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6A901" w14:textId="05C80D7E"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9,933,893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CE614F" w14:textId="138CA81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4,623,145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7D44B" w14:textId="79888473"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2,498,962</w:t>
            </w:r>
          </w:p>
        </w:tc>
      </w:tr>
      <w:tr w:rsidR="002D4481" w14:paraId="156213E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A18B12"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611AF7"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543F16"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5022B" w14:textId="2470D7E6"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30D090" w14:textId="5405631D"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DECD9" w14:textId="5056D42C"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33EDB8" w14:textId="2E6274F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3357C1" w14:textId="6D3A9B0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46,537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BA4B86" w14:textId="43E8AC0A"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58,267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F0274D" w14:textId="7D3654A0"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126,246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083BA" w14:textId="0C3EEF0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106,248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6A2660" w14:textId="7456DBE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4F065F" w14:textId="764EDED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3,771,954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B427A7" w14:textId="7A86FCD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1,868,860</w:t>
            </w:r>
          </w:p>
        </w:tc>
      </w:tr>
      <w:tr w:rsidR="002D4481" w14:paraId="1477775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A23D69"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AE3B2"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E1BEC"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A21B07" w14:textId="1073814F"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977,966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F3C3C5" w14:textId="0947056D"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336,807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AA2971" w14:textId="36ADB958"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4BBD3" w14:textId="03F02B0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122,647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67D72" w14:textId="0ECD554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418,545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7588E" w14:textId="7108D10A"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348,062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7D06C4" w14:textId="4619EFC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1,939,697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97C79" w14:textId="59BA5BFE"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4,315,069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8FDAE" w14:textId="7962187B"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2,074,642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8E03D" w14:textId="3E3B0BC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1,538,794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5F70CF" w14:textId="0350E1E2"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255,323</w:t>
            </w:r>
          </w:p>
        </w:tc>
      </w:tr>
      <w:tr w:rsidR="002D4481" w14:paraId="277F6456"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62AED2C"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D98846"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4DD6B8" w14:textId="7777777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334343" w14:textId="12AA6708"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977,966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1A822E8" w14:textId="4F444136"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336,807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4FCF49" w14:textId="2DE006FF"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7,995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CFF56B" w14:textId="70B2AA47"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122,647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06DD4F" w14:textId="2F6E51D4"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465,082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64C9D0" w14:textId="3855C153"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406,329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9EE72F" w14:textId="3F65C04C"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2,065,943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17DFE0" w14:textId="318F9719"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4,421,317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3F45A23" w14:textId="794575D4"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2,097,880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32A850" w14:textId="6A0A9DE1"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5,310,748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6FD65C" w14:textId="25A8AE31" w:rsidR="002D4481" w:rsidRDefault="002D4481" w:rsidP="002D448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2,124,183</w:t>
            </w:r>
          </w:p>
        </w:tc>
      </w:tr>
    </w:tbl>
    <w:p w14:paraId="439EBF93" w14:textId="77777777" w:rsidR="00AA4DAE" w:rsidRPr="00944D07" w:rsidRDefault="00AA4DAE">
      <w:pPr>
        <w:spacing w:before="0" w:after="0"/>
      </w:pPr>
      <w:bookmarkStart w:id="38" w:name="Table_4_3"/>
      <w:bookmarkEnd w:id="38"/>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556DAB" w14:paraId="08CC13A8"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38F3B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CEA56F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518523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117299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A3CB2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6B507E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FC40D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506CD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6C742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B10CA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3E5E1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AD98B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C95D7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13205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287B73" w14:paraId="3B322C6C"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ABF0B"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FC683" w14:textId="39AF085F"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0F6E4D" w14:textId="72F82678"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110,190,101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074A3A" w14:textId="61BAA70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652,871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B76D23" w14:textId="3BF75951"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652,871</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E297ED" w14:textId="3DF116EC"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640,298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EB527D" w14:textId="2F3EE438"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594,195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C854C3" w14:textId="3AC011BD"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687E08" w14:textId="32A6AD49"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B7AD6F" w14:textId="5D15F75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853B77" w14:textId="6164120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70A4A" w14:textId="1E517C2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28C5B" w14:textId="047E6E1A"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F3FE0" w14:textId="5924AFAE"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87B73" w14:paraId="0CDBB77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DEFFFC"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F1B60"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9E787"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53DB9E" w14:textId="630B13BD"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1,023,044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1D115E" w14:textId="335BA6EA"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933,106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01C3C" w14:textId="6D873D81"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855,276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B828E0" w14:textId="19798865"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498,960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4F59D" w14:textId="4A73EA83"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4F5284" w14:textId="695D9AB2"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D5A8F" w14:textId="16134A8D"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7FA29" w14:textId="43914FA2"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B4EB69" w14:textId="3E47109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B7DFEE" w14:textId="5D340A7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167D90" w14:textId="2A186098"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87B73" w14:paraId="50E6FE4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19DB8B"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084DBE" w14:textId="6A494C62"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7,428,781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9B6198" w14:textId="4FD52972"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262,469,213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FBC974" w14:textId="0BB94BCA"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1,675,915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C3AB0" w14:textId="4F1054A1"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1,585,977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439B9" w14:textId="444059C1"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1,495,574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F72223" w14:textId="2BEDD348"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1,093,155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54778" w14:textId="6F80A3BA"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134,820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3ADA0" w14:textId="29A2D0A1"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87D3D" w14:textId="06940683"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943C9" w14:textId="3206F2D6"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A3975" w14:textId="19F35822"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BB0343" w14:textId="4700D45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8FF4D" w14:textId="5300167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87B73" w14:paraId="4FAF8DA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579FA"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154EA6"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77268C"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EA698" w14:textId="432C29EF"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774,560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9F7FA" w14:textId="22970EBA"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4AF4E2" w14:textId="2190606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A14B62" w14:textId="0B95DF2E"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46,103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D5BACD" w14:textId="793F5009"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590,759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6C4043" w14:textId="32DDC6DC"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3,436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EA127F" w14:textId="296078D6"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468E7" w14:textId="628769F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C94CCB" w14:textId="2A4FF0E6"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93F0A5" w14:textId="4C57679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83CF2C" w14:textId="257CC7B3"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87B73" w14:paraId="758E399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ACC4A"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DBED55"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2C7D11"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C6CEF1" w14:textId="5FAFF799"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48,487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DBE41" w14:textId="1EADC6E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89,938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8A11F" w14:textId="38901939"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77,830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A167A" w14:textId="0FCB1362"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356,316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CD1598" w14:textId="0419BF5B"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367,576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C248CD" w14:textId="1970FA45"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6FBF7C" w14:textId="479B82A6"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11B7D0" w14:textId="1805BAA6"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57024" w14:textId="6C009275"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6BFD28" w14:textId="23EB38A8"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DBA679" w14:textId="3FCFAF5C"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87B73" w14:paraId="06B93FCB"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4504B7"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D2C1D0"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62209A" w14:textId="77777777"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D899E31" w14:textId="64709A15"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823,047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86AD5F" w14:textId="3780F0A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89,938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B5DABE" w14:textId="40DB943C"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90,403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95A4EF" w14:textId="2516C8F9"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402,419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6E52C9A" w14:textId="168E857E"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958,335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ED1099" w14:textId="4F9F6D18"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134,820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A292C7" w14:textId="6AB04A0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E5A3ED" w14:textId="7AA39B8C"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8CE8773" w14:textId="38E3ACB3"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62F2423" w14:textId="714519A9"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8A38FE" w14:textId="42C9BF50" w:rsidR="00287B73" w:rsidRDefault="00287B73" w:rsidP="00287B73">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AA4DAE" w:rsidRPr="00C34E77" w:rsidRDefault="00A13F0F">
      <w:pPr>
        <w:pStyle w:val="TableFigureNote"/>
      </w:pPr>
      <w:r w:rsidRPr="00C34E77">
        <w:rPr>
          <w:rFonts w:eastAsiaTheme="minorEastAsia"/>
        </w:rPr>
        <w:t>† Lifetime savings are the sum of CPAS savings through the EUL.</w:t>
      </w:r>
    </w:p>
    <w:p w14:paraId="7135FD43" w14:textId="77777777" w:rsidR="00AA4DAE" w:rsidRDefault="00A13F0F">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AA4DAE" w:rsidRPr="00C34E77" w:rsidRDefault="00A13F0F">
      <w:pPr>
        <w:pStyle w:val="TableFigureNote"/>
      </w:pPr>
      <w:r w:rsidRPr="00C34E77">
        <w:rPr>
          <w:rFonts w:eastAsiaTheme="minorEastAsia"/>
        </w:rPr>
        <w:t>§ Incremental expiring savings are equal to CPAS Yn-1 - CPAS Yn.</w:t>
      </w:r>
    </w:p>
    <w:p w14:paraId="5FC5C1BE" w14:textId="77777777" w:rsidR="00AA4DAE" w:rsidRPr="00C34E77" w:rsidRDefault="00A13F0F">
      <w:pPr>
        <w:pStyle w:val="TableFigureNote"/>
      </w:pPr>
      <w:r w:rsidRPr="00C34E77">
        <w:rPr>
          <w:rFonts w:eastAsiaTheme="minorEastAsia"/>
        </w:rPr>
        <w:t>|| Historic incremental expiring savings are equal to Historic CPAS Yn-1 – Historic CPAS Yn.</w:t>
      </w:r>
    </w:p>
    <w:p w14:paraId="40A66E97" w14:textId="77777777" w:rsidR="00AA4DAE" w:rsidRPr="00C34E77" w:rsidRDefault="00A13F0F">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AA4DAE" w:rsidRDefault="00A13F0F">
      <w:pPr>
        <w:pStyle w:val="TableFigureSource"/>
      </w:pPr>
      <w:r w:rsidRPr="00B361A6">
        <w:t>Source: Evaluation team analysis</w:t>
      </w:r>
    </w:p>
    <w:p w14:paraId="1907B2BF" w14:textId="77777777" w:rsidR="009F0728" w:rsidRDefault="009F0728">
      <w:pPr>
        <w:suppressAutoHyphens w:val="0"/>
        <w:spacing w:before="0" w:after="0"/>
        <w:rPr>
          <w:rFonts w:ascii="Arial" w:hAnsi="Arial" w:cs="Arial"/>
          <w:b/>
          <w:bCs/>
          <w:sz w:val="22"/>
          <w:szCs w:val="20"/>
        </w:rPr>
      </w:pPr>
      <w:bookmarkStart w:id="39" w:name="_Ref105417178"/>
      <w:bookmarkStart w:id="40" w:name="_Toc159919736"/>
      <w:bookmarkStart w:id="41" w:name="_Toc187399549"/>
      <w:r>
        <w:br w:type="page"/>
      </w:r>
    </w:p>
    <w:p w14:paraId="48063F23" w14:textId="7B08DD90" w:rsidR="00AA4DAE" w:rsidRDefault="00A13F0F">
      <w:pPr>
        <w:pStyle w:val="Caption"/>
      </w:pPr>
      <w:r>
        <w:t xml:space="preserve">Table </w:t>
      </w:r>
      <w:r>
        <w:fldChar w:fldCharType="begin"/>
      </w:r>
      <w:r>
        <w:instrText>SEQ Table \* ARABIC</w:instrText>
      </w:r>
      <w:r>
        <w:fldChar w:fldCharType="separate"/>
      </w:r>
      <w:r w:rsidR="008522A2">
        <w:rPr>
          <w:noProof/>
        </w:rPr>
        <w:t>3</w:t>
      </w:r>
      <w:r>
        <w:fldChar w:fldCharType="end"/>
      </w:r>
      <w:bookmarkEnd w:id="39"/>
      <w:r w:rsidRPr="00F7087A">
        <w:t xml:space="preserve">. CPAS – </w:t>
      </w:r>
      <w:r w:rsidRPr="00016EEF">
        <w:t>Other Fuel (Gas + Propane)</w:t>
      </w:r>
      <w:bookmarkStart w:id="42" w:name="Table_5"/>
      <w:bookmarkEnd w:id="40"/>
      <w:bookmarkEnd w:id="41"/>
      <w:bookmarkEnd w:id="42"/>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556DAB" w14:paraId="63D2DF02" w14:textId="77777777">
        <w:trPr>
          <w:tblHeader/>
          <w:jc w:val="center"/>
        </w:trPr>
        <w:tc>
          <w:tcPr>
            <w:tcW w:w="747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BD10838" w14:textId="77777777" w:rsidR="00556DAB" w:rsidRDefault="00556DAB">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3456"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D350C0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Therms Savings</w:t>
            </w:r>
          </w:p>
        </w:tc>
        <w:tc>
          <w:tcPr>
            <w:tcW w:w="6048"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271B77E2" w14:textId="77777777" w:rsidR="00556DAB" w:rsidRDefault="00556DA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556DAB" w14:paraId="7F7C0AAE"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C23BA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576322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26FEC5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ACBD44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9C550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75E8B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66CCCA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F31FC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1695E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581370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29C4C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26F55C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43A3EF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98F09E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3D3156" w14:paraId="6CF8D716"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B2A9B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6096D" w14:textId="16C7456A"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449806" w14:textId="322F3425"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2,120,429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8920EF"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C122F3"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66B1F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C6744D"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68757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EC7EB"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867FA" w14:textId="3797281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B9A0FB" w14:textId="54C55EA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61C21C" w14:textId="7D3209E6"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6068A4" w14:textId="77D594B1"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9B2575" w14:textId="043E8C1B"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r>
      <w:tr w:rsidR="003D3156" w14:paraId="14E64B9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60622D"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32381" w14:textId="604A505B"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95C675" w14:textId="0EACAB09"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62,149,778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B51FE"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B54ECC"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CB38F"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A171C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96D0CF"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D57628"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22C37C" w14:textId="17D7A75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B2358D" w14:textId="4EF1E9D5"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BD4354" w14:textId="0C71ADA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CCD6F1" w14:textId="75601EEA"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EA4D5" w14:textId="1A9861D4"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r>
      <w:tr w:rsidR="003D3156" w14:paraId="14DD3AD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EE628D"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47A9BF"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47B4CB"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EF9043" w14:textId="55300ABF"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E1CE0" w14:textId="70D1B644"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672,456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26A29A" w14:textId="144F1CCA"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672,456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38D6FE" w14:textId="19966FC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672,456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CC170" w14:textId="27835998"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1,970,236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B5C67E" w14:textId="25A59BAB"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3,046,742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8CC3B0" w14:textId="22333E19"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3,046,742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C10B5" w14:textId="5481BB2B"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3,046,742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599419" w14:textId="7638BB00"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3,046,742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933A3A" w14:textId="132B94E3"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3,046,742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2DB749" w14:textId="106F96F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3,038,255</w:t>
            </w:r>
          </w:p>
        </w:tc>
      </w:tr>
      <w:tr w:rsidR="003D3156" w14:paraId="71DADA10"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83E3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7056A" w14:textId="2D3F7AAA"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79A02" w14:textId="0F5F51E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62,149,778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C2B27" w14:textId="43C44A9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C02447" w14:textId="2F494C6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672,456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3C789C" w14:textId="781DDFC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672,456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EBB0B8" w14:textId="7785B6B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672,456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E75797" w14:textId="3290F9D1"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1,970,236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8000B" w14:textId="0A297D6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3,046,742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C664B5" w14:textId="1F69FBA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6,793,693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12753B" w14:textId="24A1B0BD"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6,793,693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282D7A" w14:textId="03CB96DA"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6,793,693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58160" w14:textId="6BB0672F"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6,793,693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213AD6" w14:textId="0D201875"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6,785,206</w:t>
            </w:r>
          </w:p>
        </w:tc>
      </w:tr>
      <w:tr w:rsidR="003D3156" w14:paraId="616F0F4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EC8C1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797B0"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3177A"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8634F"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86AC30"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862C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429F72"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BBDDE"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FC56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A45BB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5EE215" w14:textId="5B4D852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4035D" w14:textId="7AD181A8"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D1E86A" w14:textId="7B29DF4E"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CE1E59" w14:textId="18C2C93B"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3D3156" w14:paraId="58132C6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A9F38D"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F1637B"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237E2"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A6968A"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EA2A3D"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63349C"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E6255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2ED7E"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CDDCC8"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9BAE9D"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867B3A" w14:textId="59C85B58"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3230C5" w14:textId="1F55F04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5C118" w14:textId="23E0DD49"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4D9328" w14:textId="09C560E0"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3D3156" w14:paraId="6227E2E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9BB1E6"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4CB20"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F16D2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56BE7"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944A0"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0A8171"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14CBA7"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D5AC53"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099C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587F40" w14:textId="601CEC23"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167BD1" w14:textId="07FEFD30"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98B1EE" w14:textId="323F04A9"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EEC95D" w14:textId="174CD544"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AF965A" w14:textId="497FF3FC"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8,487</w:t>
            </w:r>
          </w:p>
        </w:tc>
      </w:tr>
      <w:tr w:rsidR="003D3156" w14:paraId="016B266A"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39501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C1C8A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3BDA7A"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39676A"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413954"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4133F7"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736CA9"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1C78BE"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50F9B3" w14:textId="77777777"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9881859" w14:textId="77F183E9"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1B03BF" w14:textId="4EDEFCA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6B8211" w14:textId="09BAC88A"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698B2F" w14:textId="2C5E12D2"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0D6F14" w14:textId="410E42BE" w:rsidR="003D3156" w:rsidRDefault="003D3156" w:rsidP="003D3156">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8,487</w:t>
            </w:r>
          </w:p>
        </w:tc>
      </w:tr>
    </w:tbl>
    <w:p w14:paraId="7AC6ED64" w14:textId="77777777" w:rsidR="00AA4DAE" w:rsidRDefault="00AA4DAE">
      <w:pPr>
        <w:spacing w:before="0" w:after="0"/>
      </w:pPr>
      <w:bookmarkStart w:id="43" w:name="Table_5_2"/>
      <w:bookmarkEnd w:id="43"/>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556DAB" w14:paraId="5C0FB99E"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AD635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C7AD6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B536C3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A6B79D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2CCF6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1D1D5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FAC58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77C33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8947F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A9B661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A753A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40D27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DD8236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D2C65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4809B2" w14:paraId="1B5F6D3E"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0BD36"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77A026" w14:textId="20FADBC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7C258" w14:textId="3BE79B03"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2,120,429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7A36E" w14:textId="1447031E"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45774C" w14:textId="15A1A3D3"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E6B43" w14:textId="7C41638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5D338" w14:textId="2875278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64B1B6" w14:textId="4DD72D9C"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127,418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024698" w14:textId="62FA325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107,429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5B06E4" w14:textId="63E62F7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99,795</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43238" w14:textId="562F1CAF"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99,795</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75C91" w14:textId="1C5F107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99,795</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9718CA" w14:textId="59B3933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93,062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9EEFB8" w14:textId="40F61946"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68,948</w:t>
            </w:r>
          </w:p>
        </w:tc>
      </w:tr>
      <w:tr w:rsidR="004809B2" w14:paraId="2EF841C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E9FB1"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11DAB" w14:textId="4092371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C1731" w14:textId="1C53C428"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62,149,778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28632" w14:textId="0C93C02C"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C30C5F" w14:textId="04746EFD"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E7B0B" w14:textId="07CBBEDD"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83295E" w14:textId="1366C44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D6C2DC" w14:textId="3339896D"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3,734,630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FE1EE2" w14:textId="30207F9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3,148,730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F376FB" w14:textId="4C99FDAD"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2,925,001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283B7A" w14:textId="529C55BC"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2,925,001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7E64F3" w14:textId="4603315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2,925,001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3AFDF" w14:textId="4554E92F"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2,727,642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AEBF93" w14:textId="5AC99500"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2,020,864</w:t>
            </w:r>
          </w:p>
        </w:tc>
      </w:tr>
      <w:tr w:rsidR="004809B2" w14:paraId="262CED3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FFF478"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24129"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9AAA1E"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D3423" w14:textId="1DA2784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2,961,874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460AA3" w14:textId="3A64A64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2,961,874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30D04" w14:textId="705CDCB2"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2,923,506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E751C2" w14:textId="43583DB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2,077,240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384A54" w14:textId="0F7A679E"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1,849,633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863F6" w14:textId="3D2CB224"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1,678,599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6FC07E" w14:textId="7A3BBFE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1,671,833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38595F" w14:textId="303738D2"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1,669,664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962CE" w14:textId="71CED66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1,251,786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07C1C" w14:textId="74A239CD"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1,142,884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062101" w14:textId="516E29F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1,142,884</w:t>
            </w:r>
          </w:p>
        </w:tc>
      </w:tr>
      <w:tr w:rsidR="004809B2" w14:paraId="3EA6AE3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96411C"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CA3FE" w14:textId="4FDC7CE2"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C126E" w14:textId="6C108E4C"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62,149,778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BC08F" w14:textId="10794CF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6,708,825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36E313" w14:textId="193A8498"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6,708,825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B2216E" w14:textId="3AE844B0"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6,670,457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B92983" w14:textId="41663D7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5,824,191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7A7B66" w14:textId="73E9D76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5,584,263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CFF13" w14:textId="4C4ACF1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4,827,329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326208" w14:textId="6DC6339C"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4,596,834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E79691" w14:textId="6CCDE66F"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4,594,665</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87DAFF" w14:textId="61C246E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4,176,787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E92375" w14:textId="664DA81E"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3,870,526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22086" w14:textId="0655A40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3,163,748</w:t>
            </w:r>
          </w:p>
        </w:tc>
      </w:tr>
      <w:tr w:rsidR="004809B2" w14:paraId="71FB126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763F70"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6C5BCB"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0A45C0"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22A9C5" w14:textId="672319F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7CE4B" w14:textId="08FEA69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20A63" w14:textId="22244EB0"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25243F" w14:textId="161D77D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EC6C23" w14:textId="6B67EEF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D603F" w14:textId="20D1D214"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19,990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20915" w14:textId="1EDA3928"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7,633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34D4F" w14:textId="13DAA776"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9B215" w14:textId="16D281AF"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1960F" w14:textId="545DB574"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6,734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6B3C3" w14:textId="68A8606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24,114</w:t>
            </w:r>
          </w:p>
        </w:tc>
      </w:tr>
      <w:tr w:rsidR="004809B2" w14:paraId="1B62DFE5"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FE266D"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150D2B"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A72833"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BE16D9" w14:textId="5703CBC8"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F795F" w14:textId="6C09406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5FF2C6" w14:textId="0972577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F177CA" w14:textId="2E675E93"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D47E8" w14:textId="0404B1B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12,320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0C3E09" w14:textId="31917DA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585,900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B4C64D" w14:textId="093D00D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223,728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282216" w14:textId="4C44578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05C9F" w14:textId="156EA61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DF3D6" w14:textId="424A5F08"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197,359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03BCD" w14:textId="5A1AA97D"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706,778</w:t>
            </w:r>
          </w:p>
        </w:tc>
      </w:tr>
      <w:tr w:rsidR="004809B2" w14:paraId="72809A7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34256A"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8C2973"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F07BA"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85A71" w14:textId="2D4119D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76,381</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25BCB" w14:textId="443852C2"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F8642C" w14:textId="05E18A4F"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38,368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7B557" w14:textId="2C9F60F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846,266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649DC6" w14:textId="3E0EFFA2"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227,607</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05A699" w14:textId="0498CF9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171,034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5041D" w14:textId="710C62F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6,766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0B9FC8" w14:textId="61083F85"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2,169</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FD8DED" w14:textId="1B012233"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417,878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3AA7DF" w14:textId="60EB861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108,902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46E9B5" w14:textId="6025296A"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4809B2" w14:paraId="2FFBCC83"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B2E601"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2E8A4E"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7CB94A" w14:textId="7777777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DD1563" w14:textId="4084EFB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76,381</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8A5813" w14:textId="1AE3FDE1"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56193F6" w14:textId="154A5DDB"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38,368</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763403" w14:textId="3F1C2D0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846,266</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B62371" w14:textId="69740900"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239,927</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67A836A" w14:textId="07A80EEF"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756,934</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10396C" w14:textId="34E4614E"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230,494</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77BBC1" w14:textId="1578C849"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2,169</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6A9494" w14:textId="37D6A083"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417,878</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D2FE2E" w14:textId="7270EC68"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306,261</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6E13D7" w14:textId="0021FC17" w:rsidR="004809B2" w:rsidRDefault="004809B2" w:rsidP="004809B2">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706,778</w:t>
            </w:r>
          </w:p>
        </w:tc>
      </w:tr>
    </w:tbl>
    <w:p w14:paraId="621AE0C3" w14:textId="77777777" w:rsidR="00AA4DAE" w:rsidRPr="00944D07" w:rsidRDefault="00AA4DAE">
      <w:pPr>
        <w:spacing w:before="0" w:after="0"/>
      </w:pPr>
      <w:bookmarkStart w:id="44" w:name="Table_5_3"/>
      <w:bookmarkEnd w:id="44"/>
    </w:p>
    <w:tbl>
      <w:tblPr>
        <w:tblW w:w="0" w:type="auto"/>
        <w:jc w:val="center"/>
        <w:tblLayout w:type="fixed"/>
        <w:tblLook w:val="0420" w:firstRow="1" w:lastRow="0" w:firstColumn="0" w:lastColumn="0" w:noHBand="0" w:noVBand="1"/>
      </w:tblPr>
      <w:tblGrid>
        <w:gridCol w:w="5112"/>
        <w:gridCol w:w="1181"/>
        <w:gridCol w:w="1181"/>
        <w:gridCol w:w="864"/>
        <w:gridCol w:w="864"/>
        <w:gridCol w:w="864"/>
        <w:gridCol w:w="864"/>
        <w:gridCol w:w="864"/>
        <w:gridCol w:w="864"/>
        <w:gridCol w:w="864"/>
        <w:gridCol w:w="864"/>
        <w:gridCol w:w="864"/>
        <w:gridCol w:w="864"/>
        <w:gridCol w:w="864"/>
      </w:tblGrid>
      <w:tr w:rsidR="00556DAB" w14:paraId="2377083E"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9E19A4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E863B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46601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E1087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0E298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5BDC4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1EB7D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080368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B7ECE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08EF7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9D7073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3B924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D689A5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F5096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9F0DE1" w14:paraId="66CC62BE"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83F91C"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F85EB1" w14:textId="5BB5461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127,839</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559CFD" w14:textId="1C4FED3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2,120,429</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749D4F" w14:textId="0BE3C3D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68,948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39BDE" w14:textId="3B001ED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68,948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3F6805" w14:textId="503207C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68,948</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864F86" w14:textId="6D5C32BB"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65,812</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A59B00" w14:textId="4892A9D8"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983</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8283D" w14:textId="0CE3AD4B"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6C92D0" w14:textId="49106EB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4909B5" w14:textId="045A860B"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063DEC" w14:textId="496FEB6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82400D" w14:textId="7164E4E3"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03133" w14:textId="14C2DC4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3E440060"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F4FE78"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D32D90" w14:textId="4A2841F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87E3B2" w14:textId="3585BFB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62,149,778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372391" w14:textId="16CE206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2,020,864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C4DE9" w14:textId="44787030"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2,020,864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25D47D" w14:textId="2949D89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2,020,864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558803" w14:textId="30B62EA5"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1,928,940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FDBAB" w14:textId="17F7852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28,822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AAFD46" w14:textId="5C70982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C32B36" w14:textId="589A6A15"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DAD14" w14:textId="7689F2C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C5B8D9" w14:textId="6A04D5A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513BD8" w14:textId="39751B2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718D3C" w14:textId="7F3916B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71F4AB7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CF4AF3"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7B3195"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29EAC8"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20E9B3" w14:textId="4722D53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1,142,884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B25935" w14:textId="75403455"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954,768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1536A6" w14:textId="0439775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758,918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DE4377" w14:textId="5E42E20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145,588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CEF8CE" w14:textId="3195ADCD"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2BE91B" w14:textId="738ED0F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9A645C" w14:textId="419EFF18"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08F611" w14:textId="09B68569"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D49915" w14:textId="483BC7E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1893A" w14:textId="47D842D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FA64AB" w14:textId="0E0614F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201BB5DC"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63E387"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C9B77" w14:textId="670F35E8"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3,746,951</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8513E0" w14:textId="42279D48"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62,149,778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584493" w14:textId="45BCBE4E"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3,163,748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4BB132" w14:textId="7086DBD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2,975,632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D96CF5" w14:textId="6326B8D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2,779,782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5C9C5" w14:textId="53A20F56"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2,074,528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8A7172" w14:textId="480D0D2D"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28,822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EE4F3" w14:textId="4343DCF8"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122381" w14:textId="7705AF8B"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8F4FC" w14:textId="32D80CA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B61AF" w14:textId="120608DB"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AF2D0B" w14:textId="518086D8"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0013A" w14:textId="0AA1E26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5EDCD15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C7DB4"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F58D9"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D083B4"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59686F" w14:textId="1C48504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082E35" w14:textId="438EC1B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E196D2" w14:textId="5F04F13D"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63E1F7" w14:textId="48BCABF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3,136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E074F4" w14:textId="3EB3EC30"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64,828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3A5A3" w14:textId="0CFDDD70"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983</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2619EE" w14:textId="57F76A9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DB6BF" w14:textId="6A4C21B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189DD1" w14:textId="1F911CE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B525E" w14:textId="4146262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4381F1" w14:textId="7FA6BDF6"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1991DC3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56F74D"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A2DE0"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9EA93D"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CF7235" w14:textId="363726C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D4E93" w14:textId="4DF6F4D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9BFF7F" w14:textId="268BBD3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A5776A" w14:textId="60412B6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91,924</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E2F3E6" w14:textId="0D25C12D"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1,900,118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B3A8F5" w14:textId="04DF096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28,822</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656FC8" w14:textId="00BC189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7E2F03" w14:textId="1DE53CBE"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E5A62" w14:textId="0F63BDF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3E48B4" w14:textId="4521DCD9"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77F8D5" w14:textId="1F9D9C6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7CE94B78"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BB20B3"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23544"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223B10"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40819E" w14:textId="1B91368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B97C11" w14:textId="1BAEFE09"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188,116</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D960B4" w14:textId="76B7A6E1"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195,850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5FD300" w14:textId="1165F10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613,330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2E795A" w14:textId="489CE2FF"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145,588</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F216B5" w14:textId="035E6FA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5E139E" w14:textId="414CC12A"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236386" w14:textId="34E2262C"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ADDE53" w14:textId="2841A31B"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36FD67" w14:textId="1AF119FD"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A43DF3" w14:textId="4C9CDC80"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9F0DE1" w14:paraId="34D25250"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0143A4"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8CA698"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E00204" w14:textId="77777777"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6BA2367" w14:textId="5092BE80"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ECF8FD" w14:textId="1463DA85"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188,116</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718E231" w14:textId="2EBC9EFD"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195,850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AA5B4D" w14:textId="57481F1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705,254</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7D6939" w14:textId="3604160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2,045,706</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3A77C9" w14:textId="3B5990D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28,822</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12502F" w14:textId="4308D2C4"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9ADFB5" w14:textId="0E9EA805"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850B47" w14:textId="62E5FB12"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20E8B8B" w14:textId="78022086"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0C2AC9" w14:textId="083CED75" w:rsidR="009F0DE1" w:rsidRDefault="009F0DE1" w:rsidP="009F0DE1">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2B10BF7" w14:textId="77777777" w:rsidR="00AA4DAE" w:rsidRPr="00C329CB" w:rsidRDefault="00A13F0F">
      <w:pPr>
        <w:pStyle w:val="TableFigureNote"/>
        <w:rPr>
          <w:rFonts w:eastAsiaTheme="minorEastAsia"/>
        </w:rPr>
      </w:pPr>
      <w:r w:rsidRPr="00C329CB">
        <w:rPr>
          <w:rFonts w:eastAsiaTheme="minorEastAsia"/>
        </w:rPr>
        <w:t>† Lifetime savings are the sum of CPAS savings through the EUL.</w:t>
      </w:r>
    </w:p>
    <w:p w14:paraId="4D24CBEF" w14:textId="77777777" w:rsidR="00AA4DAE" w:rsidRPr="00C329CB" w:rsidRDefault="00A13F0F">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14:paraId="17B07B6D" w14:textId="77777777" w:rsidR="00AA4DAE" w:rsidRDefault="00A13F0F">
      <w:pPr>
        <w:pStyle w:val="TableFigureNote"/>
        <w:rPr>
          <w:rFonts w:eastAsiaTheme="minorEastAsia"/>
        </w:rPr>
      </w:pPr>
      <w:r w:rsidRPr="00C329CB">
        <w:rPr>
          <w:rFonts w:eastAsiaTheme="minorEastAsia"/>
        </w:rPr>
        <w:t>§ Historical savings go back to CY2018.</w:t>
      </w:r>
    </w:p>
    <w:p w14:paraId="687BB1C7" w14:textId="77777777" w:rsidR="00AA4DAE" w:rsidRPr="00C329CB" w:rsidRDefault="00A13F0F">
      <w:pPr>
        <w:pStyle w:val="TableFigureNote"/>
        <w:rPr>
          <w:rFonts w:eastAsiaTheme="minorEastAsia"/>
        </w:rPr>
      </w:pPr>
      <w:r w:rsidRPr="00C329CB">
        <w:rPr>
          <w:rFonts w:eastAsiaTheme="minorEastAsia"/>
        </w:rPr>
        <w:t>|| Incremental expiring savings are equal to CPAS Yn-1 - CPAS Yn.</w:t>
      </w:r>
    </w:p>
    <w:p w14:paraId="6C600D6F" w14:textId="77777777" w:rsidR="00AA4DAE" w:rsidRPr="00C329CB" w:rsidRDefault="00A13F0F">
      <w:pPr>
        <w:pStyle w:val="TableFigureNote"/>
        <w:rPr>
          <w:rFonts w:eastAsiaTheme="minorEastAsia"/>
        </w:rPr>
      </w:pPr>
      <w:r w:rsidRPr="00C329CB">
        <w:rPr>
          <w:rFonts w:eastAsiaTheme="minorEastAsia"/>
        </w:rPr>
        <w:t># Historic incremental expiring savings are equal to Historic CPAS Yn-1 – Historic CPAS Yn.</w:t>
      </w:r>
    </w:p>
    <w:p w14:paraId="3BF05BFA" w14:textId="77777777" w:rsidR="00AA4DAE" w:rsidRDefault="00A13F0F">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0F055B04" w14:textId="77777777" w:rsidR="00AA4DAE" w:rsidRDefault="00A13F0F">
      <w:pPr>
        <w:pStyle w:val="TableFigureSource"/>
      </w:pPr>
      <w:r>
        <w:t>Source: Evaluation team analysis</w:t>
      </w:r>
    </w:p>
    <w:p w14:paraId="598A0AE9" w14:textId="77777777" w:rsidR="009F0728" w:rsidRDefault="009F0728">
      <w:pPr>
        <w:suppressAutoHyphens w:val="0"/>
        <w:spacing w:before="0" w:after="0"/>
        <w:rPr>
          <w:rFonts w:ascii="Arial" w:hAnsi="Arial" w:cs="Arial"/>
          <w:b/>
          <w:bCs/>
          <w:sz w:val="22"/>
          <w:szCs w:val="20"/>
        </w:rPr>
      </w:pPr>
      <w:bookmarkStart w:id="45" w:name="_Ref105417145"/>
      <w:bookmarkStart w:id="46" w:name="_Toc159919737"/>
      <w:bookmarkStart w:id="47" w:name="_Toc187399550"/>
      <w:r>
        <w:br w:type="page"/>
      </w:r>
    </w:p>
    <w:p w14:paraId="13E03DCC" w14:textId="2F971ABB" w:rsidR="00AA4DAE" w:rsidRDefault="00A13F0F">
      <w:pPr>
        <w:pStyle w:val="Caption"/>
      </w:pPr>
      <w:r>
        <w:t xml:space="preserve">Table </w:t>
      </w:r>
      <w:r>
        <w:fldChar w:fldCharType="begin"/>
      </w:r>
      <w:r>
        <w:instrText>SEQ Table \* ARABIC</w:instrText>
      </w:r>
      <w:r>
        <w:fldChar w:fldCharType="separate"/>
      </w:r>
      <w:r w:rsidR="008522A2">
        <w:rPr>
          <w:noProof/>
        </w:rPr>
        <w:t>4</w:t>
      </w:r>
      <w:r>
        <w:fldChar w:fldCharType="end"/>
      </w:r>
      <w:bookmarkEnd w:id="45"/>
      <w:r w:rsidRPr="00F7087A">
        <w:t xml:space="preserve">. </w:t>
      </w:r>
      <w:r>
        <w:t>CPAS – Total</w:t>
      </w:r>
      <w:bookmarkStart w:id="48" w:name="Table_6"/>
      <w:bookmarkEnd w:id="46"/>
      <w:bookmarkEnd w:id="47"/>
      <w:bookmarkEnd w:id="48"/>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556DAB" w14:paraId="59CC32CD" w14:textId="77777777">
        <w:trPr>
          <w:tblHeader/>
          <w:jc w:val="center"/>
        </w:trPr>
        <w:tc>
          <w:tcPr>
            <w:tcW w:w="6034"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3AC931E" w14:textId="77777777" w:rsidR="00556DAB" w:rsidRDefault="00556DAB">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E94A76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7056" w:type="dxa"/>
            <w:gridSpan w:val="7"/>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7E6515C" w14:textId="77777777" w:rsidR="00556DAB" w:rsidRDefault="00556DAB">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556DAB" w14:paraId="25B3663E"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9C5D06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D8781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F83526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FC5F8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E8B2E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924161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86F755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F4C14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6A694C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FA5AE85"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224E833"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CECDC1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5C4705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C15A6F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r>
      <w:tr w:rsidR="00F7614D" w14:paraId="73A01CCB"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660C72"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F86CE5" w14:textId="554059EA"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767437" w14:textId="6FF9A01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172,339,879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5558D1"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3D26E9"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0AA271"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06B52B"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6136F2"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85B35D"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3EBB46" w14:textId="7F9508A5"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A320A7" w14:textId="3A73EC9A"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2897A9" w14:textId="5B1670A5"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4F04EF" w14:textId="3588CC6F"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7D3D29" w14:textId="1082F171"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r>
      <w:tr w:rsidR="00F7614D" w14:paraId="4F4CBB1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7D7BD9"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052772"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724AB"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D68F50" w14:textId="4D2E79E5"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1,935,089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4A5B5" w14:textId="2C47BA5D"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4,899,780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96130E" w14:textId="697BDBC6"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6,569,044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65D521" w14:textId="73792204"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7,589,090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E330B" w14:textId="6A3EA2FC"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14,066,583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E9281B" w14:textId="0AC9D225"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18,178,891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45811" w14:textId="4AD54471"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18,178,891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3703A" w14:textId="51EC81C6"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18,178,891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1511DA" w14:textId="789ED656"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18,178,891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5A952F" w14:textId="6BE5FB70"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17,447,459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1A26BB" w14:textId="24BA83C3"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16,445,332</w:t>
            </w:r>
          </w:p>
        </w:tc>
      </w:tr>
      <w:tr w:rsidR="00F7614D" w14:paraId="4E5F8B2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B2FF95"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3CBDF" w14:textId="795282C8"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B11490" w14:textId="05D1A2DC"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172,339,879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E9706" w14:textId="77781E04"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1,935,089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4C2A8" w14:textId="4EF7BC2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4,899,780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CC7C13" w14:textId="6D8D7A68"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6,569,044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C0C4F6" w14:textId="2C3909FE"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7,589,090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0E5F6" w14:textId="14EA7208"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14,066,583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92EAFB" w14:textId="112A5E86"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18,178,891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4D6625" w14:textId="39B3D66B"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29,354,623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44D72" w14:textId="79AFBB5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29,354,623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BC424" w14:textId="1EFCE391"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29,354,623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10559E" w14:textId="7C2CCB60"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28,623,191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B1859B" w14:textId="083E27C8"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27,621,064</w:t>
            </w:r>
          </w:p>
        </w:tc>
      </w:tr>
      <w:tr w:rsidR="00F7614D" w14:paraId="71574655"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69930F"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B7C04"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118FEC"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B5535"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90B17D"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5DD27"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320BB6"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F850B6"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3D18E0"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F04383"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5AAF10" w14:textId="435EA8C6"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FAD4AD" w14:textId="694CE962"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DBED9" w14:textId="588E8331"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4F680B" w14:textId="70C6BA6C"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F7614D" w14:paraId="0FA3F57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323100"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EAC3B"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724E77"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390EF7"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FFC423"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46B93"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FBFCC"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D9CF8"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1BC836"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DC970E" w14:textId="51BE466F"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9BF350" w14:textId="3AE49528"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D22E62" w14:textId="6929CFE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4A5C23" w14:textId="78E0E08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731,432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BD9256" w14:textId="7D79D74A"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1,002,127</w:t>
            </w:r>
          </w:p>
        </w:tc>
      </w:tr>
      <w:tr w:rsidR="00F7614D" w14:paraId="4D64128C"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00C9266"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59276D"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4A484F"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C4ABA8"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FFA2545"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74BD1B"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B878403"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E01A57"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85F5EBC" w14:textId="77777777"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C2380C" w14:textId="6507458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EED17FA" w14:textId="1AEE0732"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8BD8FCA" w14:textId="08E11BFD"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41F42C" w14:textId="4DED09F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731,432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413A3D" w14:textId="55C15799" w:rsidR="00F7614D" w:rsidRDefault="00F7614D" w:rsidP="00F7614D">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1,002,127</w:t>
            </w:r>
          </w:p>
        </w:tc>
      </w:tr>
    </w:tbl>
    <w:p w14:paraId="25885E42" w14:textId="77777777" w:rsidR="00AA4DAE" w:rsidRDefault="00AA4DAE">
      <w:pPr>
        <w:spacing w:before="0" w:after="0"/>
      </w:pPr>
      <w:bookmarkStart w:id="49" w:name="Table_6_2"/>
      <w:bookmarkEnd w:id="49"/>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556DAB" w14:paraId="65CB78F6"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3285D4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8F2D29"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C4327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D1F93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53A7D2"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5A1D8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C2A74D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D2396C"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F1B6B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DFBFD3F"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72F4781"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D7161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577AF0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8343C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r>
      <w:tr w:rsidR="005C596E" w14:paraId="28EAB8E8"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EC6F80"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7E5E31" w14:textId="474614D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0255D" w14:textId="666AEDD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172,339,879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D63707" w14:textId="58905CC2"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9E401" w14:textId="75439A3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CD9C0" w14:textId="75C5FAD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BA56FD" w14:textId="7236C65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A8299C" w14:textId="5455B51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11,116,874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12FB2" w14:textId="15E96C50"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10,472,707</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9F9A55" w14:textId="3CB95F18"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10,122,732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F05A1D" w14:textId="4B85374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10,016,484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BDDCF6" w14:textId="4CE24DFE"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9,993,246</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D2755A" w14:textId="6EF61FA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6,023,933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ECC913" w14:textId="104915AE"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3,448,295</w:t>
            </w:r>
          </w:p>
        </w:tc>
      </w:tr>
      <w:tr w:rsidR="005C596E" w14:paraId="7A39D710"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C453BA"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CF04B"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B5267"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4F523" w14:textId="20DFEF7E"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15,390,985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D10A4" w14:textId="1DD00470"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15,054,179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B41DA6" w14:textId="4CAC0A9A"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15,007,817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E23A60" w14:textId="792C6011"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14,038,902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E6633E" w14:textId="45299805"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13,392,752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7A30CA" w14:textId="5ED809C3"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12,873,654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AEAB8C" w14:textId="678A46E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10,927,192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F7DE93" w14:textId="40885922"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6,609,954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22502B" w14:textId="55CC5A08"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4,117,435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A663F" w14:textId="6A6E6ED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2,469,738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E18862" w14:textId="52969C64"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2,214,415</w:t>
            </w:r>
          </w:p>
        </w:tc>
      </w:tr>
      <w:tr w:rsidR="005C596E" w14:paraId="03EA298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C7B40"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10F23C" w14:textId="03DC17B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9B32D" w14:textId="3A08B708"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172,339,879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CB94D8" w14:textId="0B9197F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26,566,717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1A17F5" w14:textId="47362E4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26,229,911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15E4A5" w14:textId="266BD130"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26,183,549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F19B8E" w14:textId="19947FE8"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25,214,634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E97C1D" w14:textId="7EC05DE8"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24,509,626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4B432C" w14:textId="7C07C509"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23,346,361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CB245" w14:textId="2AB40EAB"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21,049,924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2FDF40" w14:textId="12A366E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16,626,438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948074" w14:textId="5DA3F19D"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14,110,681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10B2B0" w14:textId="3FDC6769"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8,493,671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A3EDE5" w14:textId="6957435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5,662,710</w:t>
            </w:r>
          </w:p>
        </w:tc>
      </w:tr>
      <w:tr w:rsidR="005C596E" w14:paraId="6169E7C6"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47265C"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9771DC"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F7E7FA"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B409B" w14:textId="19215C82"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3A4B88" w14:textId="3C95FF64"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707659" w14:textId="25893D78"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791B48" w14:textId="529CA954"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188905" w14:textId="587E418E"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58,858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4D8C5C" w14:textId="38DA5E03"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644,167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0E95E4" w14:textId="613313A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349,975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917F4" w14:textId="4EDE22E0"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106,248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8DA76" w14:textId="2806244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1AD25" w14:textId="3ADC47F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3,969,313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FC3AD5" w14:textId="62959B8A"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2,575,638</w:t>
            </w:r>
          </w:p>
        </w:tc>
      </w:tr>
      <w:tr w:rsidR="005C596E" w14:paraId="5E5C8E9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ED946F"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449AE"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6B6C81"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E77F7" w14:textId="75016A11"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1,054,347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BD162C" w14:textId="3E65EB4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336,806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086ED9" w14:textId="1A4B7E4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46,362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916501" w14:textId="7E3DD80E"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968,915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DCBFF7" w14:textId="1B22C349"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646,150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BD3016" w14:textId="6DDDD089"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519,098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EA8F29" w14:textId="220F0C14"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1,946,462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83098F" w14:textId="11DE61B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4,317,238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2A1EB" w14:textId="1D7473B1"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2,492,519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DA8EA9" w14:textId="33520BA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1,647,697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FBE83" w14:textId="287B9D9C"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255,323</w:t>
            </w:r>
          </w:p>
        </w:tc>
      </w:tr>
      <w:tr w:rsidR="005C596E" w14:paraId="01F86745"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D813F3"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820EDE"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B814053" w14:textId="7777777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8D9CA6" w14:textId="0344F3A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1,054,347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BF66BE" w14:textId="5343A446"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336,806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8D56A14" w14:textId="19292382"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46,362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53600E" w14:textId="7CD53945"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968,915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98A3F2" w14:textId="5F819EC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705,008</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D650DC" w14:textId="0F40EE43"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1,163,265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1E8C882" w14:textId="501EF439"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2,296,437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611319" w14:textId="6F83B9C2"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4,423,486</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92660E7" w14:textId="0BAFA050"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2,515,757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6047F2" w14:textId="511EC83F"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5,617,010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B4FA6F" w14:textId="65BFC7D7" w:rsidR="005C596E" w:rsidRDefault="005C596E" w:rsidP="005C596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2,830,961</w:t>
            </w:r>
          </w:p>
        </w:tc>
      </w:tr>
    </w:tbl>
    <w:p w14:paraId="24722403" w14:textId="77777777" w:rsidR="00AA4DAE" w:rsidRPr="00944D07" w:rsidRDefault="00AA4DAE">
      <w:pPr>
        <w:spacing w:before="0" w:after="0"/>
      </w:pPr>
      <w:bookmarkStart w:id="50" w:name="Table_6_3"/>
      <w:bookmarkEnd w:id="50"/>
    </w:p>
    <w:tbl>
      <w:tblPr>
        <w:tblW w:w="0" w:type="auto"/>
        <w:jc w:val="center"/>
        <w:tblLayout w:type="fixed"/>
        <w:tblLook w:val="0420" w:firstRow="1" w:lastRow="0" w:firstColumn="0" w:lastColumn="0" w:noHBand="0" w:noVBand="1"/>
      </w:tblPr>
      <w:tblGrid>
        <w:gridCol w:w="3672"/>
        <w:gridCol w:w="1181"/>
        <w:gridCol w:w="1181"/>
        <w:gridCol w:w="1008"/>
        <w:gridCol w:w="1008"/>
        <w:gridCol w:w="1008"/>
        <w:gridCol w:w="1008"/>
        <w:gridCol w:w="1008"/>
        <w:gridCol w:w="1008"/>
        <w:gridCol w:w="1008"/>
        <w:gridCol w:w="1008"/>
        <w:gridCol w:w="1008"/>
        <w:gridCol w:w="1008"/>
        <w:gridCol w:w="1008"/>
      </w:tblGrid>
      <w:tr w:rsidR="00556DAB" w14:paraId="4FBBC4C7" w14:textId="77777777">
        <w:trPr>
          <w:tblHeader/>
          <w:jc w:val="center"/>
        </w:trPr>
        <w:tc>
          <w:tcPr>
            <w:tcW w:w="367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9E679B"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F97F3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1181"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929D5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AB51E6"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71B3FA"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126C57"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D31C6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3F44F6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9671DD"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9B1084"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D55AB8"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B05F24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2B5DF0"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BF8E1E" w14:textId="77777777" w:rsidR="00556DAB" w:rsidRDefault="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r>
      <w:tr w:rsidR="00A13F0F" w14:paraId="37FCF419" w14:textId="77777777">
        <w:trPr>
          <w:trHeight w:hRule="exact" w:val="216"/>
          <w:jc w:val="center"/>
        </w:trPr>
        <w:tc>
          <w:tcPr>
            <w:tcW w:w="367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78E2C1"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9FF0F6" w14:textId="167D4E0F"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181"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EBE81B" w14:textId="03F883FB"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172,339,879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42C60" w14:textId="48F7C67F"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2,673,735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72D2C" w14:textId="231EF8E8"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2,673,735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ACEA12" w14:textId="044EDF8B"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2,661,162</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9C7C66" w14:textId="6CCF5194"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2,523,135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5D0FF2" w14:textId="1766E574"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32,258</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9AE46" w14:textId="201EB526"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F9AD5" w14:textId="1B2B023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43AA56" w14:textId="0D7CB6F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A4743" w14:textId="5D55B124"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BC9AA7" w14:textId="415863C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5B852" w14:textId="3863E5E2"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A13F0F" w14:paraId="641D38AC"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2D3E27"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B6693D"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F0016E"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73C29D" w14:textId="498E915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2,165,928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DB902" w14:textId="05E7C75A"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1,887,875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AF4F80" w14:textId="11A58CC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1,614,194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9D02C" w14:textId="3A4DD61D"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644,548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3E653" w14:textId="66F55821"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A7DCC9" w14:textId="394200F1"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CDF4AC" w14:textId="6E5914E5"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302275" w14:textId="54495DF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A6B047" w14:textId="2A4ECB15"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C58277" w14:textId="26CD070E"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ACD92" w14:textId="325FC4EC"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A13F0F" w14:paraId="2B3B0F9D"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40835"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8BBE69" w14:textId="1EDB6D6A"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11,175,732</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47DDD" w14:textId="438D7C04"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172,339,879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D5835" w14:textId="6F6A608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4,839,663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9DC9B1" w14:textId="090AE928"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4,561,610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F3602" w14:textId="35E2590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4,275,356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7D919" w14:textId="37CE8640"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3,167,683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B073EB" w14:textId="0BC4BF0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163,642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5BBE10" w14:textId="63ED3B9E"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72E6C" w14:textId="07A0D580"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DCD16E" w14:textId="57EBB486"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5B4DE3" w14:textId="3398B062"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C7F102" w14:textId="15A8C85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7590A7" w14:textId="28C4C59C"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A13F0F" w14:paraId="14DFA973"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D2D5AD"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5C06F2"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833520"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99E3D7" w14:textId="19FABC18"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774,560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C6996E" w14:textId="22D1BDC0"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F8E123" w14:textId="56D3B464"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12,573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E1BCD5" w14:textId="5CC7F5FF"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138,026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5E4EF" w14:textId="54E0C782"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2,490,877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C8F72" w14:textId="554061EA"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32,258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17F476" w14:textId="6D3E4FBA"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0A29DC" w14:textId="403D149C"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4B258" w14:textId="4B1CDF15"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6A9025" w14:textId="7A110A0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289B6E" w14:textId="6F968200"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A13F0F" w14:paraId="1FAAA787" w14:textId="77777777">
        <w:trPr>
          <w:trHeight w:hRule="exact" w:val="216"/>
          <w:jc w:val="center"/>
        </w:trPr>
        <w:tc>
          <w:tcPr>
            <w:tcW w:w="367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745620"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18F00E"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BE082D"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4C7DF0" w14:textId="112B25BC"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48,487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88527F" w14:textId="79ECD1FF"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278,053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D17607" w14:textId="14F7D8A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273,681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A9C49C" w14:textId="2A14AB62"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969,646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854E3" w14:textId="693EDEA2"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513,164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0D557D" w14:textId="2B1EA986"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131,384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959220" w14:textId="6A8E51AA"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1396D0" w14:textId="5570624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8D8473" w14:textId="25EA73C0"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F1647" w14:textId="4F02CA1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68E36" w14:textId="34BE058C"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A13F0F" w14:paraId="380ABD18" w14:textId="77777777">
        <w:trPr>
          <w:trHeight w:hRule="exact" w:val="216"/>
          <w:jc w:val="center"/>
        </w:trPr>
        <w:tc>
          <w:tcPr>
            <w:tcW w:w="367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E9ADD2"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BE51F1"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181"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5A5FBE" w14:textId="77777777"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D17EA05" w14:textId="667F7BB8"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823,047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798E2C" w14:textId="590C347B"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278,053</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4FE4FC" w14:textId="56B8F93A"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286,254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105777" w14:textId="11926AB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1,107,672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0F82163" w14:textId="5320B14E"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3,004,041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A258C6F" w14:textId="11E7FBF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163,642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896461" w14:textId="5E1BA149"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DCAB50" w14:textId="648B579B"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A5003E" w14:textId="1148971C"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071EBE" w14:textId="46C5DAB3"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B333F28" w14:textId="236A1358" w:rsidR="00A13F0F" w:rsidRDefault="00A13F0F" w:rsidP="00A13F0F">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CAF6C44" w14:textId="77777777" w:rsidR="00AA4DAE" w:rsidRPr="00C34E77" w:rsidRDefault="00A13F0F">
      <w:pPr>
        <w:pStyle w:val="TableFigureNote"/>
      </w:pPr>
      <w:r w:rsidRPr="00C34E77">
        <w:rPr>
          <w:rFonts w:eastAsiaTheme="minorEastAsia"/>
        </w:rPr>
        <w:t>† Lifetime savings are the sum of CPAS savings through the EUL.</w:t>
      </w:r>
    </w:p>
    <w:p w14:paraId="10D9262D" w14:textId="77777777" w:rsidR="00AA4DAE" w:rsidRPr="00C34E77" w:rsidRDefault="00A13F0F">
      <w:pPr>
        <w:pStyle w:val="TableFigureNote"/>
      </w:pPr>
      <w:r w:rsidRPr="00C34E77">
        <w:rPr>
          <w:rFonts w:eastAsiaTheme="minorEastAsia"/>
        </w:rPr>
        <w:t xml:space="preserve">‡ Historical savings go back to CY2018. </w:t>
      </w:r>
    </w:p>
    <w:p w14:paraId="759A4C09" w14:textId="77777777" w:rsidR="00AA4DAE" w:rsidRPr="00C34E77" w:rsidRDefault="00A13F0F">
      <w:pPr>
        <w:pStyle w:val="TableFigureNote"/>
      </w:pPr>
      <w:r w:rsidRPr="00C34E77">
        <w:rPr>
          <w:rFonts w:eastAsiaTheme="minorEastAsia"/>
        </w:rPr>
        <w:t>§ Incremental expiring savings are equal to CPAS Yn-1 - CPAS Yn.</w:t>
      </w:r>
    </w:p>
    <w:p w14:paraId="3B63DE3F" w14:textId="77777777" w:rsidR="00AA4DAE" w:rsidRPr="00C34E77" w:rsidRDefault="00A13F0F">
      <w:pPr>
        <w:pStyle w:val="TableFigureNote"/>
      </w:pPr>
      <w:r w:rsidRPr="00C34E77">
        <w:rPr>
          <w:rFonts w:eastAsiaTheme="minorEastAsia"/>
        </w:rPr>
        <w:t>|| Historic incremental expiring savings are equal to Historic CPAS Yn-1 – Historic CPAS Yn.</w:t>
      </w:r>
    </w:p>
    <w:p w14:paraId="0151DCCD" w14:textId="77777777" w:rsidR="00AA4DAE" w:rsidRPr="00C34E77" w:rsidRDefault="00A13F0F">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C9043A5" w14:textId="77777777" w:rsidR="00AA4DAE" w:rsidRDefault="00A13F0F">
      <w:pPr>
        <w:pStyle w:val="TableFigureSource"/>
      </w:pPr>
      <w:r>
        <w:t>Source: Evaluation team analysis</w:t>
      </w:r>
    </w:p>
    <w:p w14:paraId="0DDA0D3D" w14:textId="7755DA3A" w:rsidR="00AA4DAE" w:rsidRPr="00BB1B40" w:rsidRDefault="00AA4DAE">
      <w:pPr>
        <w:pStyle w:val="BodyText"/>
      </w:pPr>
    </w:p>
    <w:sectPr w:rsidR="00AA4DAE" w:rsidRPr="00BB1B40">
      <w:headerReference w:type="default" r:id="rId18"/>
      <w:footerReference w:type="default" r:id="rId19"/>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E9BD7" w14:textId="77777777" w:rsidR="007E2629" w:rsidRDefault="007E2629">
      <w:pPr>
        <w:spacing w:before="0" w:after="0"/>
      </w:pPr>
      <w:r>
        <w:separator/>
      </w:r>
    </w:p>
  </w:endnote>
  <w:endnote w:type="continuationSeparator" w:id="0">
    <w:p w14:paraId="7F7A4BA0" w14:textId="77777777" w:rsidR="007E2629" w:rsidRDefault="007E2629">
      <w:pPr>
        <w:spacing w:before="0" w:after="0"/>
      </w:pPr>
      <w:r>
        <w:continuationSeparator/>
      </w:r>
    </w:p>
  </w:endnote>
  <w:endnote w:type="continuationNotice" w:id="1">
    <w:p w14:paraId="48675017" w14:textId="77777777" w:rsidR="007E2629" w:rsidRDefault="007E26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000000" w:rsidRPr="00582062" w14:paraId="4CD7D91E" w14:textId="77777777">
      <w:trPr>
        <w:trHeight w:val="144"/>
        <w:jc w:val="center"/>
      </w:trPr>
      <w:tc>
        <w:tcPr>
          <w:tcW w:w="7200" w:type="dxa"/>
          <w:tcBorders>
            <w:top w:val="single" w:sz="8" w:space="0" w:color="8C8C8C"/>
            <w:left w:val="nil"/>
            <w:bottom w:val="nil"/>
          </w:tcBorders>
        </w:tcPr>
        <w:p w14:paraId="476B4562" w14:textId="77777777" w:rsidR="00AA4DAE" w:rsidRPr="00582062" w:rsidRDefault="00AA4DAE">
          <w:pPr>
            <w:pStyle w:val="Footer"/>
            <w:spacing w:before="120"/>
            <w:rPr>
              <w:sz w:val="2"/>
              <w:szCs w:val="2"/>
            </w:rPr>
          </w:pPr>
        </w:p>
      </w:tc>
      <w:tc>
        <w:tcPr>
          <w:tcW w:w="2880" w:type="dxa"/>
          <w:tcBorders>
            <w:top w:val="single" w:sz="8" w:space="0" w:color="8C8C8C"/>
          </w:tcBorders>
        </w:tcPr>
        <w:p w14:paraId="7951A946" w14:textId="77777777" w:rsidR="00AA4DAE" w:rsidRPr="00582062" w:rsidRDefault="00AA4DAE">
          <w:pPr>
            <w:pStyle w:val="Footer"/>
            <w:spacing w:before="120"/>
            <w:jc w:val="right"/>
            <w:rPr>
              <w:sz w:val="2"/>
              <w:szCs w:val="2"/>
            </w:rPr>
          </w:pPr>
        </w:p>
      </w:tc>
    </w:tr>
    <w:tr w:rsidR="00000000" w:rsidRPr="00EA2FA5" w14:paraId="401D6F03" w14:textId="77777777">
      <w:trPr>
        <w:trHeight w:val="195"/>
        <w:jc w:val="center"/>
      </w:trPr>
      <w:tc>
        <w:tcPr>
          <w:tcW w:w="7200" w:type="dxa"/>
          <w:tcBorders>
            <w:top w:val="nil"/>
            <w:left w:val="nil"/>
          </w:tcBorders>
          <w:vAlign w:val="center"/>
        </w:tcPr>
        <w:p w14:paraId="0FB122F3" w14:textId="13D0A9B5" w:rsidR="00AA4DAE" w:rsidRPr="0075421C" w:rsidRDefault="00A13F0F">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AA4DAE" w:rsidRPr="0075421C" w:rsidRDefault="00A13F0F">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AA4DAE" w:rsidRPr="000C64C5" w:rsidRDefault="00AA4DAE">
    <w:pPr>
      <w:pStyle w:val="Footer"/>
      <w:ind w:right="360"/>
      <w:rPr>
        <w:sz w:val="2"/>
        <w:szCs w:val="2"/>
      </w:rPr>
    </w:pPr>
  </w:p>
  <w:p w14:paraId="4D088BDD" w14:textId="77777777" w:rsidR="00AA4DAE" w:rsidRPr="008B6585" w:rsidRDefault="00AA4DA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000000" w:rsidRPr="00582062" w14:paraId="3D2E2342" w14:textId="77777777">
      <w:trPr>
        <w:trHeight w:val="144"/>
        <w:jc w:val="center"/>
      </w:trPr>
      <w:tc>
        <w:tcPr>
          <w:tcW w:w="7200" w:type="dxa"/>
          <w:tcBorders>
            <w:top w:val="single" w:sz="8" w:space="0" w:color="8C8C8C"/>
            <w:left w:val="nil"/>
            <w:bottom w:val="nil"/>
          </w:tcBorders>
        </w:tcPr>
        <w:p w14:paraId="2D6E4A1B" w14:textId="77777777" w:rsidR="00AA4DAE" w:rsidRPr="00582062" w:rsidRDefault="00AA4DAE">
          <w:pPr>
            <w:pStyle w:val="Footer"/>
            <w:spacing w:before="120"/>
            <w:rPr>
              <w:sz w:val="2"/>
              <w:szCs w:val="2"/>
            </w:rPr>
          </w:pPr>
        </w:p>
      </w:tc>
      <w:tc>
        <w:tcPr>
          <w:tcW w:w="2880" w:type="dxa"/>
          <w:tcBorders>
            <w:top w:val="single" w:sz="8" w:space="0" w:color="8C8C8C"/>
          </w:tcBorders>
        </w:tcPr>
        <w:p w14:paraId="7B1DB177" w14:textId="77777777" w:rsidR="00AA4DAE" w:rsidRPr="00582062" w:rsidRDefault="00AA4DAE">
          <w:pPr>
            <w:pStyle w:val="Footer"/>
            <w:spacing w:before="120"/>
            <w:jc w:val="right"/>
            <w:rPr>
              <w:sz w:val="2"/>
              <w:szCs w:val="2"/>
            </w:rPr>
          </w:pPr>
        </w:p>
      </w:tc>
    </w:tr>
    <w:tr w:rsidR="00000000" w:rsidRPr="00EA2FA5" w14:paraId="294BE5C8" w14:textId="77777777">
      <w:trPr>
        <w:trHeight w:val="195"/>
        <w:jc w:val="center"/>
      </w:trPr>
      <w:tc>
        <w:tcPr>
          <w:tcW w:w="7200" w:type="dxa"/>
          <w:tcBorders>
            <w:top w:val="nil"/>
            <w:left w:val="nil"/>
          </w:tcBorders>
          <w:vAlign w:val="center"/>
        </w:tcPr>
        <w:p w14:paraId="2E0B6CBA" w14:textId="77777777" w:rsidR="00AA4DAE" w:rsidRPr="0075421C" w:rsidRDefault="00A13F0F">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AA4DAE" w:rsidRPr="0075421C" w:rsidRDefault="00A13F0F">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AA4DAE" w:rsidRPr="000C64C5" w:rsidRDefault="00AA4DAE">
    <w:pPr>
      <w:pStyle w:val="Footer"/>
      <w:ind w:right="360"/>
      <w:rPr>
        <w:sz w:val="2"/>
        <w:szCs w:val="2"/>
      </w:rPr>
    </w:pPr>
  </w:p>
  <w:p w14:paraId="2273E87A" w14:textId="77777777" w:rsidR="00AA4DAE" w:rsidRPr="008B6585" w:rsidRDefault="00AA4D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D3DC" w14:textId="77777777" w:rsidR="007E2629" w:rsidRDefault="007E2629">
      <w:pPr>
        <w:spacing w:before="0" w:after="0"/>
      </w:pPr>
      <w:r>
        <w:separator/>
      </w:r>
    </w:p>
  </w:footnote>
  <w:footnote w:type="continuationSeparator" w:id="0">
    <w:p w14:paraId="5FA1DA6F" w14:textId="77777777" w:rsidR="007E2629" w:rsidRDefault="007E2629">
      <w:pPr>
        <w:spacing w:before="0" w:after="0"/>
      </w:pPr>
      <w:r>
        <w:continuationSeparator/>
      </w:r>
    </w:p>
  </w:footnote>
  <w:footnote w:type="continuationNotice" w:id="1">
    <w:p w14:paraId="142AF9E6" w14:textId="77777777" w:rsidR="007E2629" w:rsidRDefault="007E2629">
      <w:pPr>
        <w:spacing w:before="0" w:after="0"/>
      </w:pPr>
    </w:p>
  </w:footnote>
  <w:footnote w:id="2">
    <w:p w14:paraId="09592804" w14:textId="77777777" w:rsidR="00AA4DAE" w:rsidRDefault="00A13F0F">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3">
    <w:p w14:paraId="3C60CFC2" w14:textId="77777777" w:rsidR="00AA4DAE" w:rsidRDefault="00A13F0F">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4">
    <w:p w14:paraId="603A1357" w14:textId="77777777" w:rsidR="00AA4DAE" w:rsidRDefault="00A13F0F">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5">
    <w:p w14:paraId="2F04D097" w14:textId="77777777" w:rsidR="00AA4DAE" w:rsidRDefault="00A13F0F">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000000" w14:paraId="6B008A86" w14:textId="77777777">
      <w:trPr>
        <w:jc w:val="center"/>
      </w:trPr>
      <w:tc>
        <w:tcPr>
          <w:tcW w:w="2880" w:type="dxa"/>
          <w:vAlign w:val="center"/>
        </w:tcPr>
        <w:p w14:paraId="78DF3A04" w14:textId="77777777" w:rsidR="00AA4DAE" w:rsidRPr="006A71F6" w:rsidRDefault="00A13F0F">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78169FFE" w:rsidR="00AA4DAE" w:rsidRDefault="00A13F0F">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EE6722">
            <w:rPr>
              <w:bCs/>
              <w:noProof/>
            </w:rPr>
            <w:t>ComEd New Construction - IE Program Impact Evaluation Report</w:t>
          </w:r>
          <w:r>
            <w:rPr>
              <w:bCs/>
              <w:noProof/>
            </w:rPr>
            <w:fldChar w:fldCharType="end"/>
          </w:r>
        </w:p>
      </w:tc>
    </w:tr>
  </w:tbl>
  <w:p w14:paraId="0ECF1D7C" w14:textId="77777777" w:rsidR="00AA4DAE" w:rsidRPr="00B21048" w:rsidRDefault="00AA4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30BC" w14:textId="67781FE9" w:rsidR="00AA4DAE" w:rsidRDefault="00A13F0F">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000000" w14:paraId="4683791D" w14:textId="77777777">
      <w:trPr>
        <w:jc w:val="center"/>
      </w:trPr>
      <w:tc>
        <w:tcPr>
          <w:tcW w:w="2880" w:type="dxa"/>
          <w:vAlign w:val="center"/>
        </w:tcPr>
        <w:p w14:paraId="43443BFF" w14:textId="77777777" w:rsidR="00AA4DAE" w:rsidRPr="006A71F6" w:rsidRDefault="00A13F0F">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3028F5F2" w:rsidR="00AA4DAE" w:rsidRDefault="00A13F0F">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separate"/>
          </w:r>
          <w:r w:rsidR="00EE6722">
            <w:rPr>
              <w:bCs/>
              <w:noProof/>
            </w:rPr>
            <w:t>ComEd New Construction - IE Program Impact Evaluation Report</w:t>
          </w:r>
          <w:r>
            <w:rPr>
              <w:bCs/>
              <w:noProof/>
            </w:rPr>
            <w:fldChar w:fldCharType="end"/>
          </w:r>
        </w:p>
      </w:tc>
    </w:tr>
  </w:tbl>
  <w:p w14:paraId="3CCA1E62" w14:textId="77777777" w:rsidR="00AA4DAE" w:rsidRPr="00B21048" w:rsidRDefault="00AA4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DAB"/>
    <w:rsid w:val="00024313"/>
    <w:rsid w:val="00080465"/>
    <w:rsid w:val="000F1560"/>
    <w:rsid w:val="00124E03"/>
    <w:rsid w:val="001661EF"/>
    <w:rsid w:val="001A0E31"/>
    <w:rsid w:val="001A5673"/>
    <w:rsid w:val="001B067F"/>
    <w:rsid w:val="00213247"/>
    <w:rsid w:val="00216E5D"/>
    <w:rsid w:val="00222ED8"/>
    <w:rsid w:val="00287B73"/>
    <w:rsid w:val="00290500"/>
    <w:rsid w:val="002C1C38"/>
    <w:rsid w:val="002D4481"/>
    <w:rsid w:val="002D5957"/>
    <w:rsid w:val="00331B8C"/>
    <w:rsid w:val="0034415D"/>
    <w:rsid w:val="003A2AA8"/>
    <w:rsid w:val="003D3156"/>
    <w:rsid w:val="00406251"/>
    <w:rsid w:val="00410063"/>
    <w:rsid w:val="00455789"/>
    <w:rsid w:val="004809B2"/>
    <w:rsid w:val="004E422E"/>
    <w:rsid w:val="005034AA"/>
    <w:rsid w:val="00544519"/>
    <w:rsid w:val="00553F25"/>
    <w:rsid w:val="00556DAB"/>
    <w:rsid w:val="00592892"/>
    <w:rsid w:val="005C1074"/>
    <w:rsid w:val="005C596E"/>
    <w:rsid w:val="005C743E"/>
    <w:rsid w:val="0063294F"/>
    <w:rsid w:val="00662195"/>
    <w:rsid w:val="006E3BC1"/>
    <w:rsid w:val="00725278"/>
    <w:rsid w:val="00744CC0"/>
    <w:rsid w:val="00784DA4"/>
    <w:rsid w:val="0078678C"/>
    <w:rsid w:val="007B73E0"/>
    <w:rsid w:val="007C1C7E"/>
    <w:rsid w:val="007E2629"/>
    <w:rsid w:val="008319F9"/>
    <w:rsid w:val="008522A2"/>
    <w:rsid w:val="00853607"/>
    <w:rsid w:val="00867426"/>
    <w:rsid w:val="00880D1F"/>
    <w:rsid w:val="008B50D9"/>
    <w:rsid w:val="008D21CE"/>
    <w:rsid w:val="00932222"/>
    <w:rsid w:val="00943AF4"/>
    <w:rsid w:val="00947A0A"/>
    <w:rsid w:val="00961579"/>
    <w:rsid w:val="009B3408"/>
    <w:rsid w:val="009F0728"/>
    <w:rsid w:val="009F0DE1"/>
    <w:rsid w:val="00A13F0F"/>
    <w:rsid w:val="00A37321"/>
    <w:rsid w:val="00A42E5D"/>
    <w:rsid w:val="00A91E64"/>
    <w:rsid w:val="00AA4DAE"/>
    <w:rsid w:val="00AB7F1B"/>
    <w:rsid w:val="00AE22E7"/>
    <w:rsid w:val="00B06D76"/>
    <w:rsid w:val="00B20446"/>
    <w:rsid w:val="00B41BAD"/>
    <w:rsid w:val="00B64B08"/>
    <w:rsid w:val="00BB6D53"/>
    <w:rsid w:val="00BC04ED"/>
    <w:rsid w:val="00BC670D"/>
    <w:rsid w:val="00BD79DE"/>
    <w:rsid w:val="00BE55E1"/>
    <w:rsid w:val="00C15C09"/>
    <w:rsid w:val="00C23FF4"/>
    <w:rsid w:val="00C410C6"/>
    <w:rsid w:val="00C63D63"/>
    <w:rsid w:val="00D2661E"/>
    <w:rsid w:val="00D31800"/>
    <w:rsid w:val="00DA42C3"/>
    <w:rsid w:val="00DB6E60"/>
    <w:rsid w:val="00DC5BE8"/>
    <w:rsid w:val="00DC6C16"/>
    <w:rsid w:val="00E70325"/>
    <w:rsid w:val="00E91C76"/>
    <w:rsid w:val="00EA01E4"/>
    <w:rsid w:val="00EC4E4D"/>
    <w:rsid w:val="00EE6722"/>
    <w:rsid w:val="00F029FE"/>
    <w:rsid w:val="00F07797"/>
    <w:rsid w:val="00F66CAB"/>
    <w:rsid w:val="00F74E61"/>
    <w:rsid w:val="00F75EBB"/>
    <w:rsid w:val="00F7614D"/>
    <w:rsid w:val="00F9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9752"/>
  <w15:docId w15:val="{F6A6202D-4E0C-48EB-B08B-2776D2EF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DejaVu Sans" w:hAnsi="DejaVu Sans"/>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f.erickson@guidehou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maglione@guidehouse.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9A8C783D-98F4-4858-AE6C-FA3F1875B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4.xml><?xml version="1.0" encoding="utf-8"?>
<ds:datastoreItem xmlns:ds="http://schemas.openxmlformats.org/officeDocument/2006/customXml" ds:itemID="{59BA77A4-96FF-4F37-8832-3FE05EB9C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2958</Words>
  <Characters>16862</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Guidehouse Inc. White Paper Template (one inch margin)-v2 (no slug).dotm</vt:lpstr>
    </vt:vector>
  </TitlesOfParts>
  <Company/>
  <LinksUpToDate>false</LinksUpToDate>
  <CharactersWithSpaces>19781</CharactersWithSpaces>
  <SharedDoc>false</SharedDoc>
  <HLinks>
    <vt:vector size="72" baseType="variant">
      <vt:variant>
        <vt:i4>1048634</vt:i4>
      </vt:variant>
      <vt:variant>
        <vt:i4>68</vt:i4>
      </vt:variant>
      <vt:variant>
        <vt:i4>0</vt:i4>
      </vt:variant>
      <vt:variant>
        <vt:i4>5</vt:i4>
      </vt:variant>
      <vt:variant>
        <vt:lpwstr/>
      </vt:variant>
      <vt:variant>
        <vt:lpwstr>_Toc187399550</vt:lpwstr>
      </vt:variant>
      <vt:variant>
        <vt:i4>1114170</vt:i4>
      </vt:variant>
      <vt:variant>
        <vt:i4>62</vt:i4>
      </vt:variant>
      <vt:variant>
        <vt:i4>0</vt:i4>
      </vt:variant>
      <vt:variant>
        <vt:i4>5</vt:i4>
      </vt:variant>
      <vt:variant>
        <vt:lpwstr/>
      </vt:variant>
      <vt:variant>
        <vt:lpwstr>_Toc187399549</vt:lpwstr>
      </vt:variant>
      <vt:variant>
        <vt:i4>1114170</vt:i4>
      </vt:variant>
      <vt:variant>
        <vt:i4>56</vt:i4>
      </vt:variant>
      <vt:variant>
        <vt:i4>0</vt:i4>
      </vt:variant>
      <vt:variant>
        <vt:i4>5</vt:i4>
      </vt:variant>
      <vt:variant>
        <vt:lpwstr/>
      </vt:variant>
      <vt:variant>
        <vt:lpwstr>_Toc187399548</vt:lpwstr>
      </vt:variant>
      <vt:variant>
        <vt:i4>1114170</vt:i4>
      </vt:variant>
      <vt:variant>
        <vt:i4>50</vt:i4>
      </vt:variant>
      <vt:variant>
        <vt:i4>0</vt:i4>
      </vt:variant>
      <vt:variant>
        <vt:i4>5</vt:i4>
      </vt:variant>
      <vt:variant>
        <vt:lpwstr/>
      </vt:variant>
      <vt:variant>
        <vt:lpwstr>_Toc187399547</vt:lpwstr>
      </vt:variant>
      <vt:variant>
        <vt:i4>1114170</vt:i4>
      </vt:variant>
      <vt:variant>
        <vt:i4>44</vt:i4>
      </vt:variant>
      <vt:variant>
        <vt:i4>0</vt:i4>
      </vt:variant>
      <vt:variant>
        <vt:i4>5</vt:i4>
      </vt:variant>
      <vt:variant>
        <vt:lpwstr/>
      </vt:variant>
      <vt:variant>
        <vt:lpwstr>_Toc187399546</vt:lpwstr>
      </vt:variant>
      <vt:variant>
        <vt:i4>1114170</vt:i4>
      </vt:variant>
      <vt:variant>
        <vt:i4>38</vt:i4>
      </vt:variant>
      <vt:variant>
        <vt:i4>0</vt:i4>
      </vt:variant>
      <vt:variant>
        <vt:i4>5</vt:i4>
      </vt:variant>
      <vt:variant>
        <vt:lpwstr/>
      </vt:variant>
      <vt:variant>
        <vt:lpwstr>_Toc187399545</vt:lpwstr>
      </vt:variant>
      <vt:variant>
        <vt:i4>1114170</vt:i4>
      </vt:variant>
      <vt:variant>
        <vt:i4>29</vt:i4>
      </vt:variant>
      <vt:variant>
        <vt:i4>0</vt:i4>
      </vt:variant>
      <vt:variant>
        <vt:i4>5</vt:i4>
      </vt:variant>
      <vt:variant>
        <vt:lpwstr/>
      </vt:variant>
      <vt:variant>
        <vt:lpwstr>_Toc187399544</vt:lpwstr>
      </vt:variant>
      <vt:variant>
        <vt:i4>1114170</vt:i4>
      </vt:variant>
      <vt:variant>
        <vt:i4>20</vt:i4>
      </vt:variant>
      <vt:variant>
        <vt:i4>0</vt:i4>
      </vt:variant>
      <vt:variant>
        <vt:i4>5</vt:i4>
      </vt:variant>
      <vt:variant>
        <vt:lpwstr/>
      </vt:variant>
      <vt:variant>
        <vt:lpwstr>_Toc187399543</vt:lpwstr>
      </vt:variant>
      <vt:variant>
        <vt:i4>1114170</vt:i4>
      </vt:variant>
      <vt:variant>
        <vt:i4>14</vt:i4>
      </vt:variant>
      <vt:variant>
        <vt:i4>0</vt:i4>
      </vt:variant>
      <vt:variant>
        <vt:i4>5</vt:i4>
      </vt:variant>
      <vt:variant>
        <vt:lpwstr/>
      </vt:variant>
      <vt:variant>
        <vt:lpwstr>_Toc187399542</vt:lpwstr>
      </vt:variant>
      <vt:variant>
        <vt:i4>1114170</vt:i4>
      </vt:variant>
      <vt:variant>
        <vt:i4>8</vt:i4>
      </vt:variant>
      <vt:variant>
        <vt:i4>0</vt:i4>
      </vt:variant>
      <vt:variant>
        <vt:i4>5</vt:i4>
      </vt:variant>
      <vt:variant>
        <vt:lpwstr/>
      </vt:variant>
      <vt:variant>
        <vt:lpwstr>_Toc187399541</vt:lpwstr>
      </vt:variant>
      <vt:variant>
        <vt:i4>7995403</vt:i4>
      </vt:variant>
      <vt:variant>
        <vt:i4>3</vt:i4>
      </vt:variant>
      <vt:variant>
        <vt:i4>0</vt:i4>
      </vt:variant>
      <vt:variant>
        <vt:i4>5</vt:i4>
      </vt:variant>
      <vt:variant>
        <vt:lpwstr>mailto:jeff.erickson@guidehouse.com</vt:lpwstr>
      </vt:variant>
      <vt:variant>
        <vt:lpwstr/>
      </vt:variant>
      <vt:variant>
        <vt:i4>3145741</vt:i4>
      </vt:variant>
      <vt:variant>
        <vt:i4>0</vt:i4>
      </vt:variant>
      <vt:variant>
        <vt:i4>0</vt:i4>
      </vt:variant>
      <vt:variant>
        <vt:i4>5</vt:i4>
      </vt:variant>
      <vt:variant>
        <vt:lpwstr>mailto:cmaglione@guidehouse.com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Ryan Kroll (CWR)</cp:lastModifiedBy>
  <cp:revision>74</cp:revision>
  <dcterms:created xsi:type="dcterms:W3CDTF">2025-02-21T21:35:00Z</dcterms:created>
  <dcterms:modified xsi:type="dcterms:W3CDTF">2025-02-28T03:07:00Z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