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7375C6" w:rsidRDefault="007375C6" w14:paraId="525820CB" w14:textId="77777777">
      <w:bookmarkStart w:name="_Hlk192544123" w:id="0"/>
    </w:p>
    <w:tbl>
      <w:tblPr>
        <w:tblW w:w="5000" w:type="pct"/>
        <w:jc w:val="center"/>
        <w:tblLayout w:type="fixed"/>
        <w:tblLook w:val="01E0" w:firstRow="1" w:lastRow="1" w:firstColumn="1" w:lastColumn="1" w:noHBand="0" w:noVBand="0"/>
      </w:tblPr>
      <w:tblGrid>
        <w:gridCol w:w="2214"/>
        <w:gridCol w:w="4948"/>
        <w:gridCol w:w="2198"/>
      </w:tblGrid>
      <w:tr w:rsidRPr="00FD0661" w:rsidR="00000000" w14:paraId="4E68E66C" w14:textId="77777777">
        <w:trPr>
          <w:trHeight w:val="1152"/>
          <w:jc w:val="center"/>
        </w:trPr>
        <w:tc>
          <w:tcPr>
            <w:tcW w:w="10224" w:type="dxa"/>
            <w:gridSpan w:val="3"/>
            <w:vAlign w:val="center"/>
          </w:tcPr>
          <w:p w:rsidRPr="00FD0661" w:rsidR="007375C6" w:rsidRDefault="007375C6" w14:paraId="21E0F6CD" w14:textId="77777777">
            <w:pPr>
              <w:pStyle w:val="Title"/>
              <w:rPr>
                <w:rFonts w:cs="Arial"/>
                <w:bCs/>
              </w:rPr>
            </w:pPr>
          </w:p>
        </w:tc>
      </w:tr>
      <w:tr w:rsidRPr="00FD0661" w:rsidR="00000000" w14:paraId="079D0B83" w14:textId="77777777">
        <w:trPr>
          <w:trHeight w:val="2114"/>
          <w:jc w:val="center"/>
        </w:trPr>
        <w:tc>
          <w:tcPr>
            <w:tcW w:w="10224" w:type="dxa"/>
            <w:gridSpan w:val="3"/>
            <w:vAlign w:val="center"/>
          </w:tcPr>
          <w:p w:rsidRPr="00FD0661" w:rsidR="007375C6" w:rsidRDefault="00B278E9" w14:paraId="44E72CA0" w14:textId="23D0E7E4">
            <w:pPr>
              <w:pStyle w:val="Title"/>
              <w:rPr>
                <w:rFonts w:cs="Arial"/>
                <w:b w:val="0"/>
                <w:bCs/>
              </w:rPr>
            </w:pPr>
            <w:r w:rsidRPr="00FD0661">
              <w:rPr>
                <w:rFonts w:cs="Arial"/>
                <w:bCs/>
              </w:rPr>
              <w:t xml:space="preserve">ComEd </w:t>
            </w:r>
            <w:bookmarkStart w:name="Title_Program_Name" w:id="1"/>
            <w:r w:rsidRPr="003B3336">
              <w:rPr>
                <w:rFonts w:cs="Arial"/>
                <w:bCs/>
              </w:rPr>
              <w:t>Multifamily Upgrades</w:t>
            </w:r>
            <w:bookmarkEnd w:id="1"/>
            <w:r w:rsidRPr="00FD0661">
              <w:rPr>
                <w:rFonts w:cs="Arial"/>
                <w:bCs/>
              </w:rPr>
              <w:t xml:space="preserve"> Program Impact Evaluation Report</w:t>
            </w:r>
          </w:p>
          <w:p w:rsidRPr="00FD0661" w:rsidR="007375C6" w:rsidRDefault="00B278E9" w14:paraId="73A7CE2A" w14:textId="320C9C13">
            <w:pPr>
              <w:pStyle w:val="Subtitle"/>
              <w:rPr>
                <w:rFonts w:cs="Arial"/>
                <w:b w:val="0"/>
                <w:bCs/>
              </w:rPr>
            </w:pPr>
            <w:r w:rsidRPr="00F12253">
              <w:rPr>
                <w:rFonts w:cs="Arial"/>
              </w:rPr>
              <w:t xml:space="preserve">Energy Efficiency/Demand Response Plan: </w:t>
            </w:r>
            <w:r w:rsidRPr="00F12253">
              <w:rPr>
                <w:rFonts w:cs="Arial"/>
              </w:rPr>
              <w:br/>
            </w:r>
            <w:r w:rsidRPr="00F12253">
              <w:rPr>
                <w:rFonts w:cs="Arial"/>
              </w:rPr>
              <w:t xml:space="preserve">Program Year 2024 (CY2024) </w:t>
            </w:r>
            <w:r w:rsidRPr="00F12253">
              <w:rPr>
                <w:rFonts w:cs="Arial"/>
              </w:rPr>
              <w:br/>
            </w:r>
            <w:r w:rsidRPr="00F12253">
              <w:rPr>
                <w:rFonts w:cs="Arial"/>
              </w:rPr>
              <w:t>(1/1/2024-12/31/2024)</w:t>
            </w:r>
          </w:p>
        </w:tc>
      </w:tr>
      <w:tr w:rsidRPr="00FD0661" w:rsidR="00000000" w14:paraId="31B5C567" w14:textId="77777777">
        <w:trPr>
          <w:trHeight w:val="2263"/>
          <w:jc w:val="center"/>
        </w:trPr>
        <w:tc>
          <w:tcPr>
            <w:tcW w:w="10224" w:type="dxa"/>
            <w:gridSpan w:val="3"/>
          </w:tcPr>
          <w:p w:rsidRPr="00FD0661" w:rsidR="007375C6" w:rsidRDefault="00B278E9" w14:paraId="2ECF4395" w14:textId="663F0CCF">
            <w:pPr>
              <w:pStyle w:val="Preparedfor"/>
              <w:spacing w:before="0" w:after="240"/>
              <w:rPr>
                <w:rFonts w:cs="Arial"/>
              </w:rPr>
            </w:pPr>
            <w:r w:rsidRPr="00FD0661">
              <w:rPr>
                <w:rFonts w:cs="Arial"/>
              </w:rPr>
              <w:t>Prepared for:</w:t>
            </w:r>
          </w:p>
          <w:p w:rsidRPr="00FD0661" w:rsidR="007375C6" w:rsidRDefault="00B278E9" w14:paraId="60607E4C" w14:textId="77777777">
            <w:pPr>
              <w:pStyle w:val="Preparedfor"/>
              <w:rPr>
                <w:rFonts w:cs="Arial"/>
              </w:rPr>
            </w:pPr>
            <w:r w:rsidRPr="00FD0661">
              <w:rPr>
                <w:rFonts w:cs="Arial"/>
              </w:rPr>
              <w:t>ComEd</w:t>
            </w:r>
          </w:p>
          <w:p w:rsidRPr="00FD0661" w:rsidR="007375C6" w:rsidRDefault="00B278E9" w14:paraId="70DA1B46" w14:textId="77777777">
            <w:pPr>
              <w:pStyle w:val="CoverClientName"/>
              <w:spacing w:after="0"/>
              <w:rPr>
                <w:rFonts w:cs="Arial"/>
                <w:sz w:val="48"/>
                <w:szCs w:val="48"/>
              </w:rPr>
            </w:pPr>
            <w:r w:rsidRPr="00FD0661">
              <w:rPr>
                <w:rFonts w:cs="Arial"/>
                <w:sz w:val="48"/>
                <w:szCs w:val="48"/>
              </w:rPr>
              <w:t>DRAFT</w:t>
            </w:r>
          </w:p>
          <w:p w:rsidRPr="00FD0661" w:rsidR="007375C6" w:rsidRDefault="007375C6" w14:paraId="7A553B52" w14:textId="77777777">
            <w:pPr>
              <w:pStyle w:val="CoverClientName"/>
              <w:spacing w:after="0"/>
              <w:rPr>
                <w:rFonts w:cs="Arial"/>
              </w:rPr>
            </w:pPr>
          </w:p>
          <w:p w:rsidRPr="00FD0661" w:rsidR="007375C6" w:rsidRDefault="00AE5E18" w14:paraId="32D1B266" w14:textId="0840D424">
            <w:pPr>
              <w:pStyle w:val="CoverClientName"/>
              <w:spacing w:after="0"/>
              <w:rPr>
                <w:rFonts w:cs="Arial"/>
              </w:rPr>
            </w:pPr>
            <w:r>
              <w:rPr>
                <w:rFonts w:cs="Arial"/>
              </w:rPr>
              <w:t>March 1</w:t>
            </w:r>
            <w:r w:rsidR="003B36D7">
              <w:rPr>
                <w:rFonts w:cs="Arial"/>
              </w:rPr>
              <w:t>2</w:t>
            </w:r>
            <w:r w:rsidRPr="00FD0661">
              <w:rPr>
                <w:rFonts w:cs="Arial"/>
              </w:rPr>
              <w:t xml:space="preserve">, </w:t>
            </w:r>
            <w:r>
              <w:rPr>
                <w:rFonts w:cs="Arial"/>
              </w:rPr>
              <w:t>202</w:t>
            </w:r>
            <w:r w:rsidR="006321D7">
              <w:rPr>
                <w:rFonts w:cs="Arial"/>
              </w:rPr>
              <w:t>5</w:t>
            </w:r>
          </w:p>
        </w:tc>
      </w:tr>
      <w:tr w:rsidRPr="00FD0661" w:rsidR="00000000" w14:paraId="4B7C97C1" w14:textId="77777777">
        <w:trPr>
          <w:trHeight w:val="419"/>
          <w:jc w:val="center"/>
        </w:trPr>
        <w:tc>
          <w:tcPr>
            <w:tcW w:w="7830" w:type="dxa"/>
            <w:gridSpan w:val="2"/>
          </w:tcPr>
          <w:p w:rsidRPr="00FD0661" w:rsidR="007375C6" w:rsidRDefault="007375C6" w14:paraId="2562CBCC" w14:textId="77777777">
            <w:pPr>
              <w:rPr>
                <w:rStyle w:val="CoverText"/>
                <w:rFonts w:cs="Arial"/>
              </w:rPr>
            </w:pPr>
          </w:p>
          <w:p w:rsidRPr="00FD0661" w:rsidR="007375C6" w:rsidRDefault="00B278E9" w14:paraId="5A31209B" w14:textId="6138A3E8">
            <w:pPr>
              <w:rPr>
                <w:rStyle w:val="CoverText"/>
                <w:rFonts w:cs="Arial"/>
              </w:rPr>
            </w:pPr>
            <w:r w:rsidRPr="00FD0661">
              <w:rPr>
                <w:rStyle w:val="CoverText"/>
                <w:rFonts w:cs="Arial"/>
              </w:rPr>
              <w:t xml:space="preserve">Prepared by: </w:t>
            </w:r>
          </w:p>
        </w:tc>
        <w:tc>
          <w:tcPr>
            <w:tcW w:w="2394" w:type="dxa"/>
          </w:tcPr>
          <w:p w:rsidRPr="00FD0661" w:rsidR="007375C6" w:rsidRDefault="007375C6" w14:paraId="29BCCFCC" w14:textId="77777777">
            <w:pPr>
              <w:rPr>
                <w:rStyle w:val="CoverText"/>
                <w:rFonts w:cs="Arial"/>
              </w:rPr>
            </w:pPr>
          </w:p>
        </w:tc>
      </w:tr>
      <w:tr w:rsidRPr="00FD0661" w:rsidR="00000000" w14:paraId="5C9AEF26" w14:textId="77777777">
        <w:trPr>
          <w:trHeight w:val="1296"/>
          <w:jc w:val="center"/>
        </w:trPr>
        <w:tc>
          <w:tcPr>
            <w:tcW w:w="2411" w:type="dxa"/>
            <w:vAlign w:val="center"/>
          </w:tcPr>
          <w:p w:rsidRPr="00C84E9D" w:rsidR="007375C6" w:rsidP="00EB6A46" w:rsidRDefault="00AE5E18" w14:paraId="6C27E7B7" w14:textId="5067CFF3">
            <w:pPr>
              <w:spacing w:before="0" w:after="0"/>
              <w:rPr>
                <w:rFonts w:ascii="Arial" w:hAnsi="Arial" w:cs="Arial"/>
                <w:noProof/>
              </w:rPr>
            </w:pPr>
            <w:r>
              <w:rPr>
                <w:rFonts w:ascii="Arial" w:hAnsi="Arial" w:cs="Arial"/>
                <w:noProof/>
              </w:rPr>
              <w:t>Brian Barry</w:t>
            </w:r>
          </w:p>
          <w:p w:rsidRPr="00FD0661" w:rsidR="007375C6" w:rsidP="00EB6A46" w:rsidRDefault="00AE5E18" w14:paraId="17EC0B2A" w14:textId="76D36E89">
            <w:pPr>
              <w:spacing w:before="0" w:after="0"/>
              <w:rPr>
                <w:rFonts w:ascii="Arial" w:hAnsi="Arial" w:cs="Arial"/>
                <w:bCs/>
              </w:rPr>
            </w:pPr>
            <w:r>
              <w:rPr>
                <w:rFonts w:ascii="Arial" w:hAnsi="Arial" w:cs="Arial"/>
                <w:noProof/>
              </w:rPr>
              <w:t>Guidehouse</w:t>
            </w:r>
          </w:p>
        </w:tc>
        <w:tc>
          <w:tcPr>
            <w:tcW w:w="5419" w:type="dxa"/>
            <w:vAlign w:val="center"/>
          </w:tcPr>
          <w:p w:rsidR="00EB6A46" w:rsidP="00EB6A46" w:rsidRDefault="00EB6A46" w14:paraId="54436D54" w14:textId="77777777">
            <w:pPr>
              <w:spacing w:before="0" w:after="0"/>
              <w:rPr>
                <w:rFonts w:ascii="Arial" w:hAnsi="Arial" w:cs="Arial"/>
                <w:noProof/>
              </w:rPr>
            </w:pPr>
          </w:p>
          <w:p w:rsidR="00AE5E18" w:rsidP="00EB6A46" w:rsidRDefault="00AE5E18" w14:paraId="27F798B7" w14:textId="12AA68F6">
            <w:pPr>
              <w:spacing w:before="0" w:after="0"/>
              <w:rPr>
                <w:rFonts w:ascii="Arial" w:hAnsi="Arial" w:cs="Arial"/>
                <w:noProof/>
              </w:rPr>
            </w:pPr>
            <w:r>
              <w:rPr>
                <w:rFonts w:ascii="Arial" w:hAnsi="Arial" w:cs="Arial"/>
                <w:noProof/>
              </w:rPr>
              <w:t xml:space="preserve">Kyle Mckenna           </w:t>
            </w:r>
            <w:r w:rsidR="00EB6A46">
              <w:rPr>
                <w:rFonts w:ascii="Arial" w:hAnsi="Arial" w:cs="Arial"/>
                <w:noProof/>
              </w:rPr>
              <w:t xml:space="preserve"> </w:t>
            </w:r>
            <w:r>
              <w:rPr>
                <w:rFonts w:ascii="Arial" w:hAnsi="Arial" w:cs="Arial"/>
                <w:noProof/>
              </w:rPr>
              <w:t>Jessica Raker</w:t>
            </w:r>
          </w:p>
          <w:p w:rsidRPr="00C84E9D" w:rsidR="00AE5E18" w:rsidP="00EB6A46" w:rsidRDefault="00AE5E18" w14:paraId="22434BB9" w14:textId="114E94D4">
            <w:pPr>
              <w:spacing w:before="0" w:after="0"/>
              <w:rPr>
                <w:rFonts w:ascii="Arial" w:hAnsi="Arial" w:cs="Arial"/>
                <w:noProof/>
              </w:rPr>
            </w:pPr>
            <w:r>
              <w:rPr>
                <w:rFonts w:ascii="Arial" w:hAnsi="Arial" w:cs="Arial"/>
                <w:noProof/>
              </w:rPr>
              <w:t>Mike Frischmann       Zac Hathaway</w:t>
            </w:r>
          </w:p>
          <w:p w:rsidRPr="00FD0661" w:rsidR="007375C6" w:rsidP="00EB6A46" w:rsidRDefault="00AE5E18" w14:paraId="089514AA" w14:textId="4E96B604">
            <w:pPr>
              <w:spacing w:before="0" w:after="0"/>
              <w:rPr>
                <w:rStyle w:val="CoverText"/>
                <w:rFonts w:cs="Arial"/>
                <w:bCs/>
              </w:rPr>
            </w:pPr>
            <w:r>
              <w:rPr>
                <w:rFonts w:ascii="Arial" w:hAnsi="Arial" w:cs="Arial"/>
                <w:noProof/>
              </w:rPr>
              <w:t>Ecometric                  Opinion Dynamics</w:t>
            </w:r>
          </w:p>
        </w:tc>
        <w:tc>
          <w:tcPr>
            <w:tcW w:w="2394" w:type="dxa"/>
          </w:tcPr>
          <w:p w:rsidRPr="00FD0661" w:rsidR="007375C6" w:rsidRDefault="007375C6" w14:paraId="5A4678F3" w14:textId="77777777">
            <w:pPr>
              <w:pStyle w:val="PresentedBy"/>
              <w:spacing w:after="120"/>
              <w:rPr>
                <w:rStyle w:val="CoverText"/>
                <w:rFonts w:cs="Arial"/>
                <w:bCs/>
                <w:iCs/>
              </w:rPr>
            </w:pPr>
          </w:p>
        </w:tc>
      </w:tr>
      <w:tr w:rsidRPr="00FD0661" w:rsidR="00000000" w14:paraId="62532FF8" w14:textId="77777777">
        <w:trPr>
          <w:trHeight w:val="900"/>
          <w:jc w:val="center"/>
        </w:trPr>
        <w:tc>
          <w:tcPr>
            <w:tcW w:w="2411" w:type="dxa"/>
            <w:vAlign w:val="center"/>
          </w:tcPr>
          <w:p w:rsidRPr="00FD0661" w:rsidR="007375C6" w:rsidRDefault="00B278E9" w14:paraId="15D4E541" w14:textId="6DF6B0B3">
            <w:pPr>
              <w:pStyle w:val="PresentedBy"/>
              <w:jc w:val="center"/>
              <w:rPr>
                <w:rFonts w:cs="Arial"/>
                <w:bCs/>
                <w:color w:val="auto"/>
              </w:rPr>
            </w:pPr>
            <w:r w:rsidRPr="00FD0661">
              <w:rPr>
                <w:rFonts w:cs="Arial"/>
                <w:noProof/>
              </w:rPr>
              <w:drawing>
                <wp:inline distT="0" distB="0" distL="0" distR="0" wp14:anchorId="2BE5B1B3" wp14:editId="25DEDE72">
                  <wp:extent cx="914400" cy="914400"/>
                  <wp:effectExtent l="0" t="0" r="0" b="0"/>
                  <wp:docPr id="1" name="Picture 16935340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5419" w:type="dxa"/>
            <w:vAlign w:val="center"/>
          </w:tcPr>
          <w:p w:rsidRPr="00FD0661" w:rsidR="007375C6" w:rsidRDefault="00B278E9" w14:paraId="236BAD08" w14:textId="5C82F4A3">
            <w:pPr>
              <w:jc w:val="center"/>
              <w:rPr>
                <w:rStyle w:val="CoverText"/>
                <w:rFonts w:cs="Arial"/>
                <w:bCs/>
              </w:rPr>
            </w:pPr>
            <w:r w:rsidRPr="00FD0661">
              <w:rPr>
                <w:rFonts w:ascii="Arial" w:hAnsi="Arial" w:cs="Arial"/>
                <w:noProof/>
              </w:rPr>
              <w:drawing>
                <wp:inline distT="0" distB="0" distL="0" distR="0" wp14:anchorId="26F009C7" wp14:editId="61B3D4BC">
                  <wp:extent cx="1252479" cy="241885"/>
                  <wp:effectExtent l="0" t="0" r="5080" b="635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2479" cy="241885"/>
                          </a:xfrm>
                          <a:prstGeom prst="rect">
                            <a:avLst/>
                          </a:prstGeom>
                        </pic:spPr>
                      </pic:pic>
                    </a:graphicData>
                  </a:graphic>
                </wp:inline>
              </w:drawing>
            </w:r>
          </w:p>
        </w:tc>
        <w:tc>
          <w:tcPr>
            <w:tcW w:w="2394" w:type="dxa"/>
            <w:vAlign w:val="center"/>
          </w:tcPr>
          <w:p w:rsidRPr="00FD0661" w:rsidR="007375C6" w:rsidRDefault="00B278E9" w14:paraId="74D9CB25" w14:textId="329060A4">
            <w:pPr>
              <w:pStyle w:val="PresentedBy"/>
              <w:jc w:val="center"/>
              <w:rPr>
                <w:rStyle w:val="CoverText"/>
                <w:rFonts w:cs="Arial"/>
                <w:bCs/>
                <w:iCs/>
              </w:rPr>
            </w:pPr>
            <w:r w:rsidRPr="00FD0661">
              <w:rPr>
                <w:rFonts w:cs="Arial"/>
                <w:noProof/>
              </w:rPr>
              <w:drawing>
                <wp:inline distT="0" distB="0" distL="0" distR="0" wp14:anchorId="67D84626" wp14:editId="58C548BC">
                  <wp:extent cx="806601" cy="646751"/>
                  <wp:effectExtent l="0" t="0" r="0" b="1270"/>
                  <wp:docPr id="5" name="Picture 12" descr="EcoMe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6601" cy="646751"/>
                          </a:xfrm>
                          <a:prstGeom prst="rect">
                            <a:avLst/>
                          </a:prstGeom>
                        </pic:spPr>
                      </pic:pic>
                    </a:graphicData>
                  </a:graphic>
                </wp:inline>
              </w:drawing>
            </w:r>
          </w:p>
        </w:tc>
      </w:tr>
      <w:tr w:rsidRPr="00FD0661" w:rsidR="00000000" w14:paraId="482BF8E9" w14:textId="77777777">
        <w:trPr>
          <w:trHeight w:val="900"/>
          <w:jc w:val="center"/>
        </w:trPr>
        <w:tc>
          <w:tcPr>
            <w:tcW w:w="2411" w:type="dxa"/>
            <w:vAlign w:val="center"/>
          </w:tcPr>
          <w:p w:rsidRPr="00FD0661" w:rsidR="007375C6" w:rsidRDefault="00B278E9" w14:paraId="08FE96E6" w14:textId="0C3F1484">
            <w:pPr>
              <w:pStyle w:val="PresentedBy"/>
              <w:jc w:val="center"/>
              <w:rPr>
                <w:rFonts w:cs="Arial"/>
                <w:bCs/>
                <w:color w:val="auto"/>
              </w:rPr>
            </w:pPr>
            <w:r w:rsidRPr="00FD0661">
              <w:rPr>
                <w:rFonts w:cs="Arial"/>
                <w:noProof/>
              </w:rPr>
              <w:drawing>
                <wp:inline distT="0" distB="0" distL="0" distR="0" wp14:anchorId="6B02CD23" wp14:editId="46BCEC62">
                  <wp:extent cx="1320800" cy="438785"/>
                  <wp:effectExtent l="0" t="0" r="0" b="0"/>
                  <wp:docPr id="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0800" cy="438785"/>
                          </a:xfrm>
                          <a:prstGeom prst="rect">
                            <a:avLst/>
                          </a:prstGeom>
                          <a:noFill/>
                          <a:ln>
                            <a:noFill/>
                          </a:ln>
                        </pic:spPr>
                      </pic:pic>
                    </a:graphicData>
                  </a:graphic>
                </wp:inline>
              </w:drawing>
            </w:r>
          </w:p>
        </w:tc>
        <w:tc>
          <w:tcPr>
            <w:tcW w:w="5419" w:type="dxa"/>
            <w:vAlign w:val="center"/>
          </w:tcPr>
          <w:p w:rsidRPr="00FD0661" w:rsidR="007375C6" w:rsidRDefault="007375C6" w14:paraId="29EFB638" w14:textId="77777777">
            <w:pPr>
              <w:jc w:val="center"/>
              <w:rPr>
                <w:rStyle w:val="CoverText"/>
                <w:rFonts w:cs="Arial"/>
                <w:bCs/>
              </w:rPr>
            </w:pPr>
          </w:p>
        </w:tc>
        <w:tc>
          <w:tcPr>
            <w:tcW w:w="2394" w:type="dxa"/>
            <w:vAlign w:val="center"/>
          </w:tcPr>
          <w:p w:rsidRPr="00FD0661" w:rsidR="007375C6" w:rsidRDefault="00B278E9" w14:paraId="6C2E52D0" w14:textId="5F09C28F">
            <w:pPr>
              <w:pStyle w:val="PresentedBy"/>
              <w:jc w:val="center"/>
              <w:rPr>
                <w:rStyle w:val="CoverText"/>
                <w:rFonts w:cs="Arial"/>
                <w:bCs/>
                <w:iCs/>
              </w:rPr>
            </w:pPr>
            <w:r w:rsidRPr="00FD0661">
              <w:rPr>
                <w:rFonts w:cs="Arial"/>
                <w:noProof/>
              </w:rPr>
              <w:drawing>
                <wp:inline distT="0" distB="0" distL="0" distR="0" wp14:anchorId="1479D306" wp14:editId="20A15650">
                  <wp:extent cx="1152525" cy="536961"/>
                  <wp:effectExtent l="0" t="0" r="0" b="0"/>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52525" cy="536961"/>
                          </a:xfrm>
                          <a:prstGeom prst="rect">
                            <a:avLst/>
                          </a:prstGeom>
                        </pic:spPr>
                      </pic:pic>
                    </a:graphicData>
                  </a:graphic>
                </wp:inline>
              </w:drawing>
            </w:r>
          </w:p>
        </w:tc>
      </w:tr>
    </w:tbl>
    <w:p w:rsidR="007375C6" w:rsidRDefault="007375C6" w14:paraId="6F570DAA" w14:textId="3050FDAC"/>
    <w:p w:rsidRPr="00EB6A46" w:rsidR="007375C6" w:rsidP="00EB6A46" w:rsidRDefault="00B278E9" w14:paraId="66BB0E90" w14:textId="61820235">
      <w:pPr>
        <w:suppressAutoHyphens w:val="0"/>
        <w:spacing w:before="0" w:after="0"/>
      </w:pPr>
      <w:r>
        <w:br w:type="page"/>
      </w:r>
    </w:p>
    <w:p w:rsidRPr="006C7A52" w:rsidR="007375C6" w:rsidRDefault="00B278E9" w14:paraId="34B22307" w14:textId="77777777">
      <w:pPr>
        <w:spacing w:before="0" w:after="0"/>
        <w:rPr>
          <w:rFonts w:ascii="Arial" w:hAnsi="Arial" w:cs="Arial"/>
          <w:b/>
          <w:bCs/>
        </w:rPr>
      </w:pPr>
      <w:r w:rsidRPr="006C7A52">
        <w:rPr>
          <w:rFonts w:ascii="Arial" w:hAnsi="Arial" w:cs="Arial"/>
          <w:b/>
          <w:bCs/>
        </w:rPr>
        <w:t>Submitted to:</w:t>
      </w:r>
    </w:p>
    <w:p w:rsidRPr="006C7A52" w:rsidR="007375C6" w:rsidRDefault="00B278E9" w14:paraId="30F68748" w14:textId="77777777">
      <w:pPr>
        <w:spacing w:before="0" w:after="0"/>
        <w:rPr>
          <w:rFonts w:ascii="Arial" w:hAnsi="Arial" w:cs="Arial"/>
        </w:rPr>
      </w:pPr>
      <w:r w:rsidRPr="006C7A52">
        <w:rPr>
          <w:rFonts w:ascii="Arial" w:hAnsi="Arial" w:cs="Arial"/>
        </w:rPr>
        <w:t>ComEd</w:t>
      </w:r>
    </w:p>
    <w:p w:rsidRPr="006C7A52" w:rsidR="007375C6" w:rsidRDefault="00B278E9" w14:paraId="7CB0906C" w14:textId="77777777">
      <w:pPr>
        <w:spacing w:before="0" w:after="0"/>
        <w:rPr>
          <w:rFonts w:ascii="Arial" w:hAnsi="Arial" w:cs="Arial"/>
        </w:rPr>
      </w:pPr>
      <w:r w:rsidRPr="006C7A52">
        <w:rPr>
          <w:rFonts w:ascii="Arial" w:hAnsi="Arial" w:cs="Arial"/>
        </w:rPr>
        <w:t>2011 Swift Drive</w:t>
      </w:r>
    </w:p>
    <w:p w:rsidRPr="006C7A52" w:rsidR="007375C6" w:rsidRDefault="00B278E9" w14:paraId="1CA17313" w14:textId="77777777">
      <w:pPr>
        <w:spacing w:before="0" w:after="0"/>
        <w:rPr>
          <w:rFonts w:ascii="Arial" w:hAnsi="Arial" w:cs="Arial"/>
        </w:rPr>
      </w:pPr>
      <w:r w:rsidRPr="006C7A52">
        <w:rPr>
          <w:rFonts w:ascii="Arial" w:hAnsi="Arial" w:cs="Arial"/>
        </w:rPr>
        <w:t>Oak Brook, IL 60523</w:t>
      </w:r>
    </w:p>
    <w:p w:rsidRPr="006C7A52" w:rsidR="007375C6" w:rsidRDefault="007375C6" w14:paraId="3CEACB98" w14:textId="77777777">
      <w:pPr>
        <w:spacing w:before="0" w:after="0"/>
        <w:rPr>
          <w:rFonts w:ascii="Arial" w:hAnsi="Arial" w:cs="Arial"/>
        </w:rPr>
      </w:pPr>
    </w:p>
    <w:p w:rsidRPr="006C7A52" w:rsidR="007375C6" w:rsidRDefault="00B278E9" w14:paraId="16915B44" w14:textId="77777777">
      <w:pPr>
        <w:spacing w:before="0" w:after="0"/>
        <w:rPr>
          <w:rFonts w:ascii="Arial" w:hAnsi="Arial" w:cs="Arial"/>
          <w:b/>
          <w:bCs/>
        </w:rPr>
      </w:pPr>
      <w:r w:rsidRPr="006C7A52">
        <w:rPr>
          <w:rFonts w:ascii="Arial" w:hAnsi="Arial" w:cs="Arial"/>
          <w:b/>
          <w:bCs/>
        </w:rPr>
        <w:t>Submitted by:</w:t>
      </w:r>
    </w:p>
    <w:p w:rsidRPr="006C7A52" w:rsidR="007375C6" w:rsidRDefault="00B278E9" w14:paraId="6166F965" w14:textId="77777777">
      <w:pPr>
        <w:spacing w:before="0" w:after="0"/>
        <w:rPr>
          <w:rFonts w:ascii="Arial" w:hAnsi="Arial" w:cs="Arial"/>
        </w:rPr>
      </w:pPr>
      <w:r w:rsidRPr="006C7A52">
        <w:rPr>
          <w:rFonts w:ascii="Arial" w:hAnsi="Arial" w:cs="Arial"/>
        </w:rPr>
        <w:t>Guidehouse Inc.</w:t>
      </w:r>
    </w:p>
    <w:p w:rsidRPr="006C7A52" w:rsidR="007375C6" w:rsidRDefault="00B278E9" w14:paraId="467A92A6" w14:textId="77777777">
      <w:pPr>
        <w:spacing w:before="0" w:after="0"/>
        <w:rPr>
          <w:rFonts w:ascii="Arial" w:hAnsi="Arial" w:cs="Arial"/>
        </w:rPr>
      </w:pPr>
      <w:r w:rsidRPr="006C7A52">
        <w:rPr>
          <w:rFonts w:ascii="Arial" w:hAnsi="Arial" w:cs="Arial"/>
        </w:rPr>
        <w:t>150 N. Riverside Plaza, Suite 2100</w:t>
      </w:r>
    </w:p>
    <w:p w:rsidRPr="006C7A52" w:rsidR="007375C6" w:rsidRDefault="00B278E9" w14:paraId="6758C6EA" w14:textId="77777777">
      <w:pPr>
        <w:spacing w:before="0" w:after="0"/>
        <w:rPr>
          <w:rFonts w:ascii="Arial" w:hAnsi="Arial" w:cs="Arial"/>
        </w:rPr>
      </w:pPr>
      <w:r w:rsidRPr="006C7A52">
        <w:rPr>
          <w:rFonts w:ascii="Arial" w:hAnsi="Arial" w:cs="Arial"/>
        </w:rPr>
        <w:t>Chicago, IL 60606</w:t>
      </w:r>
    </w:p>
    <w:p w:rsidRPr="006C7A52" w:rsidR="007375C6" w:rsidRDefault="007375C6" w14:paraId="53D3EC54" w14:textId="77777777">
      <w:pPr>
        <w:spacing w:before="0" w:after="0"/>
        <w:rPr>
          <w:rFonts w:ascii="Arial" w:hAnsi="Arial" w:cs="Arial"/>
        </w:rPr>
      </w:pPr>
    </w:p>
    <w:p w:rsidRPr="006C7A52" w:rsidR="007375C6" w:rsidRDefault="007375C6" w14:paraId="041E2CE2" w14:textId="77777777">
      <w:pPr>
        <w:spacing w:before="0" w:after="0"/>
        <w:rPr>
          <w:rFonts w:ascii="Arial" w:hAnsi="Arial" w:cs="Arial"/>
        </w:rPr>
      </w:pPr>
    </w:p>
    <w:p w:rsidRPr="006C7A52" w:rsidR="007375C6" w:rsidRDefault="00B278E9" w14:paraId="14AC8FD4" w14:textId="77777777">
      <w:pPr>
        <w:spacing w:before="0" w:after="0"/>
        <w:rPr>
          <w:rFonts w:ascii="Arial" w:hAnsi="Arial" w:cs="Arial"/>
        </w:rPr>
      </w:pPr>
      <w:r w:rsidRPr="006C7A52">
        <w:rPr>
          <w:rFonts w:ascii="Arial" w:hAnsi="Arial" w:cs="Arial"/>
          <w:b/>
        </w:rPr>
        <w:t>Contact:</w:t>
      </w:r>
    </w:p>
    <w:p w:rsidRPr="006C7A52" w:rsidR="007375C6" w:rsidRDefault="007375C6" w14:paraId="3B16748F" w14:textId="77777777">
      <w:pPr>
        <w:pStyle w:val="Contactinfo"/>
        <w:rPr>
          <w:rFonts w:cs="Arial"/>
          <w:sz w:val="24"/>
          <w:szCs w:val="24"/>
        </w:rPr>
      </w:pPr>
    </w:p>
    <w:tbl>
      <w:tblPr>
        <w:tblW w:w="10421" w:type="dxa"/>
        <w:tblInd w:w="-90" w:type="dxa"/>
        <w:tblLayout w:type="fixed"/>
        <w:tblLook w:val="00A0" w:firstRow="1" w:lastRow="0" w:firstColumn="1" w:lastColumn="0" w:noHBand="0" w:noVBand="0"/>
      </w:tblPr>
      <w:tblGrid>
        <w:gridCol w:w="3382"/>
        <w:gridCol w:w="3657"/>
        <w:gridCol w:w="3382"/>
      </w:tblGrid>
      <w:tr w:rsidRPr="00601FE0" w:rsidR="00000000" w:rsidTr="00A42EA9" w14:paraId="235085F4" w14:textId="77777777">
        <w:trPr>
          <w:trHeight w:val="1032"/>
        </w:trPr>
        <w:tc>
          <w:tcPr>
            <w:tcW w:w="3382" w:type="dxa"/>
          </w:tcPr>
          <w:p w:rsidRPr="00601FE0" w:rsidR="007375C6" w:rsidRDefault="00B278E9" w14:paraId="678262CB" w14:textId="77777777">
            <w:pPr>
              <w:spacing w:before="0" w:after="0"/>
              <w:rPr>
                <w:rFonts w:ascii="Arial" w:hAnsi="Arial" w:cs="Arial"/>
                <w:sz w:val="21"/>
                <w:szCs w:val="21"/>
              </w:rPr>
            </w:pPr>
            <w:r w:rsidRPr="00601FE0">
              <w:rPr>
                <w:rFonts w:ascii="Arial" w:hAnsi="Arial" w:eastAsia="Arial" w:cs="Arial"/>
                <w:sz w:val="21"/>
                <w:szCs w:val="21"/>
              </w:rPr>
              <w:t>Charles Maglione, Partner</w:t>
            </w:r>
          </w:p>
          <w:p w:rsidRPr="00601FE0" w:rsidR="007375C6" w:rsidRDefault="00B278E9" w14:paraId="10150594" w14:textId="77777777">
            <w:pPr>
              <w:spacing w:before="0" w:after="0"/>
              <w:rPr>
                <w:rFonts w:ascii="Arial" w:hAnsi="Arial" w:cs="Arial"/>
                <w:sz w:val="21"/>
                <w:szCs w:val="21"/>
              </w:rPr>
            </w:pPr>
            <w:r w:rsidRPr="00601FE0">
              <w:rPr>
                <w:rFonts w:ascii="Arial" w:hAnsi="Arial" w:eastAsia="Arial" w:cs="Arial"/>
                <w:sz w:val="21"/>
                <w:szCs w:val="21"/>
              </w:rPr>
              <w:t>703.431.1983</w:t>
            </w:r>
          </w:p>
          <w:p w:rsidRPr="00601FE0" w:rsidR="007375C6" w:rsidRDefault="00B278E9" w14:paraId="03A78E38" w14:textId="260E5891">
            <w:pPr>
              <w:spacing w:before="0" w:after="0"/>
              <w:rPr>
                <w:rFonts w:cs="Arial"/>
                <w:sz w:val="21"/>
                <w:szCs w:val="21"/>
              </w:rPr>
            </w:pPr>
            <w:hyperlink r:id="rId16">
              <w:r w:rsidRPr="00601FE0">
                <w:rPr>
                  <w:rFonts w:ascii="Arial" w:hAnsi="Arial" w:cs="Arial"/>
                  <w:b/>
                  <w:sz w:val="21"/>
                  <w:szCs w:val="21"/>
                  <w:u w:val="single" w:color="93D500" w:themeColor="accent1"/>
                </w:rPr>
                <w:t>cmaglione@guidehouse.com</w:t>
              </w:r>
            </w:hyperlink>
          </w:p>
        </w:tc>
        <w:tc>
          <w:tcPr>
            <w:tcW w:w="3657" w:type="dxa"/>
          </w:tcPr>
          <w:p w:rsidRPr="00601FE0" w:rsidR="007375C6" w:rsidRDefault="00B278E9" w14:paraId="4E07A055" w14:textId="77777777">
            <w:pPr>
              <w:spacing w:before="0" w:after="0"/>
              <w:rPr>
                <w:rFonts w:ascii="Arial" w:hAnsi="Arial" w:cs="Arial"/>
                <w:sz w:val="21"/>
                <w:szCs w:val="21"/>
              </w:rPr>
            </w:pPr>
            <w:r w:rsidRPr="00601FE0">
              <w:rPr>
                <w:rFonts w:ascii="Arial" w:hAnsi="Arial" w:cs="Arial"/>
                <w:sz w:val="21"/>
                <w:szCs w:val="21"/>
              </w:rPr>
              <w:t>Jeff Erickson, Director</w:t>
            </w:r>
          </w:p>
          <w:p w:rsidRPr="00601FE0" w:rsidR="007375C6" w:rsidRDefault="00B278E9" w14:paraId="159EBA3E" w14:textId="77777777">
            <w:pPr>
              <w:spacing w:before="0" w:after="0"/>
              <w:rPr>
                <w:rFonts w:ascii="Arial" w:hAnsi="Arial" w:cs="Arial"/>
                <w:sz w:val="21"/>
                <w:szCs w:val="21"/>
              </w:rPr>
            </w:pPr>
            <w:r w:rsidRPr="00601FE0">
              <w:rPr>
                <w:rFonts w:ascii="Arial" w:hAnsi="Arial" w:cs="Arial"/>
                <w:sz w:val="21"/>
                <w:szCs w:val="21"/>
              </w:rPr>
              <w:t>608.616.4962</w:t>
            </w:r>
          </w:p>
          <w:p w:rsidRPr="00601FE0" w:rsidR="007375C6" w:rsidRDefault="00B278E9" w14:paraId="055B9C71" w14:textId="27646AED">
            <w:pPr>
              <w:spacing w:before="0" w:after="0"/>
              <w:rPr>
                <w:rFonts w:ascii="Arial" w:hAnsi="Arial" w:cs="Arial"/>
                <w:sz w:val="21"/>
                <w:szCs w:val="21"/>
                <w:u w:color="93D500" w:themeColor="accent1"/>
              </w:rPr>
            </w:pPr>
            <w:hyperlink w:history="1" r:id="rId17">
              <w:r w:rsidRPr="00601FE0">
                <w:rPr>
                  <w:rFonts w:ascii="Arial" w:hAnsi="Arial" w:cs="Arial"/>
                  <w:b/>
                  <w:sz w:val="21"/>
                  <w:szCs w:val="21"/>
                  <w:u w:val="single" w:color="93D500" w:themeColor="accent1"/>
                </w:rPr>
                <w:t>jeff.erickson@guidehouse.com</w:t>
              </w:r>
            </w:hyperlink>
          </w:p>
        </w:tc>
        <w:tc>
          <w:tcPr>
            <w:tcW w:w="3382" w:type="dxa"/>
          </w:tcPr>
          <w:p w:rsidRPr="00A42EA9" w:rsidR="007375C6" w:rsidRDefault="00EB6A46" w14:paraId="268D4C35" w14:textId="31CF98C4">
            <w:pPr>
              <w:spacing w:before="0" w:after="0"/>
              <w:rPr>
                <w:rFonts w:ascii="Arial" w:hAnsi="Arial" w:cs="Arial"/>
                <w:sz w:val="21"/>
                <w:szCs w:val="21"/>
              </w:rPr>
            </w:pPr>
            <w:r w:rsidRPr="00A42EA9">
              <w:rPr>
                <w:rFonts w:ascii="Arial" w:hAnsi="Arial" w:cs="Arial"/>
                <w:sz w:val="21"/>
                <w:szCs w:val="21"/>
              </w:rPr>
              <w:t>Natasha Herring, Managing Consultant 303.600.3934</w:t>
            </w:r>
          </w:p>
          <w:p w:rsidRPr="00A42EA9" w:rsidR="007375C6" w:rsidRDefault="00B278E9" w14:paraId="4CF30D42" w14:textId="36455248">
            <w:pPr>
              <w:spacing w:before="0" w:after="0"/>
              <w:rPr>
                <w:rFonts w:ascii="Arial" w:hAnsi="Arial" w:cs="Arial"/>
                <w:sz w:val="21"/>
                <w:szCs w:val="21"/>
                <w:u w:color="93D500" w:themeColor="accent1"/>
              </w:rPr>
            </w:pPr>
            <w:hyperlink w:history="1" r:id="rId18">
              <w:r w:rsidRPr="00A42EA9" w:rsidR="00A42EA9">
                <w:rPr>
                  <w:rStyle w:val="Hyperlink"/>
                  <w:rFonts w:ascii="Arial" w:hAnsi="Arial" w:cs="Arial"/>
                  <w:b/>
                  <w:bCs/>
                  <w:color w:val="auto"/>
                  <w:sz w:val="21"/>
                  <w:szCs w:val="21"/>
                  <w:u w:color="93D500" w:themeColor="accent1"/>
                </w:rPr>
                <w:t>naherring@guidehouse.com</w:t>
              </w:r>
            </w:hyperlink>
          </w:p>
        </w:tc>
      </w:tr>
    </w:tbl>
    <w:p w:rsidRPr="00CE32C9" w:rsidR="007375C6" w:rsidRDefault="007375C6" w14:paraId="632FA779" w14:textId="77777777">
      <w:pPr>
        <w:pStyle w:val="Contactinfo"/>
        <w:rPr>
          <w:rFonts w:cs="Arial"/>
          <w:sz w:val="20"/>
        </w:rPr>
      </w:pPr>
    </w:p>
    <w:p w:rsidRPr="00CE32C9" w:rsidR="007375C6" w:rsidRDefault="00B278E9" w14:paraId="3638B1E3" w14:textId="77777777">
      <w:pPr>
        <w:rPr>
          <w:rFonts w:ascii="Arial" w:hAnsi="Arial" w:cs="Arial"/>
          <w:sz w:val="20"/>
          <w:szCs w:val="20"/>
        </w:rPr>
      </w:pPr>
      <w:r w:rsidRPr="00CE32C9">
        <w:rPr>
          <w:rFonts w:ascii="Arial" w:hAnsi="Arial" w:cs="Arial"/>
          <w:sz w:val="20"/>
          <w:szCs w:val="20"/>
        </w:rPr>
        <w:t>This report was prepared by Guidehouse for ComEd. The work presented in this report represents Guidehouse’s professional judgment based on the information available at the time this report was prepared. Use of this report by any other party for whatever purpose should not, and does not, absolve such party from using due diligence in verifying the report’s contents. Neither Guidehouse nor any of its subsidiaries or affiliates assumes any liability or duty of care to such parties, and hereby disclaims any suc</w:t>
      </w:r>
      <w:r w:rsidRPr="00CE32C9">
        <w:rPr>
          <w:rFonts w:ascii="Arial" w:hAnsi="Arial" w:cs="Arial"/>
          <w:sz w:val="20"/>
          <w:szCs w:val="20"/>
        </w:rPr>
        <w:t>h liability.</w:t>
      </w:r>
    </w:p>
    <w:p w:rsidRPr="00CE32C9" w:rsidR="007375C6" w:rsidRDefault="007375C6" w14:paraId="79D0AD9A" w14:textId="5CDDF08D">
      <w:pPr>
        <w:rPr>
          <w:rFonts w:ascii="Arial" w:hAnsi="Arial" w:cs="Arial"/>
          <w:sz w:val="20"/>
          <w:szCs w:val="20"/>
        </w:rPr>
      </w:pPr>
    </w:p>
    <w:p w:rsidR="007375C6" w:rsidRDefault="007375C6" w14:paraId="6A1C0B66" w14:textId="77777777">
      <w:pPr>
        <w:suppressAutoHyphens w:val="0"/>
        <w:spacing w:before="0" w:after="0"/>
      </w:pPr>
    </w:p>
    <w:p w:rsidR="007375C6" w:rsidRDefault="007375C6" w14:paraId="79139DA4" w14:textId="77777777">
      <w:pPr>
        <w:suppressAutoHyphens w:val="0"/>
        <w:spacing w:before="0" w:after="0"/>
        <w:rPr>
          <w:rFonts w:ascii="Arial" w:hAnsi="Arial" w:eastAsia="Calibri"/>
          <w:b/>
          <w:i/>
          <w:sz w:val="44"/>
          <w:szCs w:val="22"/>
        </w:rPr>
        <w:sectPr w:rsidR="007375C6">
          <w:headerReference w:type="default" r:id="rId19"/>
          <w:footerReference w:type="default" r:id="rId20"/>
          <w:headerReference w:type="first" r:id="rId21"/>
          <w:pgSz w:w="12240" w:h="15840" w:orient="portrait" w:code="1"/>
          <w:pgMar w:top="1440" w:right="1440" w:bottom="1440" w:left="1440" w:header="720" w:footer="720" w:gutter="0"/>
          <w:pgNumType w:fmt="lowerRoman" w:start="1"/>
          <w:cols w:space="720"/>
          <w:titlePg/>
          <w:docGrid w:linePitch="360"/>
        </w:sectPr>
      </w:pPr>
      <w:bookmarkStart w:name="_Toc181693455" w:id="2"/>
      <w:bookmarkStart w:name="_Toc181693476" w:id="3"/>
    </w:p>
    <w:p w:rsidR="007375C6" w:rsidP="00A42EA9" w:rsidRDefault="00B278E9" w14:paraId="55A0D937" w14:textId="4B645703">
      <w:pPr>
        <w:pStyle w:val="TOCHeading"/>
      </w:pPr>
      <w:r>
        <w:t>Table of Contents</w:t>
      </w:r>
      <w:bookmarkEnd w:id="2"/>
      <w:bookmarkEnd w:id="3"/>
    </w:p>
    <w:p w:rsidR="002B1DAC" w:rsidRDefault="00B278E9" w14:paraId="111C0228" w14:textId="575D1787">
      <w:pPr>
        <w:pStyle w:val="TOC1"/>
        <w:rPr>
          <w:rFonts w:asciiTheme="minorHAnsi" w:hAnsiTheme="minorHAnsi" w:eastAsiaTheme="minorEastAsia" w:cstheme="minorBidi"/>
          <w:b w:val="0"/>
          <w:noProof/>
          <w:kern w:val="2"/>
          <w14:ligatures w14:val="standardContextual"/>
        </w:rPr>
      </w:pPr>
      <w:r>
        <w:fldChar w:fldCharType="begin"/>
      </w:r>
      <w:r>
        <w:instrText xml:space="preserve"> TOC \o "2-3" \h \z \t "Heading 1,1" </w:instrText>
      </w:r>
      <w:r>
        <w:fldChar w:fldCharType="separate"/>
      </w:r>
      <w:hyperlink w:history="1" w:anchor="_Toc192582249">
        <w:r w:rsidRPr="00A30D20" w:rsidR="002B1DAC">
          <w:rPr>
            <w:rStyle w:val="Hyperlink"/>
            <w:noProof/>
          </w:rPr>
          <w:t>Introduction</w:t>
        </w:r>
        <w:r w:rsidR="002B1DAC">
          <w:rPr>
            <w:noProof/>
            <w:webHidden/>
          </w:rPr>
          <w:tab/>
        </w:r>
        <w:r w:rsidR="002B1DAC">
          <w:rPr>
            <w:noProof/>
            <w:webHidden/>
          </w:rPr>
          <w:fldChar w:fldCharType="begin"/>
        </w:r>
        <w:r w:rsidR="002B1DAC">
          <w:rPr>
            <w:noProof/>
            <w:webHidden/>
          </w:rPr>
          <w:instrText xml:space="preserve"> PAGEREF _Toc192582249 \h </w:instrText>
        </w:r>
        <w:r w:rsidR="002B1DAC">
          <w:rPr>
            <w:noProof/>
            <w:webHidden/>
          </w:rPr>
        </w:r>
        <w:r w:rsidR="002B1DAC">
          <w:rPr>
            <w:noProof/>
            <w:webHidden/>
          </w:rPr>
          <w:fldChar w:fldCharType="separate"/>
        </w:r>
        <w:r w:rsidR="002B1DAC">
          <w:rPr>
            <w:noProof/>
            <w:webHidden/>
          </w:rPr>
          <w:t>1</w:t>
        </w:r>
        <w:r w:rsidR="002B1DAC">
          <w:rPr>
            <w:noProof/>
            <w:webHidden/>
          </w:rPr>
          <w:fldChar w:fldCharType="end"/>
        </w:r>
      </w:hyperlink>
    </w:p>
    <w:p w:rsidR="002B1DAC" w:rsidRDefault="00B278E9" w14:paraId="7A8B6676" w14:textId="617035F4">
      <w:pPr>
        <w:pStyle w:val="TOC1"/>
        <w:rPr>
          <w:rFonts w:asciiTheme="minorHAnsi" w:hAnsiTheme="minorHAnsi" w:eastAsiaTheme="minorEastAsia" w:cstheme="minorBidi"/>
          <w:b w:val="0"/>
          <w:noProof/>
          <w:kern w:val="2"/>
          <w14:ligatures w14:val="standardContextual"/>
        </w:rPr>
      </w:pPr>
      <w:hyperlink w:history="1" w:anchor="_Toc192582250">
        <w:r w:rsidRPr="00A30D20" w:rsidR="002B1DAC">
          <w:rPr>
            <w:rStyle w:val="Hyperlink"/>
            <w:noProof/>
          </w:rPr>
          <w:t>Multifamily Upgrades Program</w:t>
        </w:r>
        <w:r w:rsidR="002B1DAC">
          <w:rPr>
            <w:noProof/>
            <w:webHidden/>
          </w:rPr>
          <w:tab/>
        </w:r>
        <w:r w:rsidR="002B1DAC">
          <w:rPr>
            <w:noProof/>
            <w:webHidden/>
          </w:rPr>
          <w:fldChar w:fldCharType="begin"/>
        </w:r>
        <w:r w:rsidR="002B1DAC">
          <w:rPr>
            <w:noProof/>
            <w:webHidden/>
          </w:rPr>
          <w:instrText xml:space="preserve"> PAGEREF _Toc192582250 \h </w:instrText>
        </w:r>
        <w:r w:rsidR="002B1DAC">
          <w:rPr>
            <w:noProof/>
            <w:webHidden/>
          </w:rPr>
        </w:r>
        <w:r w:rsidR="002B1DAC">
          <w:rPr>
            <w:noProof/>
            <w:webHidden/>
          </w:rPr>
          <w:fldChar w:fldCharType="separate"/>
        </w:r>
        <w:r w:rsidR="002B1DAC">
          <w:rPr>
            <w:noProof/>
            <w:webHidden/>
          </w:rPr>
          <w:t>1</w:t>
        </w:r>
        <w:r w:rsidR="002B1DAC">
          <w:rPr>
            <w:noProof/>
            <w:webHidden/>
          </w:rPr>
          <w:fldChar w:fldCharType="end"/>
        </w:r>
      </w:hyperlink>
    </w:p>
    <w:p w:rsidR="002B1DAC" w:rsidRDefault="00B278E9" w14:paraId="50E6A3F8" w14:textId="14622387">
      <w:pPr>
        <w:pStyle w:val="TOC2"/>
        <w:rPr>
          <w:rFonts w:asciiTheme="minorHAnsi" w:hAnsiTheme="minorHAnsi" w:eastAsiaTheme="minorEastAsia" w:cstheme="minorBidi"/>
          <w:noProof/>
          <w:kern w:val="2"/>
          <w14:ligatures w14:val="standardContextual"/>
        </w:rPr>
      </w:pPr>
      <w:hyperlink w:history="1" w:anchor="_Toc192582251">
        <w:r w:rsidRPr="00A30D20" w:rsidR="002B1DAC">
          <w:rPr>
            <w:rStyle w:val="Hyperlink"/>
            <w:noProof/>
          </w:rPr>
          <w:t>Introduction</w:t>
        </w:r>
        <w:r w:rsidR="002B1DAC">
          <w:rPr>
            <w:noProof/>
            <w:webHidden/>
          </w:rPr>
          <w:tab/>
        </w:r>
        <w:r w:rsidR="002B1DAC">
          <w:rPr>
            <w:noProof/>
            <w:webHidden/>
          </w:rPr>
          <w:fldChar w:fldCharType="begin"/>
        </w:r>
        <w:r w:rsidR="002B1DAC">
          <w:rPr>
            <w:noProof/>
            <w:webHidden/>
          </w:rPr>
          <w:instrText xml:space="preserve"> PAGEREF _Toc192582251 \h </w:instrText>
        </w:r>
        <w:r w:rsidR="002B1DAC">
          <w:rPr>
            <w:noProof/>
            <w:webHidden/>
          </w:rPr>
        </w:r>
        <w:r w:rsidR="002B1DAC">
          <w:rPr>
            <w:noProof/>
            <w:webHidden/>
          </w:rPr>
          <w:fldChar w:fldCharType="separate"/>
        </w:r>
        <w:r w:rsidR="002B1DAC">
          <w:rPr>
            <w:noProof/>
            <w:webHidden/>
          </w:rPr>
          <w:t>1</w:t>
        </w:r>
        <w:r w:rsidR="002B1DAC">
          <w:rPr>
            <w:noProof/>
            <w:webHidden/>
          </w:rPr>
          <w:fldChar w:fldCharType="end"/>
        </w:r>
      </w:hyperlink>
    </w:p>
    <w:p w:rsidR="002B1DAC" w:rsidRDefault="00B278E9" w14:paraId="3B2D3889" w14:textId="475612A7">
      <w:pPr>
        <w:pStyle w:val="TOC2"/>
        <w:rPr>
          <w:rFonts w:asciiTheme="minorHAnsi" w:hAnsiTheme="minorHAnsi" w:eastAsiaTheme="minorEastAsia" w:cstheme="minorBidi"/>
          <w:noProof/>
          <w:kern w:val="2"/>
          <w14:ligatures w14:val="standardContextual"/>
        </w:rPr>
      </w:pPr>
      <w:hyperlink w:history="1" w:anchor="_Toc192582252">
        <w:r w:rsidRPr="00A30D20" w:rsidR="002B1DAC">
          <w:rPr>
            <w:rStyle w:val="Hyperlink"/>
            <w:noProof/>
          </w:rPr>
          <w:t>Program Savings Detail</w:t>
        </w:r>
        <w:r w:rsidR="002B1DAC">
          <w:rPr>
            <w:noProof/>
            <w:webHidden/>
          </w:rPr>
          <w:tab/>
        </w:r>
        <w:r w:rsidR="002B1DAC">
          <w:rPr>
            <w:noProof/>
            <w:webHidden/>
          </w:rPr>
          <w:fldChar w:fldCharType="begin"/>
        </w:r>
        <w:r w:rsidR="002B1DAC">
          <w:rPr>
            <w:noProof/>
            <w:webHidden/>
          </w:rPr>
          <w:instrText xml:space="preserve"> PAGEREF _Toc192582252 \h </w:instrText>
        </w:r>
        <w:r w:rsidR="002B1DAC">
          <w:rPr>
            <w:noProof/>
            <w:webHidden/>
          </w:rPr>
        </w:r>
        <w:r w:rsidR="002B1DAC">
          <w:rPr>
            <w:noProof/>
            <w:webHidden/>
          </w:rPr>
          <w:fldChar w:fldCharType="separate"/>
        </w:r>
        <w:r w:rsidR="002B1DAC">
          <w:rPr>
            <w:noProof/>
            <w:webHidden/>
          </w:rPr>
          <w:t>1</w:t>
        </w:r>
        <w:r w:rsidR="002B1DAC">
          <w:rPr>
            <w:noProof/>
            <w:webHidden/>
          </w:rPr>
          <w:fldChar w:fldCharType="end"/>
        </w:r>
      </w:hyperlink>
    </w:p>
    <w:p w:rsidR="002B1DAC" w:rsidRDefault="00B278E9" w14:paraId="50DEB8A2" w14:textId="7D5CC082">
      <w:pPr>
        <w:pStyle w:val="TOC2"/>
        <w:rPr>
          <w:rFonts w:asciiTheme="minorHAnsi" w:hAnsiTheme="minorHAnsi" w:eastAsiaTheme="minorEastAsia" w:cstheme="minorBidi"/>
          <w:noProof/>
          <w:kern w:val="2"/>
          <w14:ligatures w14:val="standardContextual"/>
        </w:rPr>
      </w:pPr>
      <w:hyperlink w:history="1" w:anchor="_Toc192582253">
        <w:r w:rsidRPr="00A30D20" w:rsidR="002B1DAC">
          <w:rPr>
            <w:rStyle w:val="Hyperlink"/>
            <w:noProof/>
          </w:rPr>
          <w:t>Cumulative Persisting Annual Savings</w:t>
        </w:r>
        <w:r w:rsidR="002B1DAC">
          <w:rPr>
            <w:noProof/>
            <w:webHidden/>
          </w:rPr>
          <w:tab/>
        </w:r>
        <w:r w:rsidR="002B1DAC">
          <w:rPr>
            <w:noProof/>
            <w:webHidden/>
          </w:rPr>
          <w:fldChar w:fldCharType="begin"/>
        </w:r>
        <w:r w:rsidR="002B1DAC">
          <w:rPr>
            <w:noProof/>
            <w:webHidden/>
          </w:rPr>
          <w:instrText xml:space="preserve"> PAGEREF _Toc192582253 \h </w:instrText>
        </w:r>
        <w:r w:rsidR="002B1DAC">
          <w:rPr>
            <w:noProof/>
            <w:webHidden/>
          </w:rPr>
        </w:r>
        <w:r w:rsidR="002B1DAC">
          <w:rPr>
            <w:noProof/>
            <w:webHidden/>
          </w:rPr>
          <w:fldChar w:fldCharType="separate"/>
        </w:r>
        <w:r w:rsidR="002B1DAC">
          <w:rPr>
            <w:noProof/>
            <w:webHidden/>
          </w:rPr>
          <w:t>5</w:t>
        </w:r>
        <w:r w:rsidR="002B1DAC">
          <w:rPr>
            <w:noProof/>
            <w:webHidden/>
          </w:rPr>
          <w:fldChar w:fldCharType="end"/>
        </w:r>
      </w:hyperlink>
    </w:p>
    <w:p w:rsidR="002B1DAC" w:rsidRDefault="00B278E9" w14:paraId="0B5E0907" w14:textId="7F6A8701">
      <w:pPr>
        <w:pStyle w:val="TOC1"/>
        <w:rPr>
          <w:rFonts w:asciiTheme="minorHAnsi" w:hAnsiTheme="minorHAnsi" w:eastAsiaTheme="minorEastAsia" w:cstheme="minorBidi"/>
          <w:b w:val="0"/>
          <w:noProof/>
          <w:kern w:val="2"/>
          <w14:ligatures w14:val="standardContextual"/>
        </w:rPr>
      </w:pPr>
      <w:hyperlink w:history="1" w:anchor="_Toc192582254">
        <w:r w:rsidRPr="00A30D20" w:rsidR="002B1DAC">
          <w:rPr>
            <w:rStyle w:val="Hyperlink"/>
            <w:noProof/>
          </w:rPr>
          <w:t>Public Housing Upgrades Component</w:t>
        </w:r>
        <w:r w:rsidR="002B1DAC">
          <w:rPr>
            <w:noProof/>
            <w:webHidden/>
          </w:rPr>
          <w:tab/>
        </w:r>
        <w:r w:rsidR="002B1DAC">
          <w:rPr>
            <w:noProof/>
            <w:webHidden/>
          </w:rPr>
          <w:fldChar w:fldCharType="begin"/>
        </w:r>
        <w:r w:rsidR="002B1DAC">
          <w:rPr>
            <w:noProof/>
            <w:webHidden/>
          </w:rPr>
          <w:instrText xml:space="preserve"> PAGEREF _Toc192582254 \h </w:instrText>
        </w:r>
        <w:r w:rsidR="002B1DAC">
          <w:rPr>
            <w:noProof/>
            <w:webHidden/>
          </w:rPr>
        </w:r>
        <w:r w:rsidR="002B1DAC">
          <w:rPr>
            <w:noProof/>
            <w:webHidden/>
          </w:rPr>
          <w:fldChar w:fldCharType="separate"/>
        </w:r>
        <w:r w:rsidR="002B1DAC">
          <w:rPr>
            <w:noProof/>
            <w:webHidden/>
          </w:rPr>
          <w:t>7</w:t>
        </w:r>
        <w:r w:rsidR="002B1DAC">
          <w:rPr>
            <w:noProof/>
            <w:webHidden/>
          </w:rPr>
          <w:fldChar w:fldCharType="end"/>
        </w:r>
      </w:hyperlink>
    </w:p>
    <w:p w:rsidR="002B1DAC" w:rsidRDefault="00B278E9" w14:paraId="318D13C8" w14:textId="63A9A125">
      <w:pPr>
        <w:pStyle w:val="TOC2"/>
        <w:rPr>
          <w:rFonts w:asciiTheme="minorHAnsi" w:hAnsiTheme="minorHAnsi" w:eastAsiaTheme="minorEastAsia" w:cstheme="minorBidi"/>
          <w:noProof/>
          <w:kern w:val="2"/>
          <w14:ligatures w14:val="standardContextual"/>
        </w:rPr>
      </w:pPr>
      <w:hyperlink w:history="1" w:anchor="_Toc192582255">
        <w:r w:rsidRPr="00A30D20" w:rsidR="002B1DAC">
          <w:rPr>
            <w:rStyle w:val="Hyperlink"/>
            <w:noProof/>
          </w:rPr>
          <w:t>Introduction</w:t>
        </w:r>
        <w:r w:rsidR="002B1DAC">
          <w:rPr>
            <w:noProof/>
            <w:webHidden/>
          </w:rPr>
          <w:tab/>
        </w:r>
        <w:r w:rsidR="002B1DAC">
          <w:rPr>
            <w:noProof/>
            <w:webHidden/>
          </w:rPr>
          <w:fldChar w:fldCharType="begin"/>
        </w:r>
        <w:r w:rsidR="002B1DAC">
          <w:rPr>
            <w:noProof/>
            <w:webHidden/>
          </w:rPr>
          <w:instrText xml:space="preserve"> PAGEREF _Toc192582255 \h </w:instrText>
        </w:r>
        <w:r w:rsidR="002B1DAC">
          <w:rPr>
            <w:noProof/>
            <w:webHidden/>
          </w:rPr>
        </w:r>
        <w:r w:rsidR="002B1DAC">
          <w:rPr>
            <w:noProof/>
            <w:webHidden/>
          </w:rPr>
          <w:fldChar w:fldCharType="separate"/>
        </w:r>
        <w:r w:rsidR="002B1DAC">
          <w:rPr>
            <w:noProof/>
            <w:webHidden/>
          </w:rPr>
          <w:t>7</w:t>
        </w:r>
        <w:r w:rsidR="002B1DAC">
          <w:rPr>
            <w:noProof/>
            <w:webHidden/>
          </w:rPr>
          <w:fldChar w:fldCharType="end"/>
        </w:r>
      </w:hyperlink>
    </w:p>
    <w:p w:rsidR="002B1DAC" w:rsidRDefault="00B278E9" w14:paraId="0C3CA904" w14:textId="16080934">
      <w:pPr>
        <w:pStyle w:val="TOC2"/>
        <w:rPr>
          <w:rFonts w:asciiTheme="minorHAnsi" w:hAnsiTheme="minorHAnsi" w:eastAsiaTheme="minorEastAsia" w:cstheme="minorBidi"/>
          <w:noProof/>
          <w:kern w:val="2"/>
          <w14:ligatures w14:val="standardContextual"/>
        </w:rPr>
      </w:pPr>
      <w:hyperlink w:history="1" w:anchor="_Toc192582256">
        <w:r w:rsidRPr="00A30D20" w:rsidR="002B1DAC">
          <w:rPr>
            <w:rStyle w:val="Hyperlink"/>
            <w:noProof/>
          </w:rPr>
          <w:t>Program Savings Detail</w:t>
        </w:r>
        <w:r w:rsidR="002B1DAC">
          <w:rPr>
            <w:noProof/>
            <w:webHidden/>
          </w:rPr>
          <w:tab/>
        </w:r>
        <w:r w:rsidR="002B1DAC">
          <w:rPr>
            <w:noProof/>
            <w:webHidden/>
          </w:rPr>
          <w:fldChar w:fldCharType="begin"/>
        </w:r>
        <w:r w:rsidR="002B1DAC">
          <w:rPr>
            <w:noProof/>
            <w:webHidden/>
          </w:rPr>
          <w:instrText xml:space="preserve"> PAGEREF _Toc192582256 \h </w:instrText>
        </w:r>
        <w:r w:rsidR="002B1DAC">
          <w:rPr>
            <w:noProof/>
            <w:webHidden/>
          </w:rPr>
        </w:r>
        <w:r w:rsidR="002B1DAC">
          <w:rPr>
            <w:noProof/>
            <w:webHidden/>
          </w:rPr>
          <w:fldChar w:fldCharType="separate"/>
        </w:r>
        <w:r w:rsidR="002B1DAC">
          <w:rPr>
            <w:noProof/>
            <w:webHidden/>
          </w:rPr>
          <w:t>7</w:t>
        </w:r>
        <w:r w:rsidR="002B1DAC">
          <w:rPr>
            <w:noProof/>
            <w:webHidden/>
          </w:rPr>
          <w:fldChar w:fldCharType="end"/>
        </w:r>
      </w:hyperlink>
    </w:p>
    <w:p w:rsidR="002B1DAC" w:rsidRDefault="00B278E9" w14:paraId="0E2CAB43" w14:textId="6C46338B">
      <w:pPr>
        <w:pStyle w:val="TOC2"/>
        <w:rPr>
          <w:rFonts w:asciiTheme="minorHAnsi" w:hAnsiTheme="minorHAnsi" w:eastAsiaTheme="minorEastAsia" w:cstheme="minorBidi"/>
          <w:noProof/>
          <w:kern w:val="2"/>
          <w14:ligatures w14:val="standardContextual"/>
        </w:rPr>
      </w:pPr>
      <w:hyperlink w:history="1" w:anchor="_Toc192582257">
        <w:r w:rsidRPr="00A30D20" w:rsidR="002B1DAC">
          <w:rPr>
            <w:rStyle w:val="Hyperlink"/>
            <w:noProof/>
          </w:rPr>
          <w:t>Cumulative Persisting Annual Savings</w:t>
        </w:r>
        <w:r w:rsidR="002B1DAC">
          <w:rPr>
            <w:noProof/>
            <w:webHidden/>
          </w:rPr>
          <w:tab/>
        </w:r>
        <w:r w:rsidR="002B1DAC">
          <w:rPr>
            <w:noProof/>
            <w:webHidden/>
          </w:rPr>
          <w:fldChar w:fldCharType="begin"/>
        </w:r>
        <w:r w:rsidR="002B1DAC">
          <w:rPr>
            <w:noProof/>
            <w:webHidden/>
          </w:rPr>
          <w:instrText xml:space="preserve"> PAGEREF _Toc192582257 \h </w:instrText>
        </w:r>
        <w:r w:rsidR="002B1DAC">
          <w:rPr>
            <w:noProof/>
            <w:webHidden/>
          </w:rPr>
        </w:r>
        <w:r w:rsidR="002B1DAC">
          <w:rPr>
            <w:noProof/>
            <w:webHidden/>
          </w:rPr>
          <w:fldChar w:fldCharType="separate"/>
        </w:r>
        <w:r w:rsidR="002B1DAC">
          <w:rPr>
            <w:noProof/>
            <w:webHidden/>
          </w:rPr>
          <w:t>9</w:t>
        </w:r>
        <w:r w:rsidR="002B1DAC">
          <w:rPr>
            <w:noProof/>
            <w:webHidden/>
          </w:rPr>
          <w:fldChar w:fldCharType="end"/>
        </w:r>
      </w:hyperlink>
    </w:p>
    <w:p w:rsidR="002B1DAC" w:rsidRDefault="00B278E9" w14:paraId="62B2F4A4" w14:textId="309A318A">
      <w:pPr>
        <w:pStyle w:val="TOC1"/>
        <w:rPr>
          <w:rFonts w:asciiTheme="minorHAnsi" w:hAnsiTheme="minorHAnsi" w:eastAsiaTheme="minorEastAsia" w:cstheme="minorBidi"/>
          <w:b w:val="0"/>
          <w:noProof/>
          <w:kern w:val="2"/>
          <w14:ligatures w14:val="standardContextual"/>
        </w:rPr>
      </w:pPr>
      <w:hyperlink w:history="1" w:anchor="_Toc192582258">
        <w:r w:rsidRPr="00A30D20" w:rsidR="002B1DAC">
          <w:rPr>
            <w:rStyle w:val="Hyperlink"/>
            <w:noProof/>
          </w:rPr>
          <w:t>Multifamily Upgrades Program Excluding Public Housing Upgrades Program</w:t>
        </w:r>
        <w:r w:rsidR="002B1DAC">
          <w:rPr>
            <w:noProof/>
            <w:webHidden/>
          </w:rPr>
          <w:tab/>
        </w:r>
        <w:r w:rsidR="002B1DAC">
          <w:rPr>
            <w:noProof/>
            <w:webHidden/>
          </w:rPr>
          <w:fldChar w:fldCharType="begin"/>
        </w:r>
        <w:r w:rsidR="002B1DAC">
          <w:rPr>
            <w:noProof/>
            <w:webHidden/>
          </w:rPr>
          <w:instrText xml:space="preserve"> PAGEREF _Toc192582258 \h </w:instrText>
        </w:r>
        <w:r w:rsidR="002B1DAC">
          <w:rPr>
            <w:noProof/>
            <w:webHidden/>
          </w:rPr>
        </w:r>
        <w:r w:rsidR="002B1DAC">
          <w:rPr>
            <w:noProof/>
            <w:webHidden/>
          </w:rPr>
          <w:fldChar w:fldCharType="separate"/>
        </w:r>
        <w:r w:rsidR="002B1DAC">
          <w:rPr>
            <w:noProof/>
            <w:webHidden/>
          </w:rPr>
          <w:t>11</w:t>
        </w:r>
        <w:r w:rsidR="002B1DAC">
          <w:rPr>
            <w:noProof/>
            <w:webHidden/>
          </w:rPr>
          <w:fldChar w:fldCharType="end"/>
        </w:r>
      </w:hyperlink>
    </w:p>
    <w:p w:rsidR="002B1DAC" w:rsidRDefault="00B278E9" w14:paraId="0660267A" w14:textId="00DB5399">
      <w:pPr>
        <w:pStyle w:val="TOC2"/>
        <w:rPr>
          <w:rFonts w:asciiTheme="minorHAnsi" w:hAnsiTheme="minorHAnsi" w:eastAsiaTheme="minorEastAsia" w:cstheme="minorBidi"/>
          <w:noProof/>
          <w:kern w:val="2"/>
          <w14:ligatures w14:val="standardContextual"/>
        </w:rPr>
      </w:pPr>
      <w:hyperlink w:history="1" w:anchor="_Toc192582259">
        <w:r w:rsidRPr="00A30D20" w:rsidR="002B1DAC">
          <w:rPr>
            <w:rStyle w:val="Hyperlink"/>
            <w:noProof/>
          </w:rPr>
          <w:t>Introduction</w:t>
        </w:r>
        <w:r w:rsidR="002B1DAC">
          <w:rPr>
            <w:noProof/>
            <w:webHidden/>
          </w:rPr>
          <w:tab/>
        </w:r>
        <w:r w:rsidR="002B1DAC">
          <w:rPr>
            <w:noProof/>
            <w:webHidden/>
          </w:rPr>
          <w:fldChar w:fldCharType="begin"/>
        </w:r>
        <w:r w:rsidR="002B1DAC">
          <w:rPr>
            <w:noProof/>
            <w:webHidden/>
          </w:rPr>
          <w:instrText xml:space="preserve"> PAGEREF _Toc192582259 \h </w:instrText>
        </w:r>
        <w:r w:rsidR="002B1DAC">
          <w:rPr>
            <w:noProof/>
            <w:webHidden/>
          </w:rPr>
        </w:r>
        <w:r w:rsidR="002B1DAC">
          <w:rPr>
            <w:noProof/>
            <w:webHidden/>
          </w:rPr>
          <w:fldChar w:fldCharType="separate"/>
        </w:r>
        <w:r w:rsidR="002B1DAC">
          <w:rPr>
            <w:noProof/>
            <w:webHidden/>
          </w:rPr>
          <w:t>11</w:t>
        </w:r>
        <w:r w:rsidR="002B1DAC">
          <w:rPr>
            <w:noProof/>
            <w:webHidden/>
          </w:rPr>
          <w:fldChar w:fldCharType="end"/>
        </w:r>
      </w:hyperlink>
    </w:p>
    <w:p w:rsidR="002B1DAC" w:rsidRDefault="00B278E9" w14:paraId="31B0C334" w14:textId="65B6F71D">
      <w:pPr>
        <w:pStyle w:val="TOC2"/>
        <w:rPr>
          <w:rFonts w:asciiTheme="minorHAnsi" w:hAnsiTheme="minorHAnsi" w:eastAsiaTheme="minorEastAsia" w:cstheme="minorBidi"/>
          <w:noProof/>
          <w:kern w:val="2"/>
          <w14:ligatures w14:val="standardContextual"/>
        </w:rPr>
      </w:pPr>
      <w:hyperlink w:history="1" w:anchor="_Toc192582260">
        <w:r w:rsidRPr="00A30D20" w:rsidR="002B1DAC">
          <w:rPr>
            <w:rStyle w:val="Hyperlink"/>
            <w:noProof/>
          </w:rPr>
          <w:t>Program Savings Detail</w:t>
        </w:r>
        <w:r w:rsidR="002B1DAC">
          <w:rPr>
            <w:noProof/>
            <w:webHidden/>
          </w:rPr>
          <w:tab/>
        </w:r>
        <w:r w:rsidR="002B1DAC">
          <w:rPr>
            <w:noProof/>
            <w:webHidden/>
          </w:rPr>
          <w:fldChar w:fldCharType="begin"/>
        </w:r>
        <w:r w:rsidR="002B1DAC">
          <w:rPr>
            <w:noProof/>
            <w:webHidden/>
          </w:rPr>
          <w:instrText xml:space="preserve"> PAGEREF _Toc192582260 \h </w:instrText>
        </w:r>
        <w:r w:rsidR="002B1DAC">
          <w:rPr>
            <w:noProof/>
            <w:webHidden/>
          </w:rPr>
        </w:r>
        <w:r w:rsidR="002B1DAC">
          <w:rPr>
            <w:noProof/>
            <w:webHidden/>
          </w:rPr>
          <w:fldChar w:fldCharType="separate"/>
        </w:r>
        <w:r w:rsidR="002B1DAC">
          <w:rPr>
            <w:noProof/>
            <w:webHidden/>
          </w:rPr>
          <w:t>11</w:t>
        </w:r>
        <w:r w:rsidR="002B1DAC">
          <w:rPr>
            <w:noProof/>
            <w:webHidden/>
          </w:rPr>
          <w:fldChar w:fldCharType="end"/>
        </w:r>
      </w:hyperlink>
    </w:p>
    <w:p w:rsidR="002B1DAC" w:rsidRDefault="00B278E9" w14:paraId="653D7429" w14:textId="3DF01D70">
      <w:pPr>
        <w:pStyle w:val="TOC2"/>
        <w:rPr>
          <w:rFonts w:asciiTheme="minorHAnsi" w:hAnsiTheme="minorHAnsi" w:eastAsiaTheme="minorEastAsia" w:cstheme="minorBidi"/>
          <w:noProof/>
          <w:kern w:val="2"/>
          <w14:ligatures w14:val="standardContextual"/>
        </w:rPr>
      </w:pPr>
      <w:hyperlink w:history="1" w:anchor="_Toc192582261">
        <w:r w:rsidRPr="00A30D20" w:rsidR="002B1DAC">
          <w:rPr>
            <w:rStyle w:val="Hyperlink"/>
            <w:noProof/>
          </w:rPr>
          <w:t>Cumulative Persisting Annual Savings</w:t>
        </w:r>
        <w:r w:rsidR="002B1DAC">
          <w:rPr>
            <w:noProof/>
            <w:webHidden/>
          </w:rPr>
          <w:tab/>
        </w:r>
        <w:r w:rsidR="002B1DAC">
          <w:rPr>
            <w:noProof/>
            <w:webHidden/>
          </w:rPr>
          <w:fldChar w:fldCharType="begin"/>
        </w:r>
        <w:r w:rsidR="002B1DAC">
          <w:rPr>
            <w:noProof/>
            <w:webHidden/>
          </w:rPr>
          <w:instrText xml:space="preserve"> PAGEREF _Toc192582261 \h </w:instrText>
        </w:r>
        <w:r w:rsidR="002B1DAC">
          <w:rPr>
            <w:noProof/>
            <w:webHidden/>
          </w:rPr>
        </w:r>
        <w:r w:rsidR="002B1DAC">
          <w:rPr>
            <w:noProof/>
            <w:webHidden/>
          </w:rPr>
          <w:fldChar w:fldCharType="separate"/>
        </w:r>
        <w:r w:rsidR="002B1DAC">
          <w:rPr>
            <w:noProof/>
            <w:webHidden/>
          </w:rPr>
          <w:t>14</w:t>
        </w:r>
        <w:r w:rsidR="002B1DAC">
          <w:rPr>
            <w:noProof/>
            <w:webHidden/>
          </w:rPr>
          <w:fldChar w:fldCharType="end"/>
        </w:r>
      </w:hyperlink>
    </w:p>
    <w:p w:rsidR="007375C6" w:rsidRDefault="00B278E9" w14:paraId="20B02861" w14:textId="019E33AC">
      <w:pPr>
        <w:pStyle w:val="GHBodytext"/>
      </w:pPr>
      <w:r>
        <w:fldChar w:fldCharType="end"/>
      </w:r>
    </w:p>
    <w:p w:rsidRPr="00FA4A7C" w:rsidR="007375C6" w:rsidP="00A42EA9" w:rsidRDefault="00B278E9" w14:paraId="232F876E" w14:textId="42B37B85">
      <w:pPr>
        <w:pStyle w:val="GHTOC"/>
      </w:pPr>
      <w:bookmarkStart w:name="_Toc181693456" w:id="4"/>
      <w:bookmarkStart w:name="_Toc181693477" w:id="5"/>
      <w:bookmarkStart w:name="_Toc186529826" w:id="6"/>
      <w:r>
        <w:t>List of Figures</w:t>
      </w:r>
      <w:bookmarkEnd w:id="4"/>
      <w:bookmarkEnd w:id="5"/>
      <w:bookmarkEnd w:id="6"/>
    </w:p>
    <w:p w:rsidR="00024ABD" w:rsidRDefault="00B278E9" w14:paraId="077F41AE" w14:textId="205F4481">
      <w:pPr>
        <w:pStyle w:val="TableofFigures"/>
        <w:rPr>
          <w:rFonts w:asciiTheme="minorHAnsi" w:hAnsiTheme="minorHAnsi" w:eastAsiaTheme="minorEastAsia" w:cstheme="minorBidi"/>
          <w:noProof/>
          <w:kern w:val="2"/>
          <w14:ligatures w14:val="standardContextual"/>
        </w:rPr>
      </w:pPr>
      <w:r>
        <w:rPr>
          <w:b/>
        </w:rPr>
        <w:fldChar w:fldCharType="begin"/>
      </w:r>
      <w:r>
        <w:rPr>
          <w:b/>
        </w:rPr>
        <w:instrText xml:space="preserve"> TOC \h \z \c "Figure" </w:instrText>
      </w:r>
      <w:r>
        <w:rPr>
          <w:b/>
        </w:rPr>
        <w:fldChar w:fldCharType="separate"/>
      </w:r>
      <w:hyperlink w:history="1" w:anchor="_Toc192581501">
        <w:r w:rsidRPr="008A50F7" w:rsidR="00024ABD">
          <w:rPr>
            <w:rStyle w:val="Hyperlink"/>
            <w:noProof/>
          </w:rPr>
          <w:t>Figure 1. Multifamily Upgrades Verified Net Savings by Measure – Electric</w:t>
        </w:r>
        <w:r w:rsidR="00024ABD">
          <w:rPr>
            <w:noProof/>
            <w:webHidden/>
          </w:rPr>
          <w:tab/>
        </w:r>
        <w:r w:rsidR="00024ABD">
          <w:rPr>
            <w:noProof/>
            <w:webHidden/>
          </w:rPr>
          <w:fldChar w:fldCharType="begin"/>
        </w:r>
        <w:r w:rsidR="00024ABD">
          <w:rPr>
            <w:noProof/>
            <w:webHidden/>
          </w:rPr>
          <w:instrText xml:space="preserve"> PAGEREF _Toc192581501 \h </w:instrText>
        </w:r>
        <w:r w:rsidR="00024ABD">
          <w:rPr>
            <w:noProof/>
            <w:webHidden/>
          </w:rPr>
        </w:r>
        <w:r w:rsidR="00024ABD">
          <w:rPr>
            <w:noProof/>
            <w:webHidden/>
          </w:rPr>
          <w:fldChar w:fldCharType="separate"/>
        </w:r>
        <w:r w:rsidR="00024ABD">
          <w:rPr>
            <w:noProof/>
            <w:webHidden/>
          </w:rPr>
          <w:t>4</w:t>
        </w:r>
        <w:r w:rsidR="00024ABD">
          <w:rPr>
            <w:noProof/>
            <w:webHidden/>
          </w:rPr>
          <w:fldChar w:fldCharType="end"/>
        </w:r>
      </w:hyperlink>
    </w:p>
    <w:p w:rsidR="00024ABD" w:rsidRDefault="00B278E9" w14:paraId="38077692" w14:textId="3923F2A1">
      <w:pPr>
        <w:pStyle w:val="TableofFigures"/>
        <w:rPr>
          <w:rFonts w:asciiTheme="minorHAnsi" w:hAnsiTheme="minorHAnsi" w:eastAsiaTheme="minorEastAsia" w:cstheme="minorBidi"/>
          <w:noProof/>
          <w:kern w:val="2"/>
          <w14:ligatures w14:val="standardContextual"/>
        </w:rPr>
      </w:pPr>
      <w:hyperlink w:history="1" w:anchor="_Toc192581502">
        <w:r w:rsidRPr="008A50F7" w:rsidR="00024ABD">
          <w:rPr>
            <w:rStyle w:val="Hyperlink"/>
            <w:noProof/>
          </w:rPr>
          <w:t>Figure 2. Public Housing Upgrades Verified Net Savings by Measure – Electric</w:t>
        </w:r>
        <w:r w:rsidR="00024ABD">
          <w:rPr>
            <w:noProof/>
            <w:webHidden/>
          </w:rPr>
          <w:tab/>
        </w:r>
        <w:r w:rsidR="00024ABD">
          <w:rPr>
            <w:noProof/>
            <w:webHidden/>
          </w:rPr>
          <w:fldChar w:fldCharType="begin"/>
        </w:r>
        <w:r w:rsidR="00024ABD">
          <w:rPr>
            <w:noProof/>
            <w:webHidden/>
          </w:rPr>
          <w:instrText xml:space="preserve"> PAGEREF _Toc192581502 \h </w:instrText>
        </w:r>
        <w:r w:rsidR="00024ABD">
          <w:rPr>
            <w:noProof/>
            <w:webHidden/>
          </w:rPr>
        </w:r>
        <w:r w:rsidR="00024ABD">
          <w:rPr>
            <w:noProof/>
            <w:webHidden/>
          </w:rPr>
          <w:fldChar w:fldCharType="separate"/>
        </w:r>
        <w:r w:rsidR="00024ABD">
          <w:rPr>
            <w:noProof/>
            <w:webHidden/>
          </w:rPr>
          <w:t>8</w:t>
        </w:r>
        <w:r w:rsidR="00024ABD">
          <w:rPr>
            <w:noProof/>
            <w:webHidden/>
          </w:rPr>
          <w:fldChar w:fldCharType="end"/>
        </w:r>
      </w:hyperlink>
    </w:p>
    <w:p w:rsidR="00024ABD" w:rsidRDefault="00B278E9" w14:paraId="115C8806" w14:textId="76CC9A60">
      <w:pPr>
        <w:pStyle w:val="TableofFigures"/>
        <w:rPr>
          <w:rFonts w:asciiTheme="minorHAnsi" w:hAnsiTheme="minorHAnsi" w:eastAsiaTheme="minorEastAsia" w:cstheme="minorBidi"/>
          <w:noProof/>
          <w:kern w:val="2"/>
          <w14:ligatures w14:val="standardContextual"/>
        </w:rPr>
      </w:pPr>
      <w:hyperlink w:history="1" w:anchor="_Toc192581503">
        <w:r w:rsidRPr="008A50F7" w:rsidR="00024ABD">
          <w:rPr>
            <w:rStyle w:val="Hyperlink"/>
            <w:noProof/>
          </w:rPr>
          <w:t>Figure 3. Multifamily Upgrades Excluding Public Housing Verified Net Savings by Measure – Electric</w:t>
        </w:r>
        <w:r w:rsidR="00024ABD">
          <w:rPr>
            <w:noProof/>
            <w:webHidden/>
          </w:rPr>
          <w:tab/>
        </w:r>
        <w:r w:rsidR="00024ABD">
          <w:rPr>
            <w:noProof/>
            <w:webHidden/>
          </w:rPr>
          <w:fldChar w:fldCharType="begin"/>
        </w:r>
        <w:r w:rsidR="00024ABD">
          <w:rPr>
            <w:noProof/>
            <w:webHidden/>
          </w:rPr>
          <w:instrText xml:space="preserve"> PAGEREF _Toc192581503 \h </w:instrText>
        </w:r>
        <w:r w:rsidR="00024ABD">
          <w:rPr>
            <w:noProof/>
            <w:webHidden/>
          </w:rPr>
        </w:r>
        <w:r w:rsidR="00024ABD">
          <w:rPr>
            <w:noProof/>
            <w:webHidden/>
          </w:rPr>
          <w:fldChar w:fldCharType="separate"/>
        </w:r>
        <w:r w:rsidR="00024ABD">
          <w:rPr>
            <w:noProof/>
            <w:webHidden/>
          </w:rPr>
          <w:t>13</w:t>
        </w:r>
        <w:r w:rsidR="00024ABD">
          <w:rPr>
            <w:noProof/>
            <w:webHidden/>
          </w:rPr>
          <w:fldChar w:fldCharType="end"/>
        </w:r>
      </w:hyperlink>
    </w:p>
    <w:p w:rsidR="007375C6" w:rsidRDefault="00B278E9" w14:paraId="0F310DA1" w14:textId="25DAFE83">
      <w:pPr>
        <w:pStyle w:val="GHBodytext"/>
        <w:tabs>
          <w:tab w:val="right" w:pos="9360"/>
        </w:tabs>
      </w:pPr>
      <w:r>
        <w:rPr>
          <w:b/>
        </w:rPr>
        <w:fldChar w:fldCharType="end"/>
      </w:r>
    </w:p>
    <w:p w:rsidR="007375C6" w:rsidP="00A42EA9" w:rsidRDefault="00B278E9" w14:paraId="09D0FB05" w14:textId="5FDFCA78">
      <w:pPr>
        <w:pStyle w:val="GHTOC"/>
      </w:pPr>
      <w:bookmarkStart w:name="_Toc181693457" w:id="7"/>
      <w:bookmarkStart w:name="_Toc181693478" w:id="8"/>
      <w:bookmarkStart w:name="_Toc186529827" w:id="9"/>
      <w:r>
        <w:t>List of Tables</w:t>
      </w:r>
      <w:bookmarkEnd w:id="7"/>
      <w:bookmarkEnd w:id="8"/>
      <w:bookmarkEnd w:id="9"/>
      <w:r>
        <w:t xml:space="preserve"> </w:t>
      </w:r>
      <w:r w:rsidRPr="00292BBD">
        <w:t>make applicable updates</w:t>
      </w:r>
    </w:p>
    <w:p w:rsidR="006E43A6" w:rsidRDefault="00B278E9" w14:paraId="1CBFA0C8" w14:textId="5529C322">
      <w:pPr>
        <w:pStyle w:val="TableofFigures"/>
        <w:rPr>
          <w:rFonts w:asciiTheme="minorHAnsi" w:hAnsiTheme="minorHAnsi" w:eastAsiaTheme="minorEastAsia" w:cstheme="minorBidi"/>
          <w:noProof/>
          <w:kern w:val="2"/>
          <w14:ligatures w14:val="standardContextual"/>
        </w:rPr>
      </w:pPr>
      <w:r>
        <w:fldChar w:fldCharType="begin"/>
      </w:r>
      <w:r>
        <w:instrText xml:space="preserve"> TOC \h \z \c "Table" </w:instrText>
      </w:r>
      <w:r>
        <w:fldChar w:fldCharType="separate"/>
      </w:r>
      <w:hyperlink w:history="1" w:anchor="_Toc192581523">
        <w:r w:rsidRPr="00A4204B" w:rsidR="006E43A6">
          <w:rPr>
            <w:rStyle w:val="Hyperlink"/>
            <w:noProof/>
          </w:rPr>
          <w:t>Table 1. Multifamily Upgrades Total Annual Incremental Electric Savings - Total</w:t>
        </w:r>
        <w:r w:rsidR="006E43A6">
          <w:rPr>
            <w:noProof/>
            <w:webHidden/>
          </w:rPr>
          <w:tab/>
        </w:r>
        <w:r w:rsidR="006E43A6">
          <w:rPr>
            <w:noProof/>
            <w:webHidden/>
          </w:rPr>
          <w:fldChar w:fldCharType="begin"/>
        </w:r>
        <w:r w:rsidR="006E43A6">
          <w:rPr>
            <w:noProof/>
            <w:webHidden/>
          </w:rPr>
          <w:instrText xml:space="preserve"> PAGEREF _Toc192581523 \h </w:instrText>
        </w:r>
        <w:r w:rsidR="006E43A6">
          <w:rPr>
            <w:noProof/>
            <w:webHidden/>
          </w:rPr>
        </w:r>
        <w:r w:rsidR="006E43A6">
          <w:rPr>
            <w:noProof/>
            <w:webHidden/>
          </w:rPr>
          <w:fldChar w:fldCharType="separate"/>
        </w:r>
        <w:r w:rsidR="006E43A6">
          <w:rPr>
            <w:noProof/>
            <w:webHidden/>
          </w:rPr>
          <w:t>1</w:t>
        </w:r>
        <w:r w:rsidR="006E43A6">
          <w:rPr>
            <w:noProof/>
            <w:webHidden/>
          </w:rPr>
          <w:fldChar w:fldCharType="end"/>
        </w:r>
      </w:hyperlink>
    </w:p>
    <w:p w:rsidR="006E43A6" w:rsidRDefault="00B278E9" w14:paraId="7E87D3D9" w14:textId="16D9F27B">
      <w:pPr>
        <w:pStyle w:val="TableofFigures"/>
        <w:rPr>
          <w:rFonts w:asciiTheme="minorHAnsi" w:hAnsiTheme="minorHAnsi" w:eastAsiaTheme="minorEastAsia" w:cstheme="minorBidi"/>
          <w:noProof/>
          <w:kern w:val="2"/>
          <w14:ligatures w14:val="standardContextual"/>
        </w:rPr>
      </w:pPr>
      <w:hyperlink w:history="1" w:anchor="_Toc192581524">
        <w:r w:rsidRPr="00A4204B" w:rsidR="006E43A6">
          <w:rPr>
            <w:rStyle w:val="Hyperlink"/>
            <w:noProof/>
          </w:rPr>
          <w:t>Table 2. Multifamily Upgrades Total Annual Incremental Electric Savings – Income Eligible</w:t>
        </w:r>
        <w:r w:rsidR="006E43A6">
          <w:rPr>
            <w:noProof/>
            <w:webHidden/>
          </w:rPr>
          <w:tab/>
        </w:r>
        <w:r w:rsidR="006E43A6">
          <w:rPr>
            <w:noProof/>
            <w:webHidden/>
          </w:rPr>
          <w:fldChar w:fldCharType="begin"/>
        </w:r>
        <w:r w:rsidR="006E43A6">
          <w:rPr>
            <w:noProof/>
            <w:webHidden/>
          </w:rPr>
          <w:instrText xml:space="preserve"> PAGEREF _Toc192581524 \h </w:instrText>
        </w:r>
        <w:r w:rsidR="006E43A6">
          <w:rPr>
            <w:noProof/>
            <w:webHidden/>
          </w:rPr>
        </w:r>
        <w:r w:rsidR="006E43A6">
          <w:rPr>
            <w:noProof/>
            <w:webHidden/>
          </w:rPr>
          <w:fldChar w:fldCharType="separate"/>
        </w:r>
        <w:r w:rsidR="006E43A6">
          <w:rPr>
            <w:noProof/>
            <w:webHidden/>
          </w:rPr>
          <w:t>2</w:t>
        </w:r>
        <w:r w:rsidR="006E43A6">
          <w:rPr>
            <w:noProof/>
            <w:webHidden/>
          </w:rPr>
          <w:fldChar w:fldCharType="end"/>
        </w:r>
      </w:hyperlink>
    </w:p>
    <w:p w:rsidR="006E43A6" w:rsidRDefault="00B278E9" w14:paraId="3BD718B4" w14:textId="2DFABEA5">
      <w:pPr>
        <w:pStyle w:val="TableofFigures"/>
        <w:rPr>
          <w:rFonts w:asciiTheme="minorHAnsi" w:hAnsiTheme="minorHAnsi" w:eastAsiaTheme="minorEastAsia" w:cstheme="minorBidi"/>
          <w:noProof/>
          <w:kern w:val="2"/>
          <w14:ligatures w14:val="standardContextual"/>
        </w:rPr>
      </w:pPr>
      <w:hyperlink w:history="1" w:anchor="_Toc192581525">
        <w:r w:rsidRPr="00A4204B" w:rsidR="006E43A6">
          <w:rPr>
            <w:rStyle w:val="Hyperlink"/>
            <w:noProof/>
          </w:rPr>
          <w:t>Table 3. Multifamily Upgrades Total Annual Incremental Electric Savings – Non-Income Eligible</w:t>
        </w:r>
        <w:r w:rsidR="006E43A6">
          <w:rPr>
            <w:noProof/>
            <w:webHidden/>
          </w:rPr>
          <w:tab/>
        </w:r>
        <w:r w:rsidR="006E43A6">
          <w:rPr>
            <w:noProof/>
            <w:webHidden/>
          </w:rPr>
          <w:fldChar w:fldCharType="begin"/>
        </w:r>
        <w:r w:rsidR="006E43A6">
          <w:rPr>
            <w:noProof/>
            <w:webHidden/>
          </w:rPr>
          <w:instrText xml:space="preserve"> PAGEREF _Toc192581525 \h </w:instrText>
        </w:r>
        <w:r w:rsidR="006E43A6">
          <w:rPr>
            <w:noProof/>
            <w:webHidden/>
          </w:rPr>
        </w:r>
        <w:r w:rsidR="006E43A6">
          <w:rPr>
            <w:noProof/>
            <w:webHidden/>
          </w:rPr>
          <w:fldChar w:fldCharType="separate"/>
        </w:r>
        <w:r w:rsidR="006E43A6">
          <w:rPr>
            <w:noProof/>
            <w:webHidden/>
          </w:rPr>
          <w:t>3</w:t>
        </w:r>
        <w:r w:rsidR="006E43A6">
          <w:rPr>
            <w:noProof/>
            <w:webHidden/>
          </w:rPr>
          <w:fldChar w:fldCharType="end"/>
        </w:r>
      </w:hyperlink>
    </w:p>
    <w:p w:rsidR="006E43A6" w:rsidRDefault="00B278E9" w14:paraId="45DB8862" w14:textId="0AC98C88">
      <w:pPr>
        <w:pStyle w:val="TableofFigures"/>
        <w:rPr>
          <w:rFonts w:asciiTheme="minorHAnsi" w:hAnsiTheme="minorHAnsi" w:eastAsiaTheme="minorEastAsia" w:cstheme="minorBidi"/>
          <w:noProof/>
          <w:kern w:val="2"/>
          <w14:ligatures w14:val="standardContextual"/>
        </w:rPr>
      </w:pPr>
      <w:hyperlink w:history="1" w:anchor="_Toc192581526">
        <w:r w:rsidRPr="00A4204B" w:rsidR="006E43A6">
          <w:rPr>
            <w:rStyle w:val="Hyperlink"/>
            <w:noProof/>
          </w:rPr>
          <w:t>Table 4. Multifamily Upgrades CPAS – Electric</w:t>
        </w:r>
        <w:r w:rsidR="006E43A6">
          <w:rPr>
            <w:noProof/>
            <w:webHidden/>
          </w:rPr>
          <w:tab/>
        </w:r>
        <w:r w:rsidR="006E43A6">
          <w:rPr>
            <w:noProof/>
            <w:webHidden/>
          </w:rPr>
          <w:fldChar w:fldCharType="begin"/>
        </w:r>
        <w:r w:rsidR="006E43A6">
          <w:rPr>
            <w:noProof/>
            <w:webHidden/>
          </w:rPr>
          <w:instrText xml:space="preserve"> PAGEREF _Toc192581526 \h </w:instrText>
        </w:r>
        <w:r w:rsidR="006E43A6">
          <w:rPr>
            <w:noProof/>
            <w:webHidden/>
          </w:rPr>
        </w:r>
        <w:r w:rsidR="006E43A6">
          <w:rPr>
            <w:noProof/>
            <w:webHidden/>
          </w:rPr>
          <w:fldChar w:fldCharType="separate"/>
        </w:r>
        <w:r w:rsidR="006E43A6">
          <w:rPr>
            <w:noProof/>
            <w:webHidden/>
          </w:rPr>
          <w:t>5</w:t>
        </w:r>
        <w:r w:rsidR="006E43A6">
          <w:rPr>
            <w:noProof/>
            <w:webHidden/>
          </w:rPr>
          <w:fldChar w:fldCharType="end"/>
        </w:r>
      </w:hyperlink>
    </w:p>
    <w:p w:rsidR="006E43A6" w:rsidRDefault="00B278E9" w14:paraId="120BED06" w14:textId="5C523378">
      <w:pPr>
        <w:pStyle w:val="TableofFigures"/>
        <w:rPr>
          <w:rFonts w:asciiTheme="minorHAnsi" w:hAnsiTheme="minorHAnsi" w:eastAsiaTheme="minorEastAsia" w:cstheme="minorBidi"/>
          <w:noProof/>
          <w:kern w:val="2"/>
          <w14:ligatures w14:val="standardContextual"/>
        </w:rPr>
      </w:pPr>
      <w:hyperlink w:history="1" w:anchor="_Toc192581527">
        <w:r w:rsidRPr="00A4204B" w:rsidR="006E43A6">
          <w:rPr>
            <w:rStyle w:val="Hyperlink"/>
            <w:noProof/>
          </w:rPr>
          <w:t>Table 5. Multifamily Upgrades CPAS – Other Fuel (Gas + Propane)</w:t>
        </w:r>
        <w:r w:rsidR="006E43A6">
          <w:rPr>
            <w:noProof/>
            <w:webHidden/>
          </w:rPr>
          <w:tab/>
        </w:r>
        <w:r w:rsidR="006E43A6">
          <w:rPr>
            <w:noProof/>
            <w:webHidden/>
          </w:rPr>
          <w:fldChar w:fldCharType="begin"/>
        </w:r>
        <w:r w:rsidR="006E43A6">
          <w:rPr>
            <w:noProof/>
            <w:webHidden/>
          </w:rPr>
          <w:instrText xml:space="preserve"> PAGEREF _Toc192581527 \h </w:instrText>
        </w:r>
        <w:r w:rsidR="006E43A6">
          <w:rPr>
            <w:noProof/>
            <w:webHidden/>
          </w:rPr>
        </w:r>
        <w:r w:rsidR="006E43A6">
          <w:rPr>
            <w:noProof/>
            <w:webHidden/>
          </w:rPr>
          <w:fldChar w:fldCharType="separate"/>
        </w:r>
        <w:r w:rsidR="006E43A6">
          <w:rPr>
            <w:noProof/>
            <w:webHidden/>
          </w:rPr>
          <w:t>5</w:t>
        </w:r>
        <w:r w:rsidR="006E43A6">
          <w:rPr>
            <w:noProof/>
            <w:webHidden/>
          </w:rPr>
          <w:fldChar w:fldCharType="end"/>
        </w:r>
      </w:hyperlink>
    </w:p>
    <w:p w:rsidR="006E43A6" w:rsidRDefault="00B278E9" w14:paraId="6E90B55A" w14:textId="6F818D32">
      <w:pPr>
        <w:pStyle w:val="TableofFigures"/>
        <w:rPr>
          <w:rFonts w:asciiTheme="minorHAnsi" w:hAnsiTheme="minorHAnsi" w:eastAsiaTheme="minorEastAsia" w:cstheme="minorBidi"/>
          <w:noProof/>
          <w:kern w:val="2"/>
          <w14:ligatures w14:val="standardContextual"/>
        </w:rPr>
      </w:pPr>
      <w:hyperlink w:history="1" w:anchor="_Toc192581528">
        <w:r w:rsidRPr="00A4204B" w:rsidR="006E43A6">
          <w:rPr>
            <w:rStyle w:val="Hyperlink"/>
            <w:noProof/>
          </w:rPr>
          <w:t>Table 6. Multifamily Upgrades CPAS – Total</w:t>
        </w:r>
        <w:r w:rsidR="006E43A6">
          <w:rPr>
            <w:noProof/>
            <w:webHidden/>
          </w:rPr>
          <w:tab/>
        </w:r>
        <w:r w:rsidR="006E43A6">
          <w:rPr>
            <w:noProof/>
            <w:webHidden/>
          </w:rPr>
          <w:fldChar w:fldCharType="begin"/>
        </w:r>
        <w:r w:rsidR="006E43A6">
          <w:rPr>
            <w:noProof/>
            <w:webHidden/>
          </w:rPr>
          <w:instrText xml:space="preserve"> PAGEREF _Toc192581528 \h </w:instrText>
        </w:r>
        <w:r w:rsidR="006E43A6">
          <w:rPr>
            <w:noProof/>
            <w:webHidden/>
          </w:rPr>
        </w:r>
        <w:r w:rsidR="006E43A6">
          <w:rPr>
            <w:noProof/>
            <w:webHidden/>
          </w:rPr>
          <w:fldChar w:fldCharType="separate"/>
        </w:r>
        <w:r w:rsidR="006E43A6">
          <w:rPr>
            <w:noProof/>
            <w:webHidden/>
          </w:rPr>
          <w:t>6</w:t>
        </w:r>
        <w:r w:rsidR="006E43A6">
          <w:rPr>
            <w:noProof/>
            <w:webHidden/>
          </w:rPr>
          <w:fldChar w:fldCharType="end"/>
        </w:r>
      </w:hyperlink>
    </w:p>
    <w:p w:rsidR="006E43A6" w:rsidRDefault="00B278E9" w14:paraId="408A240C" w14:textId="108C115E">
      <w:pPr>
        <w:pStyle w:val="TableofFigures"/>
        <w:rPr>
          <w:rFonts w:asciiTheme="minorHAnsi" w:hAnsiTheme="minorHAnsi" w:eastAsiaTheme="minorEastAsia" w:cstheme="minorBidi"/>
          <w:noProof/>
          <w:kern w:val="2"/>
          <w14:ligatures w14:val="standardContextual"/>
        </w:rPr>
      </w:pPr>
      <w:hyperlink w:history="1" w:anchor="_Toc192581529">
        <w:r w:rsidRPr="00A4204B" w:rsidR="006E43A6">
          <w:rPr>
            <w:rStyle w:val="Hyperlink"/>
            <w:noProof/>
          </w:rPr>
          <w:t>Table 7. Public Housing Upgrades Total Annual Incremental Electric Savings - Total</w:t>
        </w:r>
        <w:r w:rsidR="006E43A6">
          <w:rPr>
            <w:noProof/>
            <w:webHidden/>
          </w:rPr>
          <w:tab/>
        </w:r>
        <w:r w:rsidR="006E43A6">
          <w:rPr>
            <w:noProof/>
            <w:webHidden/>
          </w:rPr>
          <w:fldChar w:fldCharType="begin"/>
        </w:r>
        <w:r w:rsidR="006E43A6">
          <w:rPr>
            <w:noProof/>
            <w:webHidden/>
          </w:rPr>
          <w:instrText xml:space="preserve"> PAGEREF _Toc192581529 \h </w:instrText>
        </w:r>
        <w:r w:rsidR="006E43A6">
          <w:rPr>
            <w:noProof/>
            <w:webHidden/>
          </w:rPr>
        </w:r>
        <w:r w:rsidR="006E43A6">
          <w:rPr>
            <w:noProof/>
            <w:webHidden/>
          </w:rPr>
          <w:fldChar w:fldCharType="separate"/>
        </w:r>
        <w:r w:rsidR="006E43A6">
          <w:rPr>
            <w:noProof/>
            <w:webHidden/>
          </w:rPr>
          <w:t>7</w:t>
        </w:r>
        <w:r w:rsidR="006E43A6">
          <w:rPr>
            <w:noProof/>
            <w:webHidden/>
          </w:rPr>
          <w:fldChar w:fldCharType="end"/>
        </w:r>
      </w:hyperlink>
    </w:p>
    <w:p w:rsidR="006E43A6" w:rsidRDefault="00B278E9" w14:paraId="0E95BEFF" w14:textId="53DAD086">
      <w:pPr>
        <w:pStyle w:val="TableofFigures"/>
        <w:rPr>
          <w:rFonts w:asciiTheme="minorHAnsi" w:hAnsiTheme="minorHAnsi" w:eastAsiaTheme="minorEastAsia" w:cstheme="minorBidi"/>
          <w:noProof/>
          <w:kern w:val="2"/>
          <w14:ligatures w14:val="standardContextual"/>
        </w:rPr>
      </w:pPr>
      <w:hyperlink w:history="1" w:anchor="_Toc192581530">
        <w:r w:rsidRPr="00A4204B" w:rsidR="006E43A6">
          <w:rPr>
            <w:rStyle w:val="Hyperlink"/>
            <w:noProof/>
          </w:rPr>
          <w:t>Table 8. Public Housing Upgrades CPAS – Electric</w:t>
        </w:r>
        <w:r w:rsidR="006E43A6">
          <w:rPr>
            <w:noProof/>
            <w:webHidden/>
          </w:rPr>
          <w:tab/>
        </w:r>
        <w:r w:rsidR="006E43A6">
          <w:rPr>
            <w:noProof/>
            <w:webHidden/>
          </w:rPr>
          <w:fldChar w:fldCharType="begin"/>
        </w:r>
        <w:r w:rsidR="006E43A6">
          <w:rPr>
            <w:noProof/>
            <w:webHidden/>
          </w:rPr>
          <w:instrText xml:space="preserve"> PAGEREF _Toc192581530 \h </w:instrText>
        </w:r>
        <w:r w:rsidR="006E43A6">
          <w:rPr>
            <w:noProof/>
            <w:webHidden/>
          </w:rPr>
        </w:r>
        <w:r w:rsidR="006E43A6">
          <w:rPr>
            <w:noProof/>
            <w:webHidden/>
          </w:rPr>
          <w:fldChar w:fldCharType="separate"/>
        </w:r>
        <w:r w:rsidR="006E43A6">
          <w:rPr>
            <w:noProof/>
            <w:webHidden/>
          </w:rPr>
          <w:t>9</w:t>
        </w:r>
        <w:r w:rsidR="006E43A6">
          <w:rPr>
            <w:noProof/>
            <w:webHidden/>
          </w:rPr>
          <w:fldChar w:fldCharType="end"/>
        </w:r>
      </w:hyperlink>
    </w:p>
    <w:p w:rsidR="006E43A6" w:rsidRDefault="00B278E9" w14:paraId="21CCFFED" w14:textId="73F97FB7">
      <w:pPr>
        <w:pStyle w:val="TableofFigures"/>
        <w:rPr>
          <w:rFonts w:asciiTheme="minorHAnsi" w:hAnsiTheme="minorHAnsi" w:eastAsiaTheme="minorEastAsia" w:cstheme="minorBidi"/>
          <w:noProof/>
          <w:kern w:val="2"/>
          <w14:ligatures w14:val="standardContextual"/>
        </w:rPr>
      </w:pPr>
      <w:hyperlink w:history="1" w:anchor="_Toc192581531">
        <w:r w:rsidRPr="00A4204B" w:rsidR="006E43A6">
          <w:rPr>
            <w:rStyle w:val="Hyperlink"/>
            <w:noProof/>
          </w:rPr>
          <w:t>Table 9. Public Housing Upgrades CPAS – Other Fuel (Gas + Propane)</w:t>
        </w:r>
        <w:r w:rsidR="006E43A6">
          <w:rPr>
            <w:noProof/>
            <w:webHidden/>
          </w:rPr>
          <w:tab/>
        </w:r>
        <w:r w:rsidR="006E43A6">
          <w:rPr>
            <w:noProof/>
            <w:webHidden/>
          </w:rPr>
          <w:fldChar w:fldCharType="begin"/>
        </w:r>
        <w:r w:rsidR="006E43A6">
          <w:rPr>
            <w:noProof/>
            <w:webHidden/>
          </w:rPr>
          <w:instrText xml:space="preserve"> PAGEREF _Toc192581531 \h </w:instrText>
        </w:r>
        <w:r w:rsidR="006E43A6">
          <w:rPr>
            <w:noProof/>
            <w:webHidden/>
          </w:rPr>
        </w:r>
        <w:r w:rsidR="006E43A6">
          <w:rPr>
            <w:noProof/>
            <w:webHidden/>
          </w:rPr>
          <w:fldChar w:fldCharType="separate"/>
        </w:r>
        <w:r w:rsidR="006E43A6">
          <w:rPr>
            <w:noProof/>
            <w:webHidden/>
          </w:rPr>
          <w:t>9</w:t>
        </w:r>
        <w:r w:rsidR="006E43A6">
          <w:rPr>
            <w:noProof/>
            <w:webHidden/>
          </w:rPr>
          <w:fldChar w:fldCharType="end"/>
        </w:r>
      </w:hyperlink>
    </w:p>
    <w:p w:rsidR="006E43A6" w:rsidRDefault="00B278E9" w14:paraId="5082DEEB" w14:textId="2F5FB155">
      <w:pPr>
        <w:pStyle w:val="TableofFigures"/>
        <w:rPr>
          <w:rFonts w:asciiTheme="minorHAnsi" w:hAnsiTheme="minorHAnsi" w:eastAsiaTheme="minorEastAsia" w:cstheme="minorBidi"/>
          <w:noProof/>
          <w:kern w:val="2"/>
          <w14:ligatures w14:val="standardContextual"/>
        </w:rPr>
      </w:pPr>
      <w:hyperlink w:history="1" w:anchor="_Toc192581532">
        <w:r w:rsidRPr="00A4204B" w:rsidR="006E43A6">
          <w:rPr>
            <w:rStyle w:val="Hyperlink"/>
            <w:noProof/>
          </w:rPr>
          <w:t>Table 10. Public Housing Upgrades CPAS – Total</w:t>
        </w:r>
        <w:r w:rsidR="006E43A6">
          <w:rPr>
            <w:noProof/>
            <w:webHidden/>
          </w:rPr>
          <w:tab/>
        </w:r>
        <w:r w:rsidR="006E43A6">
          <w:rPr>
            <w:noProof/>
            <w:webHidden/>
          </w:rPr>
          <w:fldChar w:fldCharType="begin"/>
        </w:r>
        <w:r w:rsidR="006E43A6">
          <w:rPr>
            <w:noProof/>
            <w:webHidden/>
          </w:rPr>
          <w:instrText xml:space="preserve"> PAGEREF _Toc192581532 \h </w:instrText>
        </w:r>
        <w:r w:rsidR="006E43A6">
          <w:rPr>
            <w:noProof/>
            <w:webHidden/>
          </w:rPr>
        </w:r>
        <w:r w:rsidR="006E43A6">
          <w:rPr>
            <w:noProof/>
            <w:webHidden/>
          </w:rPr>
          <w:fldChar w:fldCharType="separate"/>
        </w:r>
        <w:r w:rsidR="006E43A6">
          <w:rPr>
            <w:noProof/>
            <w:webHidden/>
          </w:rPr>
          <w:t>10</w:t>
        </w:r>
        <w:r w:rsidR="006E43A6">
          <w:rPr>
            <w:noProof/>
            <w:webHidden/>
          </w:rPr>
          <w:fldChar w:fldCharType="end"/>
        </w:r>
      </w:hyperlink>
    </w:p>
    <w:p w:rsidR="006E43A6" w:rsidRDefault="00B278E9" w14:paraId="47AEC393" w14:textId="26B83507">
      <w:pPr>
        <w:pStyle w:val="TableofFigures"/>
        <w:rPr>
          <w:rFonts w:asciiTheme="minorHAnsi" w:hAnsiTheme="minorHAnsi" w:eastAsiaTheme="minorEastAsia" w:cstheme="minorBidi"/>
          <w:noProof/>
          <w:kern w:val="2"/>
          <w14:ligatures w14:val="standardContextual"/>
        </w:rPr>
      </w:pPr>
      <w:hyperlink w:history="1" w:anchor="_Toc192581533">
        <w:r w:rsidRPr="00A4204B" w:rsidR="006E43A6">
          <w:rPr>
            <w:rStyle w:val="Hyperlink"/>
            <w:noProof/>
          </w:rPr>
          <w:t>Table 11. Multifamily Upgrades Excluding Public Housing Total Annual Incremental Electric Savings - Total</w:t>
        </w:r>
        <w:r w:rsidR="006E43A6">
          <w:rPr>
            <w:noProof/>
            <w:webHidden/>
          </w:rPr>
          <w:tab/>
        </w:r>
        <w:r w:rsidR="006E43A6">
          <w:rPr>
            <w:noProof/>
            <w:webHidden/>
          </w:rPr>
          <w:fldChar w:fldCharType="begin"/>
        </w:r>
        <w:r w:rsidR="006E43A6">
          <w:rPr>
            <w:noProof/>
            <w:webHidden/>
          </w:rPr>
          <w:instrText xml:space="preserve"> PAGEREF _Toc192581533 \h </w:instrText>
        </w:r>
        <w:r w:rsidR="006E43A6">
          <w:rPr>
            <w:noProof/>
            <w:webHidden/>
          </w:rPr>
        </w:r>
        <w:r w:rsidR="006E43A6">
          <w:rPr>
            <w:noProof/>
            <w:webHidden/>
          </w:rPr>
          <w:fldChar w:fldCharType="separate"/>
        </w:r>
        <w:r w:rsidR="006E43A6">
          <w:rPr>
            <w:noProof/>
            <w:webHidden/>
          </w:rPr>
          <w:t>11</w:t>
        </w:r>
        <w:r w:rsidR="006E43A6">
          <w:rPr>
            <w:noProof/>
            <w:webHidden/>
          </w:rPr>
          <w:fldChar w:fldCharType="end"/>
        </w:r>
      </w:hyperlink>
    </w:p>
    <w:p w:rsidR="006E43A6" w:rsidRDefault="00B278E9" w14:paraId="1691AEF4" w14:textId="6E9D9533">
      <w:pPr>
        <w:pStyle w:val="TableofFigures"/>
        <w:rPr>
          <w:rFonts w:asciiTheme="minorHAnsi" w:hAnsiTheme="minorHAnsi" w:eastAsiaTheme="minorEastAsia" w:cstheme="minorBidi"/>
          <w:noProof/>
          <w:kern w:val="2"/>
          <w14:ligatures w14:val="standardContextual"/>
        </w:rPr>
      </w:pPr>
      <w:hyperlink w:history="1" w:anchor="_Toc192581534">
        <w:r w:rsidRPr="00A4204B" w:rsidR="006E43A6">
          <w:rPr>
            <w:rStyle w:val="Hyperlink"/>
            <w:noProof/>
          </w:rPr>
          <w:t>Table 12. Multifamily Upgrades Excluding Public Housing Total Annual Incremental Electric Savings – Income Eligible</w:t>
        </w:r>
        <w:r w:rsidR="006E43A6">
          <w:rPr>
            <w:noProof/>
            <w:webHidden/>
          </w:rPr>
          <w:tab/>
        </w:r>
        <w:r w:rsidR="006E43A6">
          <w:rPr>
            <w:noProof/>
            <w:webHidden/>
          </w:rPr>
          <w:fldChar w:fldCharType="begin"/>
        </w:r>
        <w:r w:rsidR="006E43A6">
          <w:rPr>
            <w:noProof/>
            <w:webHidden/>
          </w:rPr>
          <w:instrText xml:space="preserve"> PAGEREF _Toc192581534 \h </w:instrText>
        </w:r>
        <w:r w:rsidR="006E43A6">
          <w:rPr>
            <w:noProof/>
            <w:webHidden/>
          </w:rPr>
        </w:r>
        <w:r w:rsidR="006E43A6">
          <w:rPr>
            <w:noProof/>
            <w:webHidden/>
          </w:rPr>
          <w:fldChar w:fldCharType="separate"/>
        </w:r>
        <w:r w:rsidR="006E43A6">
          <w:rPr>
            <w:noProof/>
            <w:webHidden/>
          </w:rPr>
          <w:t>12</w:t>
        </w:r>
        <w:r w:rsidR="006E43A6">
          <w:rPr>
            <w:noProof/>
            <w:webHidden/>
          </w:rPr>
          <w:fldChar w:fldCharType="end"/>
        </w:r>
      </w:hyperlink>
    </w:p>
    <w:p w:rsidR="006E43A6" w:rsidRDefault="00B278E9" w14:paraId="6DF1843B" w14:textId="5E8ECE3F">
      <w:pPr>
        <w:pStyle w:val="TableofFigures"/>
        <w:rPr>
          <w:rFonts w:asciiTheme="minorHAnsi" w:hAnsiTheme="minorHAnsi" w:eastAsiaTheme="minorEastAsia" w:cstheme="minorBidi"/>
          <w:noProof/>
          <w:kern w:val="2"/>
          <w14:ligatures w14:val="standardContextual"/>
        </w:rPr>
      </w:pPr>
      <w:hyperlink w:history="1" w:anchor="_Toc192581535">
        <w:r w:rsidRPr="00A4204B" w:rsidR="006E43A6">
          <w:rPr>
            <w:rStyle w:val="Hyperlink"/>
            <w:noProof/>
          </w:rPr>
          <w:t>Table 13. Multifamily Upgrades Excluding Public Housing Total Annual Incremental Electric Savings – Non-Income Eligible</w:t>
        </w:r>
        <w:r w:rsidR="006E43A6">
          <w:rPr>
            <w:noProof/>
            <w:webHidden/>
          </w:rPr>
          <w:tab/>
        </w:r>
        <w:r w:rsidR="006E43A6">
          <w:rPr>
            <w:noProof/>
            <w:webHidden/>
          </w:rPr>
          <w:fldChar w:fldCharType="begin"/>
        </w:r>
        <w:r w:rsidR="006E43A6">
          <w:rPr>
            <w:noProof/>
            <w:webHidden/>
          </w:rPr>
          <w:instrText xml:space="preserve"> PAGEREF _Toc192581535 \h </w:instrText>
        </w:r>
        <w:r w:rsidR="006E43A6">
          <w:rPr>
            <w:noProof/>
            <w:webHidden/>
          </w:rPr>
        </w:r>
        <w:r w:rsidR="006E43A6">
          <w:rPr>
            <w:noProof/>
            <w:webHidden/>
          </w:rPr>
          <w:fldChar w:fldCharType="separate"/>
        </w:r>
        <w:r w:rsidR="006E43A6">
          <w:rPr>
            <w:noProof/>
            <w:webHidden/>
          </w:rPr>
          <w:t>12</w:t>
        </w:r>
        <w:r w:rsidR="006E43A6">
          <w:rPr>
            <w:noProof/>
            <w:webHidden/>
          </w:rPr>
          <w:fldChar w:fldCharType="end"/>
        </w:r>
      </w:hyperlink>
    </w:p>
    <w:p w:rsidR="006E43A6" w:rsidRDefault="00B278E9" w14:paraId="656AB11C" w14:textId="4F286953">
      <w:pPr>
        <w:pStyle w:val="TableofFigures"/>
        <w:rPr>
          <w:rFonts w:asciiTheme="minorHAnsi" w:hAnsiTheme="minorHAnsi" w:eastAsiaTheme="minorEastAsia" w:cstheme="minorBidi"/>
          <w:noProof/>
          <w:kern w:val="2"/>
          <w14:ligatures w14:val="standardContextual"/>
        </w:rPr>
      </w:pPr>
      <w:hyperlink w:history="1" w:anchor="_Toc192581536">
        <w:r w:rsidRPr="00A4204B" w:rsidR="006E43A6">
          <w:rPr>
            <w:rStyle w:val="Hyperlink"/>
            <w:noProof/>
          </w:rPr>
          <w:t>Table 14. Multifamily Upgrades Excluding Public Housing CPAS – Electric</w:t>
        </w:r>
        <w:r w:rsidR="006E43A6">
          <w:rPr>
            <w:noProof/>
            <w:webHidden/>
          </w:rPr>
          <w:tab/>
        </w:r>
        <w:r w:rsidR="006E43A6">
          <w:rPr>
            <w:noProof/>
            <w:webHidden/>
          </w:rPr>
          <w:fldChar w:fldCharType="begin"/>
        </w:r>
        <w:r w:rsidR="006E43A6">
          <w:rPr>
            <w:noProof/>
            <w:webHidden/>
          </w:rPr>
          <w:instrText xml:space="preserve"> PAGEREF _Toc192581536 \h </w:instrText>
        </w:r>
        <w:r w:rsidR="006E43A6">
          <w:rPr>
            <w:noProof/>
            <w:webHidden/>
          </w:rPr>
        </w:r>
        <w:r w:rsidR="006E43A6">
          <w:rPr>
            <w:noProof/>
            <w:webHidden/>
          </w:rPr>
          <w:fldChar w:fldCharType="separate"/>
        </w:r>
        <w:r w:rsidR="006E43A6">
          <w:rPr>
            <w:noProof/>
            <w:webHidden/>
          </w:rPr>
          <w:t>14</w:t>
        </w:r>
        <w:r w:rsidR="006E43A6">
          <w:rPr>
            <w:noProof/>
            <w:webHidden/>
          </w:rPr>
          <w:fldChar w:fldCharType="end"/>
        </w:r>
      </w:hyperlink>
    </w:p>
    <w:p w:rsidR="006E43A6" w:rsidRDefault="00B278E9" w14:paraId="49196BBE" w14:textId="17F58D49">
      <w:pPr>
        <w:pStyle w:val="TableofFigures"/>
        <w:rPr>
          <w:rFonts w:asciiTheme="minorHAnsi" w:hAnsiTheme="minorHAnsi" w:eastAsiaTheme="minorEastAsia" w:cstheme="minorBidi"/>
          <w:noProof/>
          <w:kern w:val="2"/>
          <w14:ligatures w14:val="standardContextual"/>
        </w:rPr>
      </w:pPr>
      <w:hyperlink w:history="1" w:anchor="_Toc192581537">
        <w:r w:rsidRPr="00A4204B" w:rsidR="006E43A6">
          <w:rPr>
            <w:rStyle w:val="Hyperlink"/>
            <w:noProof/>
          </w:rPr>
          <w:t>Table 15. Multifamily Upgrades Excluding Public Housing CPAS – Other Fuel (Gas + Propane)</w:t>
        </w:r>
        <w:r w:rsidR="006E43A6">
          <w:rPr>
            <w:noProof/>
            <w:webHidden/>
          </w:rPr>
          <w:tab/>
        </w:r>
        <w:r w:rsidR="006E43A6">
          <w:rPr>
            <w:noProof/>
            <w:webHidden/>
          </w:rPr>
          <w:fldChar w:fldCharType="begin"/>
        </w:r>
        <w:r w:rsidR="006E43A6">
          <w:rPr>
            <w:noProof/>
            <w:webHidden/>
          </w:rPr>
          <w:instrText xml:space="preserve"> PAGEREF _Toc192581537 \h </w:instrText>
        </w:r>
        <w:r w:rsidR="006E43A6">
          <w:rPr>
            <w:noProof/>
            <w:webHidden/>
          </w:rPr>
        </w:r>
        <w:r w:rsidR="006E43A6">
          <w:rPr>
            <w:noProof/>
            <w:webHidden/>
          </w:rPr>
          <w:fldChar w:fldCharType="separate"/>
        </w:r>
        <w:r w:rsidR="006E43A6">
          <w:rPr>
            <w:noProof/>
            <w:webHidden/>
          </w:rPr>
          <w:t>15</w:t>
        </w:r>
        <w:r w:rsidR="006E43A6">
          <w:rPr>
            <w:noProof/>
            <w:webHidden/>
          </w:rPr>
          <w:fldChar w:fldCharType="end"/>
        </w:r>
      </w:hyperlink>
    </w:p>
    <w:p w:rsidR="006E43A6" w:rsidRDefault="00B278E9" w14:paraId="6F47396D" w14:textId="2D486FF9">
      <w:pPr>
        <w:pStyle w:val="TableofFigures"/>
        <w:rPr>
          <w:rFonts w:asciiTheme="minorHAnsi" w:hAnsiTheme="minorHAnsi" w:eastAsiaTheme="minorEastAsia" w:cstheme="minorBidi"/>
          <w:noProof/>
          <w:kern w:val="2"/>
          <w14:ligatures w14:val="standardContextual"/>
        </w:rPr>
      </w:pPr>
      <w:hyperlink w:history="1" w:anchor="_Toc192581538">
        <w:r w:rsidRPr="00A4204B" w:rsidR="006E43A6">
          <w:rPr>
            <w:rStyle w:val="Hyperlink"/>
            <w:noProof/>
          </w:rPr>
          <w:t>Table 16. Multifamily Upgrades Excluding Public Housing CPAS – Total</w:t>
        </w:r>
        <w:r w:rsidR="006E43A6">
          <w:rPr>
            <w:noProof/>
            <w:webHidden/>
          </w:rPr>
          <w:tab/>
        </w:r>
        <w:r w:rsidR="006E43A6">
          <w:rPr>
            <w:noProof/>
            <w:webHidden/>
          </w:rPr>
          <w:fldChar w:fldCharType="begin"/>
        </w:r>
        <w:r w:rsidR="006E43A6">
          <w:rPr>
            <w:noProof/>
            <w:webHidden/>
          </w:rPr>
          <w:instrText xml:space="preserve"> PAGEREF _Toc192581538 \h </w:instrText>
        </w:r>
        <w:r w:rsidR="006E43A6">
          <w:rPr>
            <w:noProof/>
            <w:webHidden/>
          </w:rPr>
        </w:r>
        <w:r w:rsidR="006E43A6">
          <w:rPr>
            <w:noProof/>
            <w:webHidden/>
          </w:rPr>
          <w:fldChar w:fldCharType="separate"/>
        </w:r>
        <w:r w:rsidR="006E43A6">
          <w:rPr>
            <w:noProof/>
            <w:webHidden/>
          </w:rPr>
          <w:t>16</w:t>
        </w:r>
        <w:r w:rsidR="006E43A6">
          <w:rPr>
            <w:noProof/>
            <w:webHidden/>
          </w:rPr>
          <w:fldChar w:fldCharType="end"/>
        </w:r>
      </w:hyperlink>
    </w:p>
    <w:p w:rsidRPr="00452E0F" w:rsidR="007375C6" w:rsidP="00452E0F" w:rsidRDefault="00B278E9" w14:paraId="08C7A920" w14:textId="6F57FECB">
      <w:pPr>
        <w:sectPr w:rsidRPr="00452E0F" w:rsidR="007375C6" w:rsidSect="00471720">
          <w:footerReference w:type="default" r:id="rId22"/>
          <w:pgSz w:w="12240" w:h="15840" w:orient="portrait" w:code="1"/>
          <w:pgMar w:top="1440" w:right="1440" w:bottom="1440" w:left="1440" w:header="720" w:footer="720" w:gutter="0"/>
          <w:pgNumType w:fmt="lowerRoman"/>
          <w:cols w:space="720"/>
          <w:docGrid w:linePitch="360"/>
        </w:sectPr>
      </w:pPr>
      <w:r>
        <w:fldChar w:fldCharType="end"/>
      </w:r>
      <w:bookmarkStart w:name="_Toc151371877" w:id="10"/>
      <w:bookmarkStart w:name="_Toc181693463" w:id="11"/>
      <w:bookmarkStart w:name="_Toc181693484" w:id="12"/>
    </w:p>
    <w:p w:rsidR="00A42EA9" w:rsidP="00A42EA9" w:rsidRDefault="00A42EA9" w14:paraId="29700127" w14:textId="77777777">
      <w:pPr>
        <w:pStyle w:val="Heading10"/>
      </w:pPr>
      <w:bookmarkStart w:name="_Toc192582249" w:id="13"/>
      <w:bookmarkStart w:name="_Toc151976667" w:id="14"/>
      <w:bookmarkEnd w:id="10"/>
      <w:bookmarkEnd w:id="11"/>
      <w:bookmarkEnd w:id="12"/>
      <w:r>
        <w:t>Introduction</w:t>
      </w:r>
      <w:bookmarkEnd w:id="13"/>
    </w:p>
    <w:bookmarkEnd w:id="14"/>
    <w:p w:rsidR="00C609AB" w:rsidP="00065276" w:rsidRDefault="00C609AB" w14:paraId="5D99FB73" w14:textId="49844995">
      <w:pPr>
        <w:pStyle w:val="BodyText"/>
        <w:rPr>
          <w:b w:val="1"/>
          <w:bCs w:val="1"/>
        </w:rPr>
      </w:pPr>
      <w:r w:rsidR="00C609AB">
        <w:rPr/>
        <w:t xml:space="preserve">The </w:t>
      </w:r>
      <w:r w:rsidR="00C609AB">
        <w:rPr/>
        <w:t>Multifamily Upgrades report includes three sections. The Multifamily Upgrades program section provides the combined total of all activities</w:t>
      </w:r>
      <w:r w:rsidR="00BF6C59">
        <w:rPr/>
        <w:t xml:space="preserve">, including the Strategic Energy Management </w:t>
      </w:r>
      <w:r w:rsidR="009D4F0D">
        <w:rPr/>
        <w:t>(also known as Operational Excellence,</w:t>
      </w:r>
      <w:r w:rsidR="00044F6F">
        <w:rPr/>
        <w:t xml:space="preserve"> or</w:t>
      </w:r>
      <w:r w:rsidR="009D4F0D">
        <w:rPr/>
        <w:t xml:space="preserve"> OE)</w:t>
      </w:r>
      <w:r w:rsidR="00044F6F">
        <w:rPr/>
        <w:t xml:space="preserve"> program</w:t>
      </w:r>
      <w:r w:rsidR="00C609AB">
        <w:rPr/>
        <w:t xml:space="preserve">. The Public Housing Upgrades (PH) section details results for this program </w:t>
      </w:r>
      <w:r w:rsidR="00C609AB">
        <w:rPr/>
        <w:t>component</w:t>
      </w:r>
      <w:r w:rsidR="00C609AB">
        <w:rPr/>
        <w:t xml:space="preserve">. The </w:t>
      </w:r>
      <w:r w:rsidR="00C609AB">
        <w:rPr/>
        <w:t>final section</w:t>
      </w:r>
      <w:r w:rsidR="00C609AB">
        <w:rPr/>
        <w:t xml:space="preserve"> presents Multifamily Upgrades program savings excluding the Public Housing Upgrades </w:t>
      </w:r>
      <w:r w:rsidR="00C609AB">
        <w:rPr/>
        <w:t>component</w:t>
      </w:r>
      <w:r w:rsidR="00C609AB">
        <w:rPr/>
        <w:t xml:space="preserve">. </w:t>
      </w:r>
    </w:p>
    <w:p w:rsidRPr="00A42EA9" w:rsidR="00A42EA9" w:rsidP="00C609AB" w:rsidRDefault="00A42EA9" w14:paraId="63327E26" w14:textId="53049903">
      <w:pPr>
        <w:pStyle w:val="Heading10"/>
        <w:spacing w:after="240"/>
      </w:pPr>
      <w:bookmarkStart w:name="_Toc192582250" w:id="19"/>
      <w:bookmarkStart w:name="_Hlk192551113" w:id="20"/>
      <w:r>
        <w:t>Multifamily Upgrades Program</w:t>
      </w:r>
      <w:bookmarkEnd w:id="19"/>
    </w:p>
    <w:p w:rsidRPr="00D42E32" w:rsidR="00A42EA9" w:rsidP="00B068A0" w:rsidRDefault="00A42EA9" w14:paraId="6A4632E9" w14:textId="619340DD">
      <w:pPr>
        <w:pStyle w:val="Heading2"/>
        <w:rPr>
          <w:i w:val="0"/>
          <w:iCs w:val="0"/>
        </w:rPr>
      </w:pPr>
      <w:bookmarkStart w:name="_Toc192582251" w:id="21"/>
      <w:r w:rsidRPr="00D42E32">
        <w:rPr>
          <w:i w:val="0"/>
          <w:iCs w:val="0"/>
        </w:rPr>
        <w:t>Introduction</w:t>
      </w:r>
      <w:bookmarkEnd w:id="21"/>
    </w:p>
    <w:p w:rsidRPr="00C609AB" w:rsidR="007375C6" w:rsidP="00C609AB" w:rsidRDefault="00B278E9" w14:paraId="613EEAD2" w14:textId="1AFB784A">
      <w:pPr>
        <w:pStyle w:val="BodyText"/>
      </w:pPr>
      <w:r w:rsidRPr="00C609AB">
        <w:t>This</w:t>
      </w:r>
      <w:r w:rsidR="00C609AB">
        <w:t xml:space="preserve"> section</w:t>
      </w:r>
      <w:r w:rsidRPr="00C609AB">
        <w:t xml:space="preserve"> presents the results of the impact evaluation of the </w:t>
      </w:r>
      <w:r w:rsidRPr="00C609AB" w:rsidR="00A42EA9">
        <w:t>Multifamily Upgrades</w:t>
      </w:r>
      <w:r w:rsidRPr="00C609AB">
        <w:t xml:space="preserve"> program from the program year from January 1 to December 31, 2024 (CY2024). The program was designed to</w:t>
      </w:r>
      <w:r w:rsidRPr="00C609AB" w:rsidR="00A42EA9">
        <w:t xml:space="preserve"> provide rebates and free energy-savings products for energy efficiency upgrades at both multifamily housing and public housing units.</w:t>
      </w:r>
    </w:p>
    <w:p w:rsidR="00C609AB" w:rsidP="00C609AB" w:rsidRDefault="00C609AB" w14:paraId="70B360B1" w14:textId="77777777">
      <w:pPr>
        <w:pStyle w:val="BodyText"/>
        <w:rPr>
          <w:sz w:val="20"/>
        </w:rPr>
      </w:pPr>
      <w:r w:rsidRPr="00FD762A">
        <w:rPr>
          <w:szCs w:val="22"/>
        </w:rPr>
        <w:t>The program is offered jointly to customers served by ComEd, Nicor Gas, Peoples Gas, and North Shore Gas. The results for the gas utilities will be in separate report</w:t>
      </w:r>
      <w:r>
        <w:rPr>
          <w:szCs w:val="22"/>
        </w:rPr>
        <w:t>s</w:t>
      </w:r>
      <w:r w:rsidRPr="00FD762A">
        <w:rPr>
          <w:szCs w:val="22"/>
        </w:rPr>
        <w:t>.</w:t>
      </w:r>
    </w:p>
    <w:p w:rsidRPr="00D42E32" w:rsidR="007375C6" w:rsidP="00D42E32" w:rsidRDefault="00B278E9" w14:paraId="512F9101" w14:textId="77777777">
      <w:pPr>
        <w:pStyle w:val="Heading2"/>
        <w:rPr>
          <w:i w:val="0"/>
          <w:iCs w:val="0"/>
        </w:rPr>
      </w:pPr>
      <w:bookmarkStart w:name="_Toc151976668" w:id="22"/>
      <w:bookmarkStart w:name="_Toc192582252" w:id="23"/>
      <w:r w:rsidRPr="00D42E32">
        <w:rPr>
          <w:i w:val="0"/>
          <w:iCs w:val="0"/>
        </w:rPr>
        <w:t>Program Savings Detail</w:t>
      </w:r>
      <w:bookmarkEnd w:id="22"/>
      <w:bookmarkEnd w:id="23"/>
    </w:p>
    <w:bookmarkStart w:name="_Hlk117035428" w:id="24"/>
    <w:p w:rsidR="007375C6" w:rsidRDefault="00B278E9" w14:paraId="62A61C5D" w14:textId="236F629C">
      <w:pPr>
        <w:pStyle w:val="BodyText"/>
      </w:pPr>
      <w:r w:rsidRPr="008E2DD7">
        <w:fldChar w:fldCharType="begin"/>
      </w:r>
      <w:r w:rsidRPr="008E2DD7">
        <w:instrText xml:space="preserve"> REF _Ref482008337 \h </w:instrText>
      </w:r>
      <w:r>
        <w:instrText xml:space="preserve"> \* MERGEFORMAT </w:instrText>
      </w:r>
      <w:r w:rsidRPr="008E2DD7">
        <w:fldChar w:fldCharType="separate"/>
      </w:r>
      <w:r w:rsidR="00B278E9">
        <w:rPr/>
        <w:t xml:space="preserve">Table </w:t>
      </w:r>
      <w:r w:rsidR="00B278E9">
        <w:rPr>
          <w:noProof/>
        </w:rPr>
        <w:t>1</w:t>
      </w:r>
      <w:r w:rsidRPr="008E2DD7">
        <w:fldChar w:fldCharType="end"/>
      </w:r>
      <w:bookmarkEnd w:id="24"/>
      <w:r w:rsidRPr="008E2DD7" w:rsidR="00B278E9">
        <w:rPr/>
        <w:t xml:space="preserve"> summarizes the incremental energy and demand savings the </w:t>
      </w:r>
      <w:r w:rsidR="00C609AB">
        <w:rPr/>
        <w:t xml:space="preserve">Multifamily Upgrades </w:t>
      </w:r>
      <w:r w:rsidRPr="008E2DD7" w:rsidR="00B278E9">
        <w:rPr/>
        <w:t>Program achieved in CY202</w:t>
      </w:r>
      <w:r w:rsidR="00B278E9">
        <w:rPr/>
        <w:t>4</w:t>
      </w:r>
      <w:r w:rsidR="00C609AB">
        <w:rPr/>
        <w:t xml:space="preserve">, including the public housing </w:t>
      </w:r>
      <w:r w:rsidR="00C609AB">
        <w:rPr/>
        <w:t>component</w:t>
      </w:r>
      <w:r w:rsidRPr="008E2DD7" w:rsidR="00B278E9">
        <w:rPr/>
        <w:t>. The gas or other fuel savings are only those that ComEd may be able to claim, which excludes savings the gas utilities claim, either via joint or non-joint programs.</w:t>
      </w:r>
      <w:r w:rsidRPr="008E2DD7">
        <w:rPr>
          <w:rStyle w:val="FootnoteReference"/>
        </w:rPr>
        <w:footnoteReference w:id="2"/>
      </w:r>
      <w:r w:rsidRPr="008E2DD7" w:rsidR="00B278E9">
        <w:rPr/>
        <w:t xml:space="preserve"> The electrification savings are those resulting from </w:t>
      </w:r>
      <w:r w:rsidR="00B278E9">
        <w:rPr/>
        <w:t xml:space="preserve">electrification </w:t>
      </w:r>
      <w:r w:rsidRPr="008E2DD7" w:rsidR="00B278E9">
        <w:rPr/>
        <w:t>measures.</w:t>
      </w:r>
      <w:r w:rsidRPr="008E2DD7">
        <w:rPr>
          <w:rStyle w:val="FootnoteReference"/>
        </w:rPr>
        <w:footnoteReference w:id="3"/>
      </w:r>
      <w:r w:rsidRPr="008E2DD7" w:rsidR="00B278E9">
        <w:rPr/>
        <w:t xml:space="preserve"> </w:t>
      </w:r>
      <w:r>
        <w:fldChar w:fldCharType="begin"/>
      </w:r>
      <w:r>
        <w:instrText xml:space="preserve"> REF _Ref187399174 \h </w:instrText>
      </w:r>
      <w:r>
        <w:fldChar w:fldCharType="separate"/>
      </w:r>
      <w:r w:rsidR="00B278E9">
        <w:rPr/>
        <w:t xml:space="preserve">Table </w:t>
      </w:r>
      <w:r w:rsidR="00B278E9">
        <w:rPr>
          <w:noProof/>
        </w:rPr>
        <w:t>2</w:t>
      </w:r>
      <w:r>
        <w:fldChar w:fldCharType="end"/>
      </w:r>
      <w:r w:rsidR="00B278E9">
        <w:rPr/>
        <w:t xml:space="preserve"> </w:t>
      </w:r>
      <w:r w:rsidRPr="008E2DD7" w:rsidR="00B278E9">
        <w:rPr/>
        <w:t xml:space="preserve">summarizes the savings achieved from income </w:t>
      </w:r>
      <w:r w:rsidRPr="008E2DD7" w:rsidR="00B278E9">
        <w:rPr/>
        <w:t xml:space="preserve">eligible participants and </w:t>
      </w:r>
      <w:r w:rsidRPr="008E2DD7">
        <w:fldChar w:fldCharType="begin"/>
      </w:r>
      <w:r w:rsidRPr="008E2DD7">
        <w:instrText xml:space="preserve"> REF _Ref105416959 \h </w:instrText>
      </w:r>
      <w:r>
        <w:instrText xml:space="preserve"> \* MERGEFORMAT </w:instrText>
      </w:r>
      <w:r w:rsidRPr="008E2DD7">
        <w:fldChar w:fldCharType="separate"/>
      </w:r>
      <w:r w:rsidR="00B278E9">
        <w:rPr/>
        <w:t xml:space="preserve">Table </w:t>
      </w:r>
      <w:r w:rsidR="00B278E9">
        <w:rPr>
          <w:noProof/>
        </w:rPr>
        <w:t>3</w:t>
      </w:r>
      <w:r w:rsidRPr="008E2DD7">
        <w:fldChar w:fldCharType="end"/>
      </w:r>
      <w:r w:rsidRPr="008E2DD7" w:rsidR="00B278E9">
        <w:rPr/>
        <w:t xml:space="preserve"> summarizes savings from non-income eligible participants</w:t>
      </w:r>
      <w:r w:rsidR="00B278E9">
        <w:rPr/>
        <w:t>.</w:t>
      </w:r>
      <w:r w:rsidRPr="008E2DD7" w:rsidR="00B278E9">
        <w:rPr/>
        <w:t xml:space="preserve"> </w:t>
      </w:r>
      <w:r w:rsidR="00B278E9">
        <w:rPr/>
        <w:t>T</w:t>
      </w:r>
      <w:r w:rsidRPr="008E2DD7" w:rsidR="00B278E9">
        <w:rPr/>
        <w:t>ogether they make up the total shown in Table 1.</w:t>
      </w:r>
      <w:bookmarkEnd w:id="20"/>
    </w:p>
    <w:p w:rsidR="007375C6" w:rsidRDefault="00B278E9" w14:paraId="05F42E53" w14:textId="1EBA7F67">
      <w:pPr>
        <w:pStyle w:val="Caption"/>
      </w:pPr>
      <w:bookmarkStart w:name="_Ref482008337" w:id="27"/>
      <w:bookmarkStart w:name="_Toc398546653" w:id="28"/>
      <w:bookmarkStart w:name="_Toc423009515" w:id="29"/>
      <w:bookmarkStart w:name="_Toc426278633" w:id="30"/>
      <w:bookmarkStart w:name="_Toc88241752" w:id="31"/>
      <w:bookmarkStart w:name="_Toc159919732" w:id="32"/>
      <w:bookmarkStart w:name="_Toc192581523" w:id="33"/>
      <w:r>
        <w:t xml:space="preserve">Table </w:t>
      </w:r>
      <w:r>
        <w:fldChar w:fldCharType="begin"/>
      </w:r>
      <w:r>
        <w:instrText>SEQ Table \* ARABIC</w:instrText>
      </w:r>
      <w:r>
        <w:fldChar w:fldCharType="separate"/>
      </w:r>
      <w:r w:rsidR="008B6B65">
        <w:rPr>
          <w:noProof/>
        </w:rPr>
        <w:t>1</w:t>
      </w:r>
      <w:r>
        <w:fldChar w:fldCharType="end"/>
      </w:r>
      <w:bookmarkEnd w:id="27"/>
      <w:r w:rsidRPr="00F7087A">
        <w:t xml:space="preserve">. </w:t>
      </w:r>
      <w:r w:rsidR="00C609AB">
        <w:t xml:space="preserve">Multifamily Upgrades </w:t>
      </w:r>
      <w:r w:rsidRPr="00F7087A">
        <w:t>Total Annual Incremen</w:t>
      </w:r>
      <w:r>
        <w:t>t</w:t>
      </w:r>
      <w:r w:rsidRPr="00F7087A">
        <w:t>al Electric Savings</w:t>
      </w:r>
      <w:bookmarkEnd w:id="28"/>
      <w:bookmarkEnd w:id="29"/>
      <w:bookmarkEnd w:id="30"/>
      <w:bookmarkEnd w:id="31"/>
      <w:r>
        <w:t xml:space="preserve"> - Total</w:t>
      </w:r>
      <w:bookmarkStart w:name="Table_1" w:id="34"/>
      <w:bookmarkEnd w:id="32"/>
      <w:bookmarkEnd w:id="33"/>
      <w:bookmarkEnd w:id="34"/>
    </w:p>
    <w:tbl>
      <w:tblPr>
        <w:tblW w:w="0" w:type="pct"/>
        <w:jc w:val="center"/>
        <w:tblLook w:val="0420" w:firstRow="1" w:lastRow="0" w:firstColumn="0" w:lastColumn="0" w:noHBand="0" w:noVBand="1"/>
      </w:tblPr>
      <w:tblGrid>
        <w:gridCol w:w="1883"/>
        <w:gridCol w:w="326"/>
        <w:gridCol w:w="909"/>
        <w:gridCol w:w="1036"/>
        <w:gridCol w:w="905"/>
        <w:gridCol w:w="1503"/>
        <w:gridCol w:w="962"/>
        <w:gridCol w:w="962"/>
        <w:gridCol w:w="874"/>
      </w:tblGrid>
      <w:tr w:rsidR="002343CF" w:rsidTr="3B7AF982" w14:paraId="584D2260" w14:textId="77777777">
        <w:trPr>
          <w:tblHeader/>
          <w:jc w:val="center"/>
        </w:trPr>
        <w:tc>
          <w:tcPr>
            <w:tcW w:w="0" w:type="auto"/>
            <w:tcBorders>
              <w:top w:val="single" w:color="036479" w:themeColor="text2" w:sz="8" w:space="0"/>
              <w:left w:val="none" w:color="000000" w:sz="0" w:space="0"/>
              <w:bottom w:val="single" w:color="93D500" w:themeColor="accent1" w:sz="16" w:space="0"/>
              <w:right w:val="none" w:color="000000" w:sz="0" w:space="0"/>
            </w:tcBorders>
            <w:shd w:val="clear" w:color="auto" w:fill="036479" w:themeFill="text2"/>
            <w:tcMar>
              <w:top w:w="0" w:type="dxa"/>
              <w:left w:w="0" w:type="dxa"/>
              <w:bottom w:w="0" w:type="dxa"/>
              <w:right w:w="0" w:type="dxa"/>
            </w:tcMar>
            <w:vAlign w:val="center"/>
          </w:tcPr>
          <w:p w:rsidR="002343CF" w:rsidRDefault="00B278E9" w14:paraId="42C3721D"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0" w:type="auto"/>
            <w:tcBorders>
              <w:top w:val="single" w:color="036479" w:themeColor="text2" w:sz="8" w:space="0"/>
              <w:left w:val="none" w:color="000000" w:sz="0" w:space="0"/>
              <w:bottom w:val="single" w:color="93D500" w:themeColor="accent1" w:sz="16" w:space="0"/>
              <w:right w:val="none" w:color="000000" w:sz="0" w:space="0"/>
            </w:tcBorders>
            <w:shd w:val="clear" w:color="auto" w:fill="036479" w:themeFill="text2"/>
            <w:tcMar>
              <w:top w:w="0" w:type="dxa"/>
              <w:left w:w="0" w:type="dxa"/>
              <w:bottom w:w="0" w:type="dxa"/>
              <w:right w:w="0" w:type="dxa"/>
            </w:tcMar>
            <w:vAlign w:val="center"/>
          </w:tcPr>
          <w:p w:rsidR="002343CF" w:rsidRDefault="00B278E9" w14:paraId="5EFD9375"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Units</w:t>
            </w:r>
          </w:p>
        </w:tc>
        <w:tc>
          <w:tcPr>
            <w:tcW w:w="0" w:type="auto"/>
            <w:tcBorders>
              <w:top w:val="single" w:color="036479" w:themeColor="text2" w:sz="8" w:space="0"/>
              <w:left w:val="none" w:color="000000" w:sz="0" w:space="0"/>
              <w:bottom w:val="single" w:color="93D500" w:themeColor="accent1" w:sz="16" w:space="0"/>
              <w:right w:val="none" w:color="000000" w:sz="0" w:space="0"/>
            </w:tcBorders>
            <w:shd w:val="clear" w:color="auto" w:fill="036479" w:themeFill="text2"/>
            <w:tcMar>
              <w:top w:w="0" w:type="dxa"/>
              <w:left w:w="0" w:type="dxa"/>
              <w:bottom w:w="0" w:type="dxa"/>
              <w:right w:w="0" w:type="dxa"/>
            </w:tcMar>
            <w:vAlign w:val="center"/>
          </w:tcPr>
          <w:p w:rsidR="002343CF" w:rsidRDefault="00B278E9" w14:paraId="410ECFF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Ex Ante Gross Savings*</w:t>
            </w:r>
          </w:p>
        </w:tc>
        <w:tc>
          <w:tcPr>
            <w:tcW w:w="0" w:type="auto"/>
            <w:tcBorders>
              <w:top w:val="single" w:color="036479" w:themeColor="text2" w:sz="8" w:space="0"/>
              <w:left w:val="none" w:color="000000" w:sz="0" w:space="0"/>
              <w:bottom w:val="single" w:color="93D500" w:themeColor="accent1" w:sz="16" w:space="0"/>
              <w:right w:val="none" w:color="000000" w:sz="0" w:space="0"/>
            </w:tcBorders>
            <w:shd w:val="clear" w:color="auto" w:fill="036479" w:themeFill="text2"/>
            <w:tcMar>
              <w:top w:w="0" w:type="dxa"/>
              <w:left w:w="0" w:type="dxa"/>
              <w:bottom w:w="0" w:type="dxa"/>
              <w:right w:w="0" w:type="dxa"/>
            </w:tcMar>
            <w:vAlign w:val="center"/>
          </w:tcPr>
          <w:p w:rsidR="002343CF" w:rsidRDefault="00B278E9" w14:paraId="704BFB4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Program Gross Realization Rate</w:t>
            </w:r>
          </w:p>
        </w:tc>
        <w:tc>
          <w:tcPr>
            <w:tcW w:w="0" w:type="auto"/>
            <w:tcBorders>
              <w:top w:val="single" w:color="036479" w:themeColor="text2" w:sz="8" w:space="0"/>
              <w:left w:val="none" w:color="000000" w:sz="0" w:space="0"/>
              <w:bottom w:val="single" w:color="93D500" w:themeColor="accent1" w:sz="16" w:space="0"/>
              <w:right w:val="none" w:color="000000" w:sz="0" w:space="0"/>
            </w:tcBorders>
            <w:shd w:val="clear" w:color="auto" w:fill="036479" w:themeFill="text2"/>
            <w:tcMar>
              <w:top w:w="0" w:type="dxa"/>
              <w:left w:w="0" w:type="dxa"/>
              <w:bottom w:w="0" w:type="dxa"/>
              <w:right w:w="0" w:type="dxa"/>
            </w:tcMar>
            <w:vAlign w:val="center"/>
          </w:tcPr>
          <w:p w:rsidR="002343CF" w:rsidRDefault="00B278E9" w14:paraId="2DF3015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Verified Gross Savings*</w:t>
            </w:r>
          </w:p>
        </w:tc>
        <w:tc>
          <w:tcPr>
            <w:tcW w:w="0" w:type="auto"/>
            <w:tcBorders>
              <w:top w:val="single" w:color="036479" w:themeColor="text2" w:sz="8" w:space="0"/>
              <w:left w:val="none" w:color="000000" w:sz="0" w:space="0"/>
              <w:bottom w:val="single" w:color="93D500" w:themeColor="accent1" w:sz="16" w:space="0"/>
              <w:right w:val="none" w:color="000000" w:sz="0" w:space="0"/>
            </w:tcBorders>
            <w:shd w:val="clear" w:color="auto" w:fill="036479" w:themeFill="text2"/>
            <w:tcMar>
              <w:top w:w="0" w:type="dxa"/>
              <w:left w:w="0" w:type="dxa"/>
              <w:bottom w:w="0" w:type="dxa"/>
              <w:right w:w="0" w:type="dxa"/>
            </w:tcMar>
            <w:vAlign w:val="center"/>
          </w:tcPr>
          <w:p w:rsidR="002343CF" w:rsidP="3B7AF982" w:rsidRDefault="00B278E9" w14:paraId="5E877C3C" w14:textId="7922057E">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sidRPr="3B7AF982" w:rsidR="00B278E9">
              <w:rPr>
                <w:rFonts w:ascii="Arial" w:hAnsi="DejaVu Sans" w:eastAsia="DejaVu Sans" w:cs="DejaVu Sans"/>
                <w:color w:val="FFFFFF"/>
                <w:sz w:val="14"/>
                <w:szCs w:val="14"/>
              </w:rPr>
              <w:t xml:space="preserve">Program </w:t>
            </w:r>
            <w:r w:rsidRPr="3B7AF982" w:rsidR="00B278E9">
              <w:rPr>
                <w:rFonts w:ascii="Arial" w:hAnsi="DejaVu Sans" w:eastAsia="DejaVu Sans" w:cs="DejaVu Sans"/>
                <w:color w:val="FFFFFF"/>
                <w:sz w:val="14"/>
                <w:szCs w:val="14"/>
              </w:rPr>
              <w:t>Net-to-Gross Ratio (NTG)</w:t>
            </w:r>
          </w:p>
        </w:tc>
        <w:tc>
          <w:tcPr>
            <w:tcW w:w="0" w:type="auto"/>
            <w:tcBorders>
              <w:top w:val="single" w:color="036479" w:themeColor="text2" w:sz="8" w:space="0"/>
              <w:left w:val="none" w:color="000000" w:sz="0" w:space="0"/>
              <w:bottom w:val="single" w:color="93D500" w:themeColor="accent1" w:sz="16" w:space="0"/>
              <w:right w:val="none" w:color="000000" w:sz="0" w:space="0"/>
            </w:tcBorders>
            <w:shd w:val="clear" w:color="auto" w:fill="036479" w:themeFill="text2"/>
            <w:tcMar>
              <w:top w:w="0" w:type="dxa"/>
              <w:left w:w="0" w:type="dxa"/>
              <w:bottom w:w="0" w:type="dxa"/>
              <w:right w:w="0" w:type="dxa"/>
            </w:tcMar>
            <w:vAlign w:val="center"/>
          </w:tcPr>
          <w:p w:rsidR="002343CF" w:rsidRDefault="00B278E9" w14:paraId="0EB5FFE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CY2022 Net Carryover Savings</w:t>
            </w:r>
          </w:p>
        </w:tc>
        <w:tc>
          <w:tcPr>
            <w:tcW w:w="0" w:type="auto"/>
            <w:tcBorders>
              <w:top w:val="single" w:color="036479" w:themeColor="text2" w:sz="8" w:space="0"/>
              <w:left w:val="none" w:color="000000" w:sz="0" w:space="0"/>
              <w:bottom w:val="single" w:color="93D500" w:themeColor="accent1" w:sz="16" w:space="0"/>
              <w:right w:val="none" w:color="000000" w:sz="0" w:space="0"/>
            </w:tcBorders>
            <w:shd w:val="clear" w:color="auto" w:fill="036479" w:themeFill="text2"/>
            <w:tcMar>
              <w:top w:w="0" w:type="dxa"/>
              <w:left w:w="0" w:type="dxa"/>
              <w:bottom w:w="0" w:type="dxa"/>
              <w:right w:w="0" w:type="dxa"/>
            </w:tcMar>
            <w:vAlign w:val="center"/>
          </w:tcPr>
          <w:p w:rsidR="002343CF" w:rsidRDefault="00B278E9" w14:paraId="7726652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CY2023 Net Carryover Savings</w:t>
            </w:r>
          </w:p>
        </w:tc>
        <w:tc>
          <w:tcPr>
            <w:tcW w:w="0" w:type="auto"/>
            <w:tcBorders>
              <w:top w:val="single" w:color="036479" w:themeColor="text2" w:sz="8" w:space="0"/>
              <w:left w:val="none" w:color="000000" w:sz="0" w:space="0"/>
              <w:bottom w:val="single" w:color="93D500" w:themeColor="accent1" w:sz="16" w:space="0"/>
              <w:right w:val="none" w:color="000000" w:sz="0" w:space="0"/>
            </w:tcBorders>
            <w:shd w:val="clear" w:color="auto" w:fill="036479" w:themeFill="text2"/>
            <w:tcMar>
              <w:top w:w="0" w:type="dxa"/>
              <w:left w:w="0" w:type="dxa"/>
              <w:bottom w:w="0" w:type="dxa"/>
              <w:right w:w="0" w:type="dxa"/>
            </w:tcMar>
            <w:vAlign w:val="center"/>
          </w:tcPr>
          <w:p w:rsidR="002343CF" w:rsidRDefault="00B278E9" w14:paraId="17028FA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Verified Net Savings</w:t>
            </w:r>
            <w:r>
              <w:rPr>
                <w:rFonts w:ascii="Arial" w:hAnsi="DejaVu Sans" w:eastAsia="DejaVu Sans" w:cs="DejaVu Sans"/>
                <w:color w:val="FFFFFF"/>
                <w:sz w:val="14"/>
                <w:szCs w:val="14"/>
              </w:rPr>
              <w:t>†</w:t>
            </w:r>
          </w:p>
        </w:tc>
      </w:tr>
      <w:tr w:rsidR="002343CF" w:rsidTr="3B7AF982" w14:paraId="6AEC40BB" w14:textId="77777777">
        <w:trPr>
          <w:jc w:val="center"/>
        </w:trPr>
        <w:tc>
          <w:tcPr>
            <w:tcW w:w="0" w:type="auto"/>
            <w:tcBorders>
              <w:top w:val="single" w:color="93D500" w:themeColor="accent1" w:sz="16"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222CA5A0"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Electric Energy Savings - Direct</w:t>
            </w:r>
            <w:r>
              <w:rPr>
                <w:rFonts w:ascii="Arial" w:hAnsi="DejaVu Sans" w:eastAsia="DejaVu Sans" w:cs="DejaVu Sans"/>
                <w:color w:val="000000"/>
                <w:sz w:val="14"/>
                <w:szCs w:val="14"/>
              </w:rPr>
              <w:t>‡</w:t>
            </w:r>
          </w:p>
        </w:tc>
        <w:tc>
          <w:tcPr>
            <w:tcW w:w="0" w:type="auto"/>
            <w:tcBorders>
              <w:top w:val="single" w:color="93D500" w:themeColor="accent1" w:sz="16"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25DAC26B"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93D500" w:themeColor="accent1" w:sz="16"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54614DC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36,306,569</w:t>
            </w:r>
          </w:p>
        </w:tc>
        <w:tc>
          <w:tcPr>
            <w:tcW w:w="0" w:type="auto"/>
            <w:tcBorders>
              <w:top w:val="single" w:color="93D500" w:themeColor="accent1" w:sz="16"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33F27D87" w14:textId="7882A5B3">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0.8</w:t>
            </w:r>
            <w:r w:rsidR="00963DCC">
              <w:rPr>
                <w:rFonts w:ascii="Arial" w:hAnsi="DejaVu Sans" w:eastAsia="DejaVu Sans" w:cs="DejaVu Sans"/>
                <w:color w:val="000000"/>
                <w:sz w:val="14"/>
                <w:szCs w:val="14"/>
              </w:rPr>
              <w:t>8</w:t>
            </w:r>
          </w:p>
        </w:tc>
        <w:tc>
          <w:tcPr>
            <w:tcW w:w="0" w:type="auto"/>
            <w:tcBorders>
              <w:top w:val="single" w:color="93D500" w:themeColor="accent1" w:sz="16"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78C6658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31,949,088</w:t>
            </w:r>
          </w:p>
        </w:tc>
        <w:tc>
          <w:tcPr>
            <w:tcW w:w="0" w:type="auto"/>
            <w:tcBorders>
              <w:top w:val="single" w:color="93D500" w:themeColor="accent1" w:sz="16"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71249D" w14:paraId="6E31E2CD" w14:textId="471BCC52">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0.98</w:t>
            </w:r>
          </w:p>
        </w:tc>
        <w:tc>
          <w:tcPr>
            <w:tcW w:w="0" w:type="auto"/>
            <w:tcBorders>
              <w:top w:val="single" w:color="93D500" w:themeColor="accent1" w:sz="16"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0AD6CEE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93D500" w:themeColor="accent1" w:sz="16"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6DCD4F0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93D500" w:themeColor="accent1" w:sz="16"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785EE10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31,246,884</w:t>
            </w:r>
          </w:p>
        </w:tc>
      </w:tr>
      <w:tr w:rsidR="002343CF" w:rsidTr="3B7AF982" w14:paraId="42B5F36A" w14:textId="77777777">
        <w:trPr>
          <w:jc w:val="center"/>
        </w:trPr>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047C28C5"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 xml:space="preserve">Electric Energy Savings -  </w:t>
            </w:r>
            <w:r>
              <w:rPr>
                <w:rFonts w:ascii="Arial" w:hAnsi="DejaVu Sans" w:eastAsia="DejaVu Sans" w:cs="DejaVu Sans"/>
                <w:color w:val="000000"/>
                <w:sz w:val="14"/>
                <w:szCs w:val="14"/>
              </w:rPr>
              <w:br/>
            </w:r>
            <w:r>
              <w:rPr>
                <w:rFonts w:ascii="Arial" w:hAnsi="DejaVu Sans" w:eastAsia="DejaVu Sans" w:cs="DejaVu Sans"/>
                <w:color w:val="000000"/>
                <w:sz w:val="14"/>
                <w:szCs w:val="14"/>
              </w:rPr>
              <w:t>Converted from Other Fuel</w:t>
            </w:r>
            <w:r>
              <w:rPr>
                <w:rFonts w:ascii="Arial" w:hAnsi="DejaVu Sans" w:eastAsia="DejaVu Sans" w:cs="DejaVu Sans"/>
                <w:color w:val="000000"/>
                <w:sz w:val="14"/>
                <w:szCs w:val="14"/>
              </w:rPr>
              <w:t>§</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2A34B129"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427D301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17,916,108</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57AA8CB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1.07</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44E42DD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19,135,665</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00BEFB7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39C1580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495AB19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375B401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19,135,665</w:t>
            </w:r>
          </w:p>
        </w:tc>
      </w:tr>
      <w:tr w:rsidR="002343CF" w:rsidTr="3B7AF982" w14:paraId="424C55D2" w14:textId="77777777">
        <w:trPr>
          <w:jc w:val="center"/>
        </w:trPr>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59481388" w14:textId="63797D2E">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Electric Energy Savings - Indirect from Electrification (electrification baseline)||</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3D222312"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61A83B2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0DF1802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04CD911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5D42DE3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6952CD4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289AD21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567ADBB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r>
      <w:tr w:rsidR="002343CF" w:rsidTr="3B7AF982" w14:paraId="5B2E4EE4" w14:textId="77777777">
        <w:trPr>
          <w:jc w:val="center"/>
        </w:trPr>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05853EAC" w14:textId="261097E1">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Electric Energy Savings - Indirect from Electrification (efficiency baseline)||</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63C1F6BE"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2323C1F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2DD4427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4306E27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7A2AC62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56006E4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6992945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3751E0E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r>
      <w:tr w:rsidR="002343CF" w:rsidTr="3B7AF982" w14:paraId="7E823F7A" w14:textId="77777777">
        <w:trPr>
          <w:jc w:val="center"/>
        </w:trPr>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1A957186"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Total Electric Energy Savings#</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7230DC59"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578224C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54,222,677</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36CA26EF" w14:textId="107A4F3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0.9</w:t>
            </w:r>
            <w:r w:rsidR="00963DCC">
              <w:rPr>
                <w:rFonts w:ascii="Arial" w:hAnsi="DejaVu Sans" w:eastAsia="DejaVu Sans" w:cs="DejaVu Sans"/>
                <w:color w:val="000000"/>
                <w:sz w:val="14"/>
                <w:szCs w:val="14"/>
              </w:rPr>
              <w:t>4</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0444789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51,084,752</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AD7B3A" w14:paraId="51D3038F" w14:textId="3F3DBA43">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0.99</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273C627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529A16B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7C66601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50,382,549</w:t>
            </w:r>
          </w:p>
        </w:tc>
      </w:tr>
      <w:tr w:rsidR="002343CF" w:rsidTr="3B7AF982" w14:paraId="2B65F42F" w14:textId="77777777">
        <w:trPr>
          <w:jc w:val="center"/>
        </w:trPr>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65CA30C4"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 xml:space="preserve">Total Electric Energy Savings  </w:t>
            </w:r>
            <w:r>
              <w:rPr>
                <w:rFonts w:ascii="Arial" w:hAnsi="DejaVu Sans" w:eastAsia="DejaVu Sans" w:cs="DejaVu Sans"/>
                <w:color w:val="000000"/>
                <w:sz w:val="14"/>
                <w:szCs w:val="14"/>
              </w:rPr>
              <w:br/>
            </w:r>
            <w:r>
              <w:rPr>
                <w:rFonts w:ascii="Arial" w:hAnsi="DejaVu Sans" w:eastAsia="DejaVu Sans" w:cs="DejaVu Sans"/>
                <w:color w:val="000000"/>
                <w:sz w:val="14"/>
                <w:szCs w:val="14"/>
              </w:rPr>
              <w:t>Including Carryover#</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18BDBC60"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41F07B4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54,222,677</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41B71D4D" w14:textId="3E1F688B">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0.9</w:t>
            </w:r>
            <w:r w:rsidR="00963DCC">
              <w:rPr>
                <w:rFonts w:ascii="Arial" w:hAnsi="DejaVu Sans" w:eastAsia="DejaVu Sans" w:cs="DejaVu Sans"/>
                <w:color w:val="000000"/>
                <w:sz w:val="14"/>
                <w:szCs w:val="14"/>
              </w:rPr>
              <w:t>4</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28EBF52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51,084,752</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AD7B3A" w14:paraId="7F27CAE0" w14:textId="55FA6BEB">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0.99</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349EF60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5152222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56F5B67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50,382,549</w:t>
            </w:r>
          </w:p>
        </w:tc>
      </w:tr>
      <w:tr w:rsidR="002343CF" w:rsidTr="3B7AF982" w14:paraId="69D6D20E" w14:textId="77777777">
        <w:trPr>
          <w:jc w:val="center"/>
        </w:trPr>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015579B5"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Summer Peak*</w:t>
            </w:r>
            <w:r>
              <w:rPr>
                <w:rFonts w:ascii="Arial" w:hAnsi="DejaVu Sans" w:eastAsia="DejaVu Sans" w:cs="DejaVu Sans"/>
                <w:color w:val="000000"/>
                <w:sz w:val="14"/>
                <w:szCs w:val="14"/>
              </w:rPr>
              <w:t>†</w:t>
            </w:r>
            <w:r>
              <w:rPr>
                <w:rFonts w:ascii="Arial" w:hAnsi="DejaVu Sans" w:eastAsia="DejaVu Sans" w:cs="DejaVu Sans"/>
                <w:color w:val="000000"/>
                <w:sz w:val="14"/>
                <w:szCs w:val="14"/>
              </w:rPr>
              <w:t xml:space="preserve"> Demand Savings</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472AC4EF"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kW</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4ED1D6C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6,004</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632A2A79" w14:textId="030B04E5">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0.7</w:t>
            </w:r>
            <w:r w:rsidR="00963DCC">
              <w:rPr>
                <w:rFonts w:ascii="Arial" w:hAnsi="DejaVu Sans" w:eastAsia="DejaVu Sans" w:cs="DejaVu Sans"/>
                <w:color w:val="000000"/>
                <w:sz w:val="14"/>
                <w:szCs w:val="14"/>
              </w:rPr>
              <w:t>9</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63AC400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4,768</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FF44F8" w14:paraId="6221C8E6" w14:textId="58C77598">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0.98</w:t>
            </w: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452516C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3AE736A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5329135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4,686</w:t>
            </w:r>
          </w:p>
        </w:tc>
      </w:tr>
      <w:tr w:rsidR="002343CF" w:rsidTr="3B7AF982" w14:paraId="5601D9E5" w14:textId="77777777">
        <w:trPr>
          <w:jc w:val="center"/>
        </w:trPr>
        <w:tc>
          <w:tcPr>
            <w:tcW w:w="0" w:type="auto"/>
            <w:tcBorders>
              <w:top w:val="single" w:color="B3EFFD" w:themeColor="accent4" w:themeTint="33" w:sz="8" w:space="0"/>
              <w:left w:val="none" w:color="000000" w:sz="0" w:space="0"/>
              <w:bottom w:val="single" w:color="036479" w:themeColor="text2" w:sz="16" w:space="0"/>
              <w:right w:val="none" w:color="000000" w:sz="0" w:space="0"/>
            </w:tcBorders>
            <w:shd w:val="clear" w:color="auto" w:fill="FFFFFF"/>
            <w:tcMar>
              <w:top w:w="0" w:type="dxa"/>
              <w:left w:w="0" w:type="dxa"/>
              <w:bottom w:w="0" w:type="dxa"/>
              <w:right w:w="0" w:type="dxa"/>
            </w:tcMar>
            <w:vAlign w:val="center"/>
          </w:tcPr>
          <w:p w:rsidR="002343CF" w:rsidRDefault="00B278E9" w14:paraId="714555CC" w14:textId="48DC98CA">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Summer Peak*</w:t>
            </w:r>
            <w:r>
              <w:rPr>
                <w:rFonts w:ascii="Arial" w:hAnsi="DejaVu Sans" w:eastAsia="DejaVu Sans" w:cs="DejaVu Sans"/>
                <w:color w:val="000000"/>
                <w:sz w:val="14"/>
                <w:szCs w:val="14"/>
              </w:rPr>
              <w:t>†</w:t>
            </w:r>
            <w:r>
              <w:rPr>
                <w:rFonts w:ascii="Arial" w:hAnsi="DejaVu Sans" w:eastAsia="DejaVu Sans" w:cs="DejaVu Sans"/>
                <w:color w:val="000000"/>
                <w:sz w:val="14"/>
                <w:szCs w:val="14"/>
              </w:rPr>
              <w:t xml:space="preserve"> Demand Savings Including Carryover</w:t>
            </w:r>
          </w:p>
        </w:tc>
        <w:tc>
          <w:tcPr>
            <w:tcW w:w="0" w:type="auto"/>
            <w:tcBorders>
              <w:top w:val="single" w:color="B3EFFD" w:themeColor="accent4" w:themeTint="33" w:sz="8" w:space="0"/>
              <w:left w:val="none" w:color="000000" w:sz="0" w:space="0"/>
              <w:bottom w:val="single" w:color="036479" w:themeColor="text2" w:sz="16" w:space="0"/>
              <w:right w:val="none" w:color="000000" w:sz="0" w:space="0"/>
            </w:tcBorders>
            <w:shd w:val="clear" w:color="auto" w:fill="FFFFFF"/>
            <w:tcMar>
              <w:top w:w="0" w:type="dxa"/>
              <w:left w:w="0" w:type="dxa"/>
              <w:bottom w:w="0" w:type="dxa"/>
              <w:right w:w="0" w:type="dxa"/>
            </w:tcMar>
            <w:vAlign w:val="center"/>
          </w:tcPr>
          <w:p w:rsidR="002343CF" w:rsidRDefault="00B278E9" w14:paraId="0BF976D6"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kW</w:t>
            </w:r>
          </w:p>
        </w:tc>
        <w:tc>
          <w:tcPr>
            <w:tcW w:w="0" w:type="auto"/>
            <w:tcBorders>
              <w:top w:val="single" w:color="B3EFFD" w:themeColor="accent4" w:themeTint="33" w:sz="8" w:space="0"/>
              <w:left w:val="none" w:color="000000" w:sz="0" w:space="0"/>
              <w:bottom w:val="single" w:color="036479" w:themeColor="text2" w:sz="16" w:space="0"/>
              <w:right w:val="none" w:color="000000" w:sz="0" w:space="0"/>
            </w:tcBorders>
            <w:shd w:val="clear" w:color="auto" w:fill="FFFFFF"/>
            <w:tcMar>
              <w:top w:w="0" w:type="dxa"/>
              <w:left w:w="0" w:type="dxa"/>
              <w:bottom w:w="0" w:type="dxa"/>
              <w:right w:w="0" w:type="dxa"/>
            </w:tcMar>
            <w:vAlign w:val="center"/>
          </w:tcPr>
          <w:p w:rsidR="002343CF" w:rsidRDefault="00B278E9" w14:paraId="7C50AFC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6,004</w:t>
            </w:r>
          </w:p>
        </w:tc>
        <w:tc>
          <w:tcPr>
            <w:tcW w:w="0" w:type="auto"/>
            <w:tcBorders>
              <w:top w:val="single" w:color="B3EFFD" w:themeColor="accent4" w:themeTint="33" w:sz="8" w:space="0"/>
              <w:left w:val="none" w:color="000000" w:sz="0" w:space="0"/>
              <w:bottom w:val="single" w:color="036479" w:themeColor="text2" w:sz="16" w:space="0"/>
              <w:right w:val="none" w:color="000000" w:sz="0" w:space="0"/>
            </w:tcBorders>
            <w:shd w:val="clear" w:color="auto" w:fill="FFFFFF"/>
            <w:tcMar>
              <w:top w:w="0" w:type="dxa"/>
              <w:left w:w="0" w:type="dxa"/>
              <w:bottom w:w="0" w:type="dxa"/>
              <w:right w:w="0" w:type="dxa"/>
            </w:tcMar>
            <w:vAlign w:val="center"/>
          </w:tcPr>
          <w:p w:rsidR="002343CF" w:rsidRDefault="00B278E9" w14:paraId="3E75574A" w14:textId="76F72F18">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0.7</w:t>
            </w:r>
            <w:r w:rsidR="00963DCC">
              <w:rPr>
                <w:rFonts w:ascii="Arial" w:hAnsi="DejaVu Sans" w:eastAsia="DejaVu Sans" w:cs="DejaVu Sans"/>
                <w:color w:val="000000"/>
                <w:sz w:val="14"/>
                <w:szCs w:val="14"/>
              </w:rPr>
              <w:t>9</w:t>
            </w:r>
          </w:p>
        </w:tc>
        <w:tc>
          <w:tcPr>
            <w:tcW w:w="0" w:type="auto"/>
            <w:tcBorders>
              <w:top w:val="single" w:color="B3EFFD" w:themeColor="accent4" w:themeTint="33" w:sz="8" w:space="0"/>
              <w:left w:val="none" w:color="000000" w:sz="0" w:space="0"/>
              <w:bottom w:val="single" w:color="036479" w:themeColor="text2" w:sz="16" w:space="0"/>
              <w:right w:val="none" w:color="000000" w:sz="0" w:space="0"/>
            </w:tcBorders>
            <w:shd w:val="clear" w:color="auto" w:fill="FFFFFF"/>
            <w:tcMar>
              <w:top w:w="0" w:type="dxa"/>
              <w:left w:w="0" w:type="dxa"/>
              <w:bottom w:w="0" w:type="dxa"/>
              <w:right w:w="0" w:type="dxa"/>
            </w:tcMar>
            <w:vAlign w:val="center"/>
          </w:tcPr>
          <w:p w:rsidR="002343CF" w:rsidRDefault="00B278E9" w14:paraId="36A289A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4,768</w:t>
            </w:r>
          </w:p>
        </w:tc>
        <w:tc>
          <w:tcPr>
            <w:tcW w:w="0" w:type="auto"/>
            <w:tcBorders>
              <w:top w:val="single" w:color="B3EFFD" w:themeColor="accent4" w:themeTint="33" w:sz="8" w:space="0"/>
              <w:left w:val="none" w:color="000000" w:sz="0" w:space="0"/>
              <w:bottom w:val="single" w:color="036479" w:themeColor="text2" w:sz="16" w:space="0"/>
              <w:right w:val="none" w:color="000000" w:sz="0" w:space="0"/>
            </w:tcBorders>
            <w:shd w:val="clear" w:color="auto" w:fill="FFFFFF"/>
            <w:tcMar>
              <w:top w:w="0" w:type="dxa"/>
              <w:left w:w="0" w:type="dxa"/>
              <w:bottom w:w="0" w:type="dxa"/>
              <w:right w:w="0" w:type="dxa"/>
            </w:tcMar>
            <w:vAlign w:val="center"/>
          </w:tcPr>
          <w:p w:rsidR="002343CF" w:rsidRDefault="00FF44F8" w14:paraId="14868D81" w14:textId="03D6ABA0">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0.98</w:t>
            </w:r>
          </w:p>
        </w:tc>
        <w:tc>
          <w:tcPr>
            <w:tcW w:w="0" w:type="auto"/>
            <w:tcBorders>
              <w:top w:val="single" w:color="B3EFFD" w:themeColor="accent4" w:themeTint="33" w:sz="8" w:space="0"/>
              <w:left w:val="none" w:color="000000" w:sz="0" w:space="0"/>
              <w:bottom w:val="single" w:color="036479" w:themeColor="text2" w:sz="16" w:space="0"/>
              <w:right w:val="none" w:color="000000" w:sz="0" w:space="0"/>
            </w:tcBorders>
            <w:shd w:val="clear" w:color="auto" w:fill="FFFFFF"/>
            <w:tcMar>
              <w:top w:w="0" w:type="dxa"/>
              <w:left w:w="0" w:type="dxa"/>
              <w:bottom w:w="0" w:type="dxa"/>
              <w:right w:w="0" w:type="dxa"/>
            </w:tcMar>
            <w:vAlign w:val="center"/>
          </w:tcPr>
          <w:p w:rsidR="002343CF" w:rsidRDefault="002343CF" w14:paraId="08EF413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themeColor="accent4" w:themeTint="33" w:sz="8" w:space="0"/>
              <w:left w:val="none" w:color="000000" w:sz="0" w:space="0"/>
              <w:bottom w:val="single" w:color="036479" w:themeColor="text2" w:sz="16" w:space="0"/>
              <w:right w:val="none" w:color="000000" w:sz="0" w:space="0"/>
            </w:tcBorders>
            <w:shd w:val="clear" w:color="auto" w:fill="FFFFFF"/>
            <w:tcMar>
              <w:top w:w="0" w:type="dxa"/>
              <w:left w:w="0" w:type="dxa"/>
              <w:bottom w:w="0" w:type="dxa"/>
              <w:right w:w="0" w:type="dxa"/>
            </w:tcMar>
            <w:vAlign w:val="center"/>
          </w:tcPr>
          <w:p w:rsidR="002343CF" w:rsidRDefault="002343CF" w14:paraId="5DA4B88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themeColor="accent4" w:themeTint="33" w:sz="8" w:space="0"/>
              <w:left w:val="none" w:color="000000" w:sz="0" w:space="0"/>
              <w:bottom w:val="single" w:color="036479" w:themeColor="text2" w:sz="16" w:space="0"/>
              <w:right w:val="none" w:color="000000" w:sz="0" w:space="0"/>
            </w:tcBorders>
            <w:shd w:val="clear" w:color="auto" w:fill="FFFFFF"/>
            <w:tcMar>
              <w:top w:w="0" w:type="dxa"/>
              <w:left w:w="0" w:type="dxa"/>
              <w:bottom w:w="0" w:type="dxa"/>
              <w:right w:w="0" w:type="dxa"/>
            </w:tcMar>
            <w:vAlign w:val="center"/>
          </w:tcPr>
          <w:p w:rsidR="002343CF" w:rsidRDefault="00B278E9" w14:paraId="1348416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4,686</w:t>
            </w:r>
          </w:p>
        </w:tc>
      </w:tr>
    </w:tbl>
    <w:p w:rsidRPr="0085537E" w:rsidR="007375C6" w:rsidRDefault="00B278E9" w14:paraId="03A1DBA8" w14:textId="77777777">
      <w:pPr>
        <w:pStyle w:val="TableFigureNote"/>
      </w:pPr>
      <w:r w:rsidRPr="0085537E">
        <w:t>N/A = not applicable (refers to a piece of data that cannot be produced or does not apply).</w:t>
      </w:r>
    </w:p>
    <w:p w:rsidR="007375C6" w:rsidRDefault="00B278E9" w14:paraId="737463AA" w14:textId="77777777">
      <w:pPr>
        <w:pStyle w:val="TableFigureNote"/>
      </w:pPr>
      <w:r>
        <w:t xml:space="preserve">* The “Ex Ante Gross Savings" and “Verified Gross Savings" in row one (Electric Energy Savings - Direct) and row seven (Summer Peak Demand Savings) exclude gross carryover savings from CY2022 and CY2023. </w:t>
      </w:r>
    </w:p>
    <w:p w:rsidR="007375C6" w:rsidRDefault="00B278E9" w14:paraId="53207455" w14:textId="77777777">
      <w:pPr>
        <w:pStyle w:val="TableFigureNote"/>
      </w:pPr>
      <w:r>
        <w:t xml:space="preserve">† The “Verified Net Savings” in row one (Electric Energy Savings - Direct) and row seven (Summer Peak Demand Savings) </w:t>
      </w:r>
      <w:r w:rsidRPr="002161C2">
        <w:t>include</w:t>
      </w:r>
      <w:r>
        <w:t xml:space="preserve"> net carryover savings from CY2022 and CY2023 for applicable programs. </w:t>
      </w:r>
    </w:p>
    <w:p w:rsidR="007375C6" w:rsidRDefault="00B278E9" w14:paraId="1F1BB939" w14:textId="77777777">
      <w:pPr>
        <w:pStyle w:val="TableFigureNote"/>
      </w:pPr>
      <w:r>
        <w:t>‡ The Electric Energy Savings - Direct includes primary kWh savings from efficient measures (</w:t>
      </w:r>
      <w:r w:rsidRPr="00D74DEF">
        <w:t xml:space="preserve">excluding electrification savings </w:t>
      </w:r>
      <w:r>
        <w:t>from</w:t>
      </w:r>
      <w:r w:rsidRPr="00D74DEF">
        <w:t xml:space="preserve"> both </w:t>
      </w:r>
      <w:r>
        <w:t xml:space="preserve">electrification </w:t>
      </w:r>
      <w:r w:rsidRPr="00D74DEF">
        <w:t>and efficiency baseline)</w:t>
      </w:r>
      <w:r>
        <w:t>,</w:t>
      </w:r>
      <w:r w:rsidRPr="00D74DEF" w:rsidDel="00D74DEF">
        <w:t xml:space="preserve"> </w:t>
      </w:r>
      <w:r>
        <w:t xml:space="preserve">secondary kWh savings from wastewater treatment, and electric heating penalties. </w:t>
      </w:r>
    </w:p>
    <w:p w:rsidR="007375C6" w:rsidRDefault="00B278E9" w14:paraId="059D791B" w14:textId="77777777">
      <w:pPr>
        <w:pStyle w:val="TableFigureNote"/>
      </w:pPr>
      <w:r>
        <w:t xml:space="preserve">§ Gas savings converted to kWh by multiplying Therms * 29.31 (which is based on 100,000 Btu/Therm and 3,412 Btu/kWh). The evaluation team will determine which gas savings will be converted to kWh and counted toward ComEd's electric savings goal while producing the portfolio-wide Summary Report. </w:t>
      </w:r>
    </w:p>
    <w:p w:rsidR="007375C6" w:rsidRDefault="00B278E9" w14:paraId="053BB989" w14:textId="77777777">
      <w:pPr>
        <w:pStyle w:val="TableFigureNote"/>
      </w:pPr>
      <w:r>
        <w:t xml:space="preserve">|| Electrification savings excluding direct efficiency savings. Calculated from net electric savings from increase in kWh consumption and decrease in gas consumption from electrification (kWh equivalent). This row calculates savings using electrification baseline. The next row (Electric Energy Savings – Indirect from Electrification (efficiency baseline)) calculates the portion of converted electrification savings </w:t>
      </w:r>
      <w:r w:rsidRPr="002D3863">
        <w:t xml:space="preserve">to traditional </w:t>
      </w:r>
      <w:r>
        <w:t xml:space="preserve">efficiency </w:t>
      </w:r>
      <w:r w:rsidRPr="002D3863">
        <w:t xml:space="preserve">electric savings </w:t>
      </w:r>
      <w:r>
        <w:t>using an efficiency baseline, which can be claimable towards ComEd’s electric savings goal (applied to only midstream programs).</w:t>
      </w:r>
      <w:r>
        <w:rPr>
          <w:rStyle w:val="FootnoteReference"/>
        </w:rPr>
        <w:footnoteReference w:id="4"/>
      </w:r>
      <w:r>
        <w:t xml:space="preserve"> The evaluation team determined which electrification savings are allocated toward ComEd's electrification savings goal, and which portion of electrification are converted to traditional efficiency electric savings based on analysis of portfolio-wide verified savings.</w:t>
      </w:r>
    </w:p>
    <w:p w:rsidR="007375C6" w:rsidRDefault="00B278E9" w14:paraId="5F495D23" w14:textId="77777777">
      <w:pPr>
        <w:pStyle w:val="TableFigureNote"/>
      </w:pPr>
      <w:r>
        <w:t># Total Electric Energy Savings is the sum of the Electric Energy Savings - Direct, Electric Energy Savings Converted from Other Fuel, Electric Energy Savings - Indirect from Electrification (electrification baseline), and Electric Energy Savi</w:t>
      </w:r>
      <w:r>
        <w:t xml:space="preserve">ngs - Indirect from Electrification (efficiency baseline). Note: This row does not include carryover gross savings, but the next row (Total Electric Savings Including Carryover) includes carryover in the gross savings, for the purpose of recalculating the gross realization rate, including carryover savings (same for the peak demand savings).  </w:t>
      </w:r>
    </w:p>
    <w:p w:rsidR="007375C6" w:rsidRDefault="00B278E9" w14:paraId="1C86F38A" w14:textId="77777777">
      <w:pPr>
        <w:pStyle w:val="TableFigureNote"/>
      </w:pPr>
      <w:r>
        <w:t>*† The Peak Demand Savings are savings occurring at coincident Summer Peak period, defined as 1:00-5:00 PM Central Prevailing Time on non-holiday weekdays, June throu</w:t>
      </w:r>
      <w:r>
        <w:t>gh August. This definition is in accordance with PJM requirements.</w:t>
      </w:r>
    </w:p>
    <w:p w:rsidR="007375C6" w:rsidRDefault="00B278E9" w14:paraId="0039B739" w14:textId="77777777">
      <w:pPr>
        <w:pStyle w:val="TableFigureNote"/>
      </w:pPr>
      <w:r w:rsidRPr="00E003DD">
        <w:t>Note:</w:t>
      </w:r>
      <w:r>
        <w:t xml:space="preserve"> The program-level NTG values are calculated as Verified Net/Verified Gross. The program-level analysis typically used measure-level deemed NTG values, which are listed here: https://www.ilsag.info/evaluator-ntg-recommendations-for-2024.</w:t>
      </w:r>
      <w:r w:rsidRPr="00724FCD">
        <w:t xml:space="preserve"> The NTG ratio for eligible business customers in disadvantaged neighborhoods is set to 1.00 as per the “NTG Ratio for Disadvantaged Areas” policy</w:t>
      </w:r>
      <w:r>
        <w:t>.</w:t>
      </w:r>
      <w:r>
        <w:rPr>
          <w:rStyle w:val="FootnoteReference"/>
        </w:rPr>
        <w:footnoteReference w:id="5"/>
      </w:r>
    </w:p>
    <w:p w:rsidRPr="008812EE" w:rsidR="007375C6" w:rsidRDefault="00B278E9" w14:paraId="4136C120" w14:textId="77777777">
      <w:pPr>
        <w:pStyle w:val="TableFigureSource"/>
      </w:pPr>
      <w:r w:rsidRPr="008812EE">
        <w:t>Source: Evaluation team analysis</w:t>
      </w:r>
    </w:p>
    <w:p w:rsidR="007375C6" w:rsidRDefault="00B278E9" w14:paraId="1269AE42" w14:textId="5FD190C4">
      <w:pPr>
        <w:pStyle w:val="Caption"/>
      </w:pPr>
      <w:bookmarkStart w:name="_Ref187399174" w:id="37"/>
      <w:bookmarkStart w:name="_Toc159919733" w:id="38"/>
      <w:bookmarkStart w:name="_Toc192581524" w:id="39"/>
      <w:r>
        <w:t xml:space="preserve">Table </w:t>
      </w:r>
      <w:r>
        <w:fldChar w:fldCharType="begin"/>
      </w:r>
      <w:r>
        <w:instrText>SEQ Table \* ARABIC</w:instrText>
      </w:r>
      <w:r>
        <w:fldChar w:fldCharType="separate"/>
      </w:r>
      <w:r w:rsidR="008B6B65">
        <w:rPr>
          <w:noProof/>
        </w:rPr>
        <w:t>2</w:t>
      </w:r>
      <w:r>
        <w:fldChar w:fldCharType="end"/>
      </w:r>
      <w:bookmarkEnd w:id="37"/>
      <w:r w:rsidRPr="00F7087A">
        <w:t xml:space="preserve">. </w:t>
      </w:r>
      <w:r w:rsidR="00C609AB">
        <w:t xml:space="preserve">Multifamily Upgrades Total Annual </w:t>
      </w:r>
      <w:r w:rsidRPr="00F7087A">
        <w:t>Incremental Electric Savings</w:t>
      </w:r>
      <w:r>
        <w:t xml:space="preserve"> – Income Eligible</w:t>
      </w:r>
      <w:bookmarkStart w:name="Table_2" w:id="40"/>
      <w:bookmarkEnd w:id="38"/>
      <w:bookmarkEnd w:id="39"/>
      <w:bookmarkEnd w:id="40"/>
    </w:p>
    <w:tbl>
      <w:tblPr>
        <w:tblW w:w="0" w:type="pct"/>
        <w:jc w:val="center"/>
        <w:tblLook w:val="0420" w:firstRow="1" w:lastRow="0" w:firstColumn="0" w:lastColumn="0" w:noHBand="0" w:noVBand="1"/>
      </w:tblPr>
      <w:tblGrid>
        <w:gridCol w:w="2060"/>
        <w:gridCol w:w="331"/>
        <w:gridCol w:w="947"/>
        <w:gridCol w:w="1096"/>
        <w:gridCol w:w="943"/>
        <w:gridCol w:w="1032"/>
        <w:gridCol w:w="1022"/>
        <w:gridCol w:w="1022"/>
        <w:gridCol w:w="907"/>
      </w:tblGrid>
      <w:tr w:rsidR="002343CF" w14:paraId="2D3E62A4" w14:textId="77777777">
        <w:trPr>
          <w:tblHeader/>
          <w:jc w:val="center"/>
        </w:trPr>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2343CF" w:rsidRDefault="00B278E9" w14:paraId="4050996F"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2343CF" w:rsidRDefault="00B278E9" w14:paraId="6F1B08B2"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FFFFFF"/>
                <w:sz w:val="14"/>
                <w:szCs w:val="14"/>
              </w:rPr>
            </w:pPr>
            <w:r>
              <w:rPr>
                <w:rFonts w:ascii="Arial" w:hAnsi="DejaVu Sans" w:eastAsia="DejaVu Sans" w:cs="DejaVu Sans"/>
                <w:color w:val="FFFFFF"/>
                <w:sz w:val="14"/>
                <w:szCs w:val="14"/>
              </w:rPr>
              <w:t>Units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2343CF" w:rsidRDefault="00B278E9" w14:paraId="7B29788A"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FFFFFF"/>
                <w:sz w:val="14"/>
                <w:szCs w:val="14"/>
              </w:rPr>
            </w:pPr>
            <w:r>
              <w:rPr>
                <w:rFonts w:ascii="Arial" w:hAnsi="DejaVu Sans" w:eastAsia="DejaVu Sans" w:cs="DejaVu Sans"/>
                <w:color w:val="FFFFFF"/>
                <w:sz w:val="14"/>
                <w:szCs w:val="14"/>
              </w:rPr>
              <w:t>Ex Ante Gross Savings*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2343CF" w:rsidRDefault="00B278E9" w14:paraId="01024B49"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FFFFFF"/>
                <w:sz w:val="14"/>
                <w:szCs w:val="14"/>
              </w:rPr>
            </w:pPr>
            <w:r>
              <w:rPr>
                <w:rFonts w:ascii="Arial" w:hAnsi="DejaVu Sans" w:eastAsia="DejaVu Sans" w:cs="DejaVu Sans"/>
                <w:color w:val="FFFFFF"/>
                <w:sz w:val="14"/>
                <w:szCs w:val="14"/>
              </w:rPr>
              <w:t>Program Gross Realization Rate</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2343CF" w:rsidRDefault="00B278E9" w14:paraId="500EDA74"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FFFFFF"/>
                <w:sz w:val="14"/>
                <w:szCs w:val="14"/>
              </w:rPr>
            </w:pPr>
            <w:r>
              <w:rPr>
                <w:rFonts w:ascii="Arial" w:hAnsi="DejaVu Sans" w:eastAsia="DejaVu Sans" w:cs="DejaVu Sans"/>
                <w:color w:val="FFFFFF"/>
                <w:sz w:val="14"/>
                <w:szCs w:val="14"/>
              </w:rPr>
              <w:t>Verified Gross Savings*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2343CF" w:rsidRDefault="00B278E9" w14:paraId="64DF710D"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FFFFFF"/>
                <w:sz w:val="14"/>
                <w:szCs w:val="14"/>
              </w:rPr>
            </w:pPr>
            <w:r>
              <w:rPr>
                <w:rFonts w:ascii="Arial" w:hAnsi="DejaVu Sans" w:eastAsia="DejaVu Sans" w:cs="DejaVu Sans"/>
                <w:color w:val="FFFFFF"/>
                <w:sz w:val="14"/>
                <w:szCs w:val="14"/>
              </w:rPr>
              <w:t>Program Net-to-Gross Ratio (NTG)</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2343CF" w:rsidRDefault="00B278E9" w14:paraId="6B00EE04"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FFFFFF"/>
                <w:sz w:val="14"/>
                <w:szCs w:val="14"/>
              </w:rPr>
            </w:pPr>
            <w:r>
              <w:rPr>
                <w:rFonts w:ascii="Arial" w:hAnsi="DejaVu Sans" w:eastAsia="DejaVu Sans" w:cs="DejaVu Sans"/>
                <w:color w:val="FFFFFF"/>
                <w:sz w:val="14"/>
                <w:szCs w:val="14"/>
              </w:rPr>
              <w:t>CY2022 Net Carryover Savings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2343CF" w:rsidRDefault="00B278E9" w14:paraId="1DB7F7AE"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FFFFFF"/>
                <w:sz w:val="14"/>
                <w:szCs w:val="14"/>
              </w:rPr>
            </w:pPr>
            <w:r>
              <w:rPr>
                <w:rFonts w:ascii="Arial" w:hAnsi="DejaVu Sans" w:eastAsia="DejaVu Sans" w:cs="DejaVu Sans"/>
                <w:color w:val="FFFFFF"/>
                <w:sz w:val="14"/>
                <w:szCs w:val="14"/>
              </w:rPr>
              <w:t>CY2023 Net Carryover Savings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2343CF" w:rsidRDefault="00B278E9" w14:paraId="35A59B2A"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FFFFFF"/>
                <w:sz w:val="14"/>
                <w:szCs w:val="14"/>
              </w:rPr>
            </w:pPr>
            <w:r>
              <w:rPr>
                <w:rFonts w:ascii="Arial" w:hAnsi="DejaVu Sans" w:eastAsia="DejaVu Sans" w:cs="DejaVu Sans"/>
                <w:color w:val="FFFFFF"/>
                <w:sz w:val="14"/>
                <w:szCs w:val="14"/>
              </w:rPr>
              <w:t>Verified Net Savings</w:t>
            </w:r>
            <w:r>
              <w:rPr>
                <w:rFonts w:ascii="Arial" w:hAnsi="DejaVu Sans" w:eastAsia="DejaVu Sans" w:cs="DejaVu Sans"/>
                <w:color w:val="FFFFFF"/>
                <w:sz w:val="14"/>
                <w:szCs w:val="14"/>
              </w:rPr>
              <w:t>†</w:t>
            </w:r>
          </w:p>
        </w:tc>
      </w:tr>
      <w:tr w:rsidR="002343CF" w14:paraId="5390A1A9" w14:textId="77777777">
        <w:trPr>
          <w:jc w:val="center"/>
        </w:trPr>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D5AF2E3"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Electric Energy Savings - Direct</w:t>
            </w:r>
            <w:r>
              <w:rPr>
                <w:rFonts w:ascii="Arial" w:hAnsi="DejaVu Sans" w:eastAsia="DejaVu Sans" w:cs="DejaVu Sans"/>
                <w:color w:val="000000"/>
                <w:sz w:val="14"/>
                <w:szCs w:val="14"/>
              </w:rPr>
              <w:t>‡</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524C8FB"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F3F08D8"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29,631,409</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0432123"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0.85</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A5AE6F2"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25,072,282</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C5ACAB4"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121F0760"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4B6AB941"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851C21C"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25,072,282</w:t>
            </w:r>
          </w:p>
        </w:tc>
      </w:tr>
      <w:tr w:rsidR="002343CF" w14:paraId="2009C02F"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E96A30A"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 xml:space="preserve">Electric Energy Savings -  </w:t>
            </w:r>
            <w:r>
              <w:rPr>
                <w:rFonts w:ascii="Arial" w:hAnsi="DejaVu Sans" w:eastAsia="DejaVu Sans" w:cs="DejaVu Sans"/>
                <w:color w:val="000000"/>
                <w:sz w:val="14"/>
                <w:szCs w:val="14"/>
              </w:rPr>
              <w:br/>
            </w:r>
            <w:r>
              <w:rPr>
                <w:rFonts w:ascii="Arial" w:hAnsi="DejaVu Sans" w:eastAsia="DejaVu Sans" w:cs="DejaVu Sans"/>
                <w:color w:val="000000"/>
                <w:sz w:val="14"/>
                <w:szCs w:val="14"/>
              </w:rPr>
              <w:t>Converted from Other Fuel</w:t>
            </w:r>
            <w:r>
              <w:rPr>
                <w:rFonts w:ascii="Arial" w:hAnsi="DejaVu Sans" w:eastAsia="DejaVu Sans" w:cs="DejaVu Sans"/>
                <w:color w:val="000000"/>
                <w:sz w:val="14"/>
                <w:szCs w:val="14"/>
              </w:rPr>
              <w:t>§</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3F99DE3"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A2ACCA1"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17,916,108</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6F91B0D"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1.07</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D8F7E0A"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19,135,665</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4E327F1"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09800805"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0FC05587"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09DC7E0"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19,135,665</w:t>
            </w:r>
          </w:p>
        </w:tc>
      </w:tr>
      <w:tr w:rsidR="002343CF" w14:paraId="12FF3A5F"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11E7C74"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Electric Energy Savings - Indirect from  Electrification (electrification baseline)||</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9993C83"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06B36DA5"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2C8216C1"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15AFAC5A"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0F73C20E"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66E83FE4"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76E7FF7E"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3D4173AB"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r>
      <w:tr w:rsidR="002343CF" w14:paraId="6467D931"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46EFA6B"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Electric Energy Savings - Indirect from  Electrification (efficiency baseline)||</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1089C5A6" w14:textId="24470DE9">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10701E91"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38514910"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216CC0FB"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643432AD"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4188FA5A"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3EF930ED"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78D6D2F4"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r>
      <w:tr w:rsidR="002343CF" w14:paraId="3DA93BC5"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F04250F"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Total Electric Energy Savings#</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D0E9EBE"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4ECC740"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47,547,517</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AA4AF20"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0.93</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ADF4666"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44,207,947</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29CA6D9"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2EB9ACF9"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242D93A4"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385C37D"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44,207,947</w:t>
            </w:r>
          </w:p>
        </w:tc>
      </w:tr>
      <w:tr w:rsidR="002343CF" w14:paraId="6C1B7E2F"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066D899"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 xml:space="preserve">Total Electric Energy Savings  </w:t>
            </w:r>
            <w:r>
              <w:rPr>
                <w:rFonts w:ascii="Arial" w:hAnsi="DejaVu Sans" w:eastAsia="DejaVu Sans" w:cs="DejaVu Sans"/>
                <w:color w:val="000000"/>
                <w:sz w:val="14"/>
                <w:szCs w:val="14"/>
              </w:rPr>
              <w:br/>
            </w:r>
            <w:r>
              <w:rPr>
                <w:rFonts w:ascii="Arial" w:hAnsi="DejaVu Sans" w:eastAsia="DejaVu Sans" w:cs="DejaVu Sans"/>
                <w:color w:val="000000"/>
                <w:sz w:val="14"/>
                <w:szCs w:val="14"/>
              </w:rPr>
              <w:t>Including Carryover#</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4902BDE"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9EFA5A9"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47,547,517</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9B31F36"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0.93</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7C113CA"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44,207,947</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520F691"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5C9FC568"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7865117A"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85C6856"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44,207,947</w:t>
            </w:r>
          </w:p>
        </w:tc>
      </w:tr>
      <w:tr w:rsidR="002343CF" w14:paraId="50D9D14A"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5C4D432"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Summer Peak*</w:t>
            </w:r>
            <w:r>
              <w:rPr>
                <w:rFonts w:ascii="Arial" w:hAnsi="DejaVu Sans" w:eastAsia="DejaVu Sans" w:cs="DejaVu Sans"/>
                <w:color w:val="000000"/>
                <w:sz w:val="14"/>
                <w:szCs w:val="14"/>
              </w:rPr>
              <w:t>†</w:t>
            </w:r>
            <w:r>
              <w:rPr>
                <w:rFonts w:ascii="Arial" w:hAnsi="DejaVu Sans" w:eastAsia="DejaVu Sans" w:cs="DejaVu Sans"/>
                <w:color w:val="000000"/>
                <w:sz w:val="14"/>
                <w:szCs w:val="14"/>
              </w:rPr>
              <w:t xml:space="preserve"> Demand Savings</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B0D7D93"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kW</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F972A2B"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5,342</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539B58D"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0.77</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1F6947F"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4,094</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BABC7C5"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181B9F2B"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76B5FCD9"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EB214EE"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4,094</w:t>
            </w:r>
          </w:p>
        </w:tc>
      </w:tr>
      <w:tr w:rsidR="002343CF" w14:paraId="17E14229" w14:textId="77777777">
        <w:trPr>
          <w:jc w:val="center"/>
        </w:trPr>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4F3EF420"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Summer Peak*</w:t>
            </w:r>
            <w:r>
              <w:rPr>
                <w:rFonts w:ascii="Arial" w:hAnsi="DejaVu Sans" w:eastAsia="DejaVu Sans" w:cs="DejaVu Sans"/>
                <w:color w:val="000000"/>
                <w:sz w:val="14"/>
                <w:szCs w:val="14"/>
              </w:rPr>
              <w:t>†</w:t>
            </w:r>
            <w:r>
              <w:rPr>
                <w:rFonts w:ascii="Arial" w:hAnsi="DejaVu Sans" w:eastAsia="DejaVu Sans" w:cs="DejaVu Sans"/>
                <w:color w:val="000000"/>
                <w:sz w:val="14"/>
                <w:szCs w:val="14"/>
              </w:rPr>
              <w:t xml:space="preserve"> Demand Savings </w:t>
            </w:r>
            <w:r>
              <w:rPr>
                <w:rFonts w:ascii="Arial" w:hAnsi="DejaVu Sans" w:eastAsia="DejaVu Sans" w:cs="DejaVu Sans"/>
                <w:color w:val="000000"/>
                <w:sz w:val="14"/>
                <w:szCs w:val="14"/>
              </w:rPr>
              <w:br/>
            </w:r>
            <w:r>
              <w:rPr>
                <w:rFonts w:ascii="Arial" w:hAnsi="DejaVu Sans" w:eastAsia="DejaVu Sans" w:cs="DejaVu Sans"/>
                <w:color w:val="000000"/>
                <w:sz w:val="14"/>
                <w:szCs w:val="14"/>
              </w:rPr>
              <w:t xml:space="preserve"> Including Carryover</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3D284D36"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kW</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4E26E56F"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5,342</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453CC4D7"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0.77</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47584D10"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4,094</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21913A4D"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2343CF" w14:paraId="5B766D7E"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2343CF" w14:paraId="69536C96"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4079B353"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4,094</w:t>
            </w:r>
          </w:p>
        </w:tc>
      </w:tr>
    </w:tbl>
    <w:p w:rsidRPr="004B16A6" w:rsidR="007375C6" w:rsidRDefault="00B278E9" w14:paraId="7B4EDF0F" w14:textId="42780514">
      <w:pPr>
        <w:pStyle w:val="TableFigureNote"/>
      </w:pPr>
      <w:r w:rsidRPr="004B16A6">
        <w:t xml:space="preserve">Footnotes are defined similarly as found in </w:t>
      </w:r>
      <w:r w:rsidRPr="004B16A6">
        <w:fldChar w:fldCharType="begin"/>
      </w:r>
      <w:r w:rsidRPr="004B16A6">
        <w:instrText xml:space="preserve"> REF _Ref482008337 \h </w:instrText>
      </w:r>
      <w:r>
        <w:instrText xml:space="preserve"> \* MERGEFORMAT </w:instrText>
      </w:r>
      <w:r w:rsidRPr="004B16A6">
        <w:fldChar w:fldCharType="separate"/>
      </w:r>
      <w:r>
        <w:t>Table 1</w:t>
      </w:r>
      <w:r w:rsidRPr="004B16A6">
        <w:fldChar w:fldCharType="end"/>
      </w:r>
      <w:r>
        <w:t>.</w:t>
      </w:r>
    </w:p>
    <w:p w:rsidR="007375C6" w:rsidRDefault="00B278E9" w14:paraId="1BD02E6C" w14:textId="77777777">
      <w:pPr>
        <w:pStyle w:val="TableFigureSource"/>
      </w:pPr>
      <w:r w:rsidRPr="537FA5AC">
        <w:rPr>
          <w:rFonts w:eastAsia="Arial" w:cs="Arial"/>
        </w:rPr>
        <w:t>Source: Evaluation team analysis</w:t>
      </w:r>
    </w:p>
    <w:p w:rsidR="007375C6" w:rsidRDefault="00B278E9" w14:paraId="4CBFD401" w14:textId="050878D2">
      <w:pPr>
        <w:pStyle w:val="Caption"/>
      </w:pPr>
      <w:bookmarkStart w:name="_Ref105416959" w:id="41"/>
      <w:bookmarkStart w:name="_Toc159919734" w:id="42"/>
      <w:bookmarkStart w:name="_Toc192581525" w:id="43"/>
      <w:r w:rsidR="00B278E9">
        <w:rPr/>
        <w:t xml:space="preserve">Table </w:t>
      </w:r>
      <w:r>
        <w:fldChar w:fldCharType="begin"/>
      </w:r>
      <w:r>
        <w:instrText xml:space="preserve">SEQ Table \* ARABIC</w:instrText>
      </w:r>
      <w:r>
        <w:fldChar w:fldCharType="separate"/>
      </w:r>
      <w:r w:rsidRPr="3B7AF982" w:rsidR="008B6B65">
        <w:rPr>
          <w:noProof/>
        </w:rPr>
        <w:t>3</w:t>
      </w:r>
      <w:r>
        <w:fldChar w:fldCharType="end"/>
      </w:r>
      <w:bookmarkEnd w:id="41"/>
      <w:r w:rsidR="00B278E9">
        <w:rPr/>
        <w:t xml:space="preserve">. </w:t>
      </w:r>
      <w:r w:rsidR="00C609AB">
        <w:rPr/>
        <w:t xml:space="preserve">Multifamily Upgrades </w:t>
      </w:r>
      <w:r w:rsidR="00B278E9">
        <w:rPr/>
        <w:t>Total Annual Incremental Electric Savings</w:t>
      </w:r>
      <w:r w:rsidR="00B278E9">
        <w:rPr/>
        <w:t xml:space="preserve"> – </w:t>
      </w:r>
      <w:r w:rsidR="00B278E9">
        <w:rPr/>
        <w:t>Non</w:t>
      </w:r>
      <w:r w:rsidR="00B278E9">
        <w:rPr/>
        <w:t>-Income Eligible</w:t>
      </w:r>
      <w:bookmarkStart w:name="Table_3" w:id="46"/>
      <w:bookmarkEnd w:id="42"/>
      <w:bookmarkEnd w:id="43"/>
      <w:bookmarkEnd w:id="46"/>
    </w:p>
    <w:tbl>
      <w:tblPr>
        <w:tblW w:w="0" w:type="pct"/>
        <w:jc w:val="center"/>
        <w:tblLook w:val="0420" w:firstRow="1" w:lastRow="0" w:firstColumn="0" w:lastColumn="0" w:noHBand="0" w:noVBand="1"/>
      </w:tblPr>
      <w:tblGrid>
        <w:gridCol w:w="2132"/>
        <w:gridCol w:w="322"/>
        <w:gridCol w:w="900"/>
        <w:gridCol w:w="1114"/>
        <w:gridCol w:w="896"/>
        <w:gridCol w:w="1056"/>
        <w:gridCol w:w="1041"/>
        <w:gridCol w:w="1041"/>
        <w:gridCol w:w="858"/>
      </w:tblGrid>
      <w:tr w:rsidR="002343CF" w14:paraId="276E08B5" w14:textId="77777777">
        <w:trPr>
          <w:tblHeader/>
          <w:jc w:val="center"/>
        </w:trPr>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2343CF" w:rsidRDefault="00B278E9" w14:paraId="37B3CB8D"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2343CF" w:rsidRDefault="00B278E9" w14:paraId="0794C3F5"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FFFFFF"/>
                <w:sz w:val="14"/>
                <w:szCs w:val="14"/>
              </w:rPr>
            </w:pPr>
            <w:r>
              <w:rPr>
                <w:rFonts w:ascii="Arial" w:hAnsi="DejaVu Sans" w:eastAsia="DejaVu Sans" w:cs="DejaVu Sans"/>
                <w:color w:val="FFFFFF"/>
                <w:sz w:val="14"/>
                <w:szCs w:val="14"/>
              </w:rPr>
              <w:t>Units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2343CF" w:rsidRDefault="00B278E9" w14:paraId="712E3869"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FFFFFF"/>
                <w:sz w:val="14"/>
                <w:szCs w:val="14"/>
              </w:rPr>
            </w:pPr>
            <w:r>
              <w:rPr>
                <w:rFonts w:ascii="Arial" w:hAnsi="DejaVu Sans" w:eastAsia="DejaVu Sans" w:cs="DejaVu Sans"/>
                <w:color w:val="FFFFFF"/>
                <w:sz w:val="14"/>
                <w:szCs w:val="14"/>
              </w:rPr>
              <w:t>Ex Ante Gross Savings*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2343CF" w:rsidRDefault="00B278E9" w14:paraId="15370D02"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FFFFFF"/>
                <w:sz w:val="14"/>
                <w:szCs w:val="14"/>
              </w:rPr>
            </w:pPr>
            <w:r>
              <w:rPr>
                <w:rFonts w:ascii="Arial" w:hAnsi="DejaVu Sans" w:eastAsia="DejaVu Sans" w:cs="DejaVu Sans"/>
                <w:color w:val="FFFFFF"/>
                <w:sz w:val="14"/>
                <w:szCs w:val="14"/>
              </w:rPr>
              <w:t>Program Gross Realization Rate</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2343CF" w:rsidRDefault="00B278E9" w14:paraId="7BFAB8C0"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FFFFFF"/>
                <w:sz w:val="14"/>
                <w:szCs w:val="14"/>
              </w:rPr>
            </w:pPr>
            <w:r>
              <w:rPr>
                <w:rFonts w:ascii="Arial" w:hAnsi="DejaVu Sans" w:eastAsia="DejaVu Sans" w:cs="DejaVu Sans"/>
                <w:color w:val="FFFFFF"/>
                <w:sz w:val="14"/>
                <w:szCs w:val="14"/>
              </w:rPr>
              <w:t>Verified Gross Savings*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2343CF" w:rsidRDefault="00B278E9" w14:paraId="5C8E9256"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FFFFFF"/>
                <w:sz w:val="14"/>
                <w:szCs w:val="14"/>
              </w:rPr>
            </w:pPr>
            <w:r>
              <w:rPr>
                <w:rFonts w:ascii="Arial" w:hAnsi="DejaVu Sans" w:eastAsia="DejaVu Sans" w:cs="DejaVu Sans"/>
                <w:color w:val="FFFFFF"/>
                <w:sz w:val="14"/>
                <w:szCs w:val="14"/>
              </w:rPr>
              <w:t>Program Net-to-Gross Ratio (NTG)</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2343CF" w:rsidRDefault="00B278E9" w14:paraId="6490DF5B"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FFFFFF"/>
                <w:sz w:val="14"/>
                <w:szCs w:val="14"/>
              </w:rPr>
            </w:pPr>
            <w:r>
              <w:rPr>
                <w:rFonts w:ascii="Arial" w:hAnsi="DejaVu Sans" w:eastAsia="DejaVu Sans" w:cs="DejaVu Sans"/>
                <w:color w:val="FFFFFF"/>
                <w:sz w:val="14"/>
                <w:szCs w:val="14"/>
              </w:rPr>
              <w:t>CY2022 Net Carryover Savings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2343CF" w:rsidRDefault="00B278E9" w14:paraId="24D59867"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FFFFFF"/>
                <w:sz w:val="14"/>
                <w:szCs w:val="14"/>
              </w:rPr>
            </w:pPr>
            <w:r>
              <w:rPr>
                <w:rFonts w:ascii="Arial" w:hAnsi="DejaVu Sans" w:eastAsia="DejaVu Sans" w:cs="DejaVu Sans"/>
                <w:color w:val="FFFFFF"/>
                <w:sz w:val="14"/>
                <w:szCs w:val="14"/>
              </w:rPr>
              <w:t>CY2023 Net Carryover Savings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2343CF" w:rsidRDefault="00B278E9" w14:paraId="314461F0"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FFFFFF"/>
                <w:sz w:val="14"/>
                <w:szCs w:val="14"/>
              </w:rPr>
            </w:pPr>
            <w:r>
              <w:rPr>
                <w:rFonts w:ascii="Arial" w:hAnsi="DejaVu Sans" w:eastAsia="DejaVu Sans" w:cs="DejaVu Sans"/>
                <w:color w:val="FFFFFF"/>
                <w:sz w:val="14"/>
                <w:szCs w:val="14"/>
              </w:rPr>
              <w:t>Verified Net Savings</w:t>
            </w:r>
            <w:r>
              <w:rPr>
                <w:rFonts w:ascii="Arial" w:hAnsi="DejaVu Sans" w:eastAsia="DejaVu Sans" w:cs="DejaVu Sans"/>
                <w:color w:val="FFFFFF"/>
                <w:sz w:val="14"/>
                <w:szCs w:val="14"/>
              </w:rPr>
              <w:t>†</w:t>
            </w:r>
          </w:p>
        </w:tc>
      </w:tr>
      <w:tr w:rsidR="002343CF" w14:paraId="7C9AA1AC" w14:textId="77777777">
        <w:trPr>
          <w:jc w:val="center"/>
        </w:trPr>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350DD66"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Electric Energy Savings - Direct</w:t>
            </w:r>
            <w:r>
              <w:rPr>
                <w:rFonts w:ascii="Arial" w:hAnsi="DejaVu Sans" w:eastAsia="DejaVu Sans" w:cs="DejaVu Sans"/>
                <w:color w:val="000000"/>
                <w:sz w:val="14"/>
                <w:szCs w:val="14"/>
              </w:rPr>
              <w:t>‡</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04A5D23"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FE3BB58"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6,675,160</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FB482E" w14:paraId="2E96D837" w14:textId="5D82CEFF">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1.03</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BF18720"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6,876,806</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5E43D0" w14:paraId="2BD9CBF7" w14:textId="4448204A">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0.90</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5D728797"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0DC882ED"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053741F"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6,174,602</w:t>
            </w:r>
          </w:p>
        </w:tc>
      </w:tr>
      <w:tr w:rsidR="002343CF" w14:paraId="26456C17"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3395093"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 xml:space="preserve">Electric Energy Savings -  </w:t>
            </w:r>
            <w:r>
              <w:rPr>
                <w:rFonts w:ascii="Arial" w:hAnsi="DejaVu Sans" w:eastAsia="DejaVu Sans" w:cs="DejaVu Sans"/>
                <w:color w:val="000000"/>
                <w:sz w:val="14"/>
                <w:szCs w:val="14"/>
              </w:rPr>
              <w:br/>
            </w:r>
            <w:r>
              <w:rPr>
                <w:rFonts w:ascii="Arial" w:hAnsi="DejaVu Sans" w:eastAsia="DejaVu Sans" w:cs="DejaVu Sans"/>
                <w:color w:val="000000"/>
                <w:sz w:val="14"/>
                <w:szCs w:val="14"/>
              </w:rPr>
              <w:t>Converted from Other Fuel</w:t>
            </w:r>
            <w:r>
              <w:rPr>
                <w:rFonts w:ascii="Arial" w:hAnsi="DejaVu Sans" w:eastAsia="DejaVu Sans" w:cs="DejaVu Sans"/>
                <w:color w:val="000000"/>
                <w:sz w:val="14"/>
                <w:szCs w:val="14"/>
              </w:rPr>
              <w:t>§</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8D4F270"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7C65A71F" w14:textId="1E0B912C">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62C95ACD" w14:textId="3CCD1A1A">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61AD6521" w14:textId="236F3E79">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540D8A17" w14:textId="7DBC786D">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26776BCC"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4E6F49F9"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1E75BFA2" w14:textId="4264F0F2">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r>
      <w:tr w:rsidR="002343CF" w14:paraId="0710CC81"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05077B6"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Electric Energy Savings - Indirect from  Electrification (electrification baseline)||</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A0D544A"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2C676630"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15C807F9"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35E68857"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680943E0"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467DD326"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641A2C6C"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5B272059"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r>
      <w:tr w:rsidR="002343CF" w14:paraId="456E6795"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A821FFF"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Electric Energy Savings - Indirect from  Electrification (efficiency baseline)||</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5D1236C7"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1ECC5287"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1F86BD8B"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0F222F54"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2D7E54FA"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628EBBC8"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18C6D401"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1EBFF6DE"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r>
      <w:tr w:rsidR="002343CF" w14:paraId="43610065"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7889D2A"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Total Electric Energy Savings#</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F022C87"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172E978"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6,675,160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3A7DDA" w14:paraId="107383CD" w14:textId="357C5DCA">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1.03</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A9415D5"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6,876,806</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FE2FF6" w14:paraId="5E16555C" w14:textId="7F26DB1B">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0.90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19D5811E"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2EC71572"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68E7D13"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6,174,602</w:t>
            </w:r>
          </w:p>
        </w:tc>
      </w:tr>
      <w:tr w:rsidR="002343CF" w14:paraId="01AD886B"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B58E8E5"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 xml:space="preserve">Total Electric Energy Savings  </w:t>
            </w:r>
            <w:r>
              <w:rPr>
                <w:rFonts w:ascii="Arial" w:hAnsi="DejaVu Sans" w:eastAsia="DejaVu Sans" w:cs="DejaVu Sans"/>
                <w:color w:val="000000"/>
                <w:sz w:val="14"/>
                <w:szCs w:val="14"/>
              </w:rPr>
              <w:br/>
            </w:r>
            <w:r>
              <w:rPr>
                <w:rFonts w:ascii="Arial" w:hAnsi="DejaVu Sans" w:eastAsia="DejaVu Sans" w:cs="DejaVu Sans"/>
                <w:color w:val="000000"/>
                <w:sz w:val="14"/>
                <w:szCs w:val="14"/>
              </w:rPr>
              <w:t>Including Carryover#</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CEBA0F7"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68ADC4E"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6,675,160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3A7DDA" w14:paraId="68325521" w14:textId="10B09B04">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1.03</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DF8C70D"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6,876,806</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FE2FF6" w14:paraId="7BF9256C" w14:textId="623793D6">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0.90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P="008749DA" w:rsidRDefault="002343CF" w14:paraId="201D8910" w14:textId="77777777">
            <w:pPr>
              <w:pBdr>
                <w:top w:val="none" w:color="000000" w:sz="0" w:space="0"/>
                <w:left w:val="none" w:color="000000" w:sz="0" w:space="0"/>
                <w:bottom w:val="none" w:color="000000" w:sz="0" w:space="0"/>
                <w:right w:val="none" w:color="000000" w:sz="0" w:space="0"/>
              </w:pBdr>
              <w:spacing w:before="0" w:after="0"/>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281FE2C9"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A4C06CB"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6,174,602</w:t>
            </w:r>
          </w:p>
        </w:tc>
      </w:tr>
      <w:tr w:rsidR="002343CF" w14:paraId="1064865B"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9572F35"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Summer Peak*</w:t>
            </w:r>
            <w:r>
              <w:rPr>
                <w:rFonts w:ascii="Arial" w:hAnsi="DejaVu Sans" w:eastAsia="DejaVu Sans" w:cs="DejaVu Sans"/>
                <w:color w:val="000000"/>
                <w:sz w:val="14"/>
                <w:szCs w:val="14"/>
              </w:rPr>
              <w:t>†</w:t>
            </w:r>
            <w:r>
              <w:rPr>
                <w:rFonts w:ascii="Arial" w:hAnsi="DejaVu Sans" w:eastAsia="DejaVu Sans" w:cs="DejaVu Sans"/>
                <w:color w:val="000000"/>
                <w:sz w:val="14"/>
                <w:szCs w:val="14"/>
              </w:rPr>
              <w:t xml:space="preserve"> Demand Savings</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0BB0942"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kW</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25EDCE7"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662</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1F29C2" w14:paraId="4C4D5F09" w14:textId="44C8A0A2">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w:t>
            </w:r>
            <w:r w:rsidR="001E309C">
              <w:rPr>
                <w:rFonts w:ascii="Arial" w:hAnsi="DejaVu Sans" w:eastAsia="DejaVu Sans" w:cs="DejaVu Sans"/>
                <w:color w:val="000000"/>
                <w:sz w:val="14"/>
                <w:szCs w:val="14"/>
              </w:rPr>
              <w:t>2</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F43C34C"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674</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FE2FF6" w14:paraId="75A80B14" w14:textId="5FC74645">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0.88</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4ABE019D"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7650CDE8"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4F83060"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592</w:t>
            </w:r>
          </w:p>
        </w:tc>
      </w:tr>
      <w:tr w:rsidR="002343CF" w14:paraId="6646911B" w14:textId="77777777">
        <w:trPr>
          <w:jc w:val="center"/>
        </w:trPr>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7B82FC5D"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Summer Peak*</w:t>
            </w:r>
            <w:r>
              <w:rPr>
                <w:rFonts w:ascii="Arial" w:hAnsi="DejaVu Sans" w:eastAsia="DejaVu Sans" w:cs="DejaVu Sans"/>
                <w:color w:val="000000"/>
                <w:sz w:val="14"/>
                <w:szCs w:val="14"/>
              </w:rPr>
              <w:t>†</w:t>
            </w:r>
            <w:r>
              <w:rPr>
                <w:rFonts w:ascii="Arial" w:hAnsi="DejaVu Sans" w:eastAsia="DejaVu Sans" w:cs="DejaVu Sans"/>
                <w:color w:val="000000"/>
                <w:sz w:val="14"/>
                <w:szCs w:val="14"/>
              </w:rPr>
              <w:t xml:space="preserve"> Demand Savings </w:t>
            </w:r>
            <w:r>
              <w:rPr>
                <w:rFonts w:ascii="Arial" w:hAnsi="DejaVu Sans" w:eastAsia="DejaVu Sans" w:cs="DejaVu Sans"/>
                <w:color w:val="000000"/>
                <w:sz w:val="14"/>
                <w:szCs w:val="14"/>
              </w:rPr>
              <w:br/>
            </w:r>
            <w:r>
              <w:rPr>
                <w:rFonts w:ascii="Arial" w:hAnsi="DejaVu Sans" w:eastAsia="DejaVu Sans" w:cs="DejaVu Sans"/>
                <w:color w:val="000000"/>
                <w:sz w:val="14"/>
                <w:szCs w:val="14"/>
              </w:rPr>
              <w:t xml:space="preserve"> Including Carryover</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6B187B89"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kW</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25482B6F"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662</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1E309C" w14:paraId="5CB7141E" w14:textId="7ADFBE4C">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1.02</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768BB815"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674</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FE2FF6" w14:paraId="69220120" w14:textId="749465C3">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0.88</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2343CF" w14:paraId="5892206F"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2343CF" w14:paraId="78F32D2B"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2418CB93"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592</w:t>
            </w:r>
          </w:p>
        </w:tc>
      </w:tr>
    </w:tbl>
    <w:p w:rsidRPr="004B16A6" w:rsidR="007375C6" w:rsidRDefault="00B278E9" w14:paraId="7635149C" w14:textId="0949AC2B">
      <w:pPr>
        <w:pStyle w:val="TableFigureNote"/>
      </w:pPr>
      <w:r w:rsidRPr="004B16A6">
        <w:t xml:space="preserve">Footnotes are defined similarly as found in </w:t>
      </w:r>
      <w:r w:rsidRPr="004B16A6">
        <w:fldChar w:fldCharType="begin"/>
      </w:r>
      <w:r w:rsidRPr="004B16A6">
        <w:instrText xml:space="preserve"> REF _Ref482008337 \h </w:instrText>
      </w:r>
      <w:r>
        <w:instrText xml:space="preserve"> \* MERGEFORMAT </w:instrText>
      </w:r>
      <w:r w:rsidRPr="004B16A6">
        <w:fldChar w:fldCharType="separate"/>
      </w:r>
      <w:r>
        <w:t>Table 1</w:t>
      </w:r>
      <w:r w:rsidRPr="004B16A6">
        <w:fldChar w:fldCharType="end"/>
      </w:r>
      <w:r>
        <w:t>.</w:t>
      </w:r>
    </w:p>
    <w:p w:rsidR="007375C6" w:rsidRDefault="00B278E9" w14:paraId="6D64943D" w14:textId="77777777">
      <w:pPr>
        <w:pStyle w:val="TableFigureSource"/>
      </w:pPr>
      <w:r w:rsidRPr="537FA5AC">
        <w:t>Source: Evaluation team analysis</w:t>
      </w:r>
    </w:p>
    <w:p w:rsidR="007375C6" w:rsidRDefault="00B278E9" w14:paraId="2BECFFC0" w14:textId="21E3C4DB">
      <w:pPr>
        <w:pStyle w:val="BodyText"/>
      </w:pPr>
      <w:r>
        <w:fldChar w:fldCharType="begin"/>
      </w:r>
      <w:r>
        <w:instrText xml:space="preserve"> REF _Ref117035780 \h  \* MERGEFORMAT </w:instrText>
      </w:r>
      <w:r>
        <w:fldChar w:fldCharType="separate"/>
      </w:r>
      <w:r>
        <w:t xml:space="preserve">Figure </w:t>
      </w:r>
      <w:r>
        <w:rPr>
          <w:noProof/>
        </w:rPr>
        <w:t>1</w:t>
      </w:r>
      <w:r>
        <w:fldChar w:fldCharType="end"/>
      </w:r>
      <w:r>
        <w:t xml:space="preserve"> </w:t>
      </w:r>
      <w:r w:rsidR="00C609AB">
        <w:t>presents</w:t>
      </w:r>
      <w:r>
        <w:t xml:space="preserve"> the electric energy savings by measure end use. It includes measure efficiency savings</w:t>
      </w:r>
      <w:r w:rsidR="00C609AB">
        <w:t xml:space="preserve"> and</w:t>
      </w:r>
      <w:r>
        <w:t xml:space="preserve"> </w:t>
      </w:r>
      <w:r w:rsidRPr="004B16A6">
        <w:t>secondary water kWh. It</w:t>
      </w:r>
      <w:r>
        <w:t xml:space="preserve"> does not </w:t>
      </w:r>
      <w:r w:rsidRPr="004B16A6">
        <w:t xml:space="preserve">include </w:t>
      </w:r>
      <w:r>
        <w:t>other fuel</w:t>
      </w:r>
      <w:r w:rsidRPr="004B16A6">
        <w:t xml:space="preserve"> savings converted to kWh.</w:t>
      </w:r>
    </w:p>
    <w:p w:rsidR="007375C6" w:rsidP="00591137" w:rsidRDefault="00B278E9" w14:paraId="5DF5E1E9" w14:textId="5533470B">
      <w:pPr>
        <w:pStyle w:val="Caption"/>
      </w:pPr>
      <w:bookmarkStart w:name="_Ref117035780" w:id="47"/>
      <w:bookmarkStart w:name="_Toc151976678" w:id="48"/>
      <w:bookmarkStart w:name="_Toc192581501" w:id="49"/>
      <w:r>
        <w:t xml:space="preserve">Figure </w:t>
      </w:r>
      <w:r w:rsidR="003E1E3F">
        <w:fldChar w:fldCharType="begin"/>
      </w:r>
      <w:r w:rsidR="003E1E3F">
        <w:instrText xml:space="preserve"> SEQ Figure \* ARABIC </w:instrText>
      </w:r>
      <w:r w:rsidR="003E1E3F">
        <w:fldChar w:fldCharType="separate"/>
      </w:r>
      <w:r w:rsidR="00286CDB">
        <w:rPr>
          <w:noProof/>
        </w:rPr>
        <w:t>1</w:t>
      </w:r>
      <w:r w:rsidR="003E1E3F">
        <w:fldChar w:fldCharType="end"/>
      </w:r>
      <w:bookmarkEnd w:id="47"/>
      <w:r>
        <w:t>.</w:t>
      </w:r>
      <w:r w:rsidR="00C609AB">
        <w:t xml:space="preserve"> Multifamily Upgrades</w:t>
      </w:r>
      <w:r>
        <w:t xml:space="preserve"> </w:t>
      </w:r>
      <w:r w:rsidRPr="2221D51B">
        <w:t>Verified Net Savings by Measure – Electric</w:t>
      </w:r>
      <w:bookmarkStart w:name="Figure_1" w:id="50"/>
      <w:bookmarkEnd w:id="48"/>
      <w:bookmarkEnd w:id="49"/>
      <w:bookmarkEnd w:id="50"/>
    </w:p>
    <w:p w:rsidR="002343CF" w:rsidP="00591137" w:rsidRDefault="00B278E9" w14:paraId="3C399652" w14:textId="77777777">
      <w:pPr>
        <w:jc w:val="center"/>
      </w:pPr>
      <w:r>
        <w:rPr>
          <w:noProof/>
        </w:rPr>
        <w:drawing>
          <wp:inline distT="0" distB="0" distL="0" distR="0" wp14:anchorId="3FB7AE74" wp14:editId="04AC7475">
            <wp:extent cx="5943600"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27" cstate="print"/>
                    <a:stretch>
                      <a:fillRect/>
                    </a:stretch>
                  </pic:blipFill>
                  <pic:spPr bwMode="auto">
                    <a:xfrm>
                      <a:off x="0" y="0"/>
                      <a:ext cx="82550" cy="38100"/>
                    </a:xfrm>
                    <a:prstGeom prst="rect">
                      <a:avLst/>
                    </a:prstGeom>
                    <a:noFill/>
                  </pic:spPr>
                </pic:pic>
              </a:graphicData>
            </a:graphic>
          </wp:inline>
        </w:drawing>
      </w:r>
    </w:p>
    <w:p w:rsidR="007375C6" w:rsidRDefault="00B278E9" w14:paraId="3CE89B42" w14:textId="77777777">
      <w:pPr>
        <w:pStyle w:val="TableFigureSource"/>
      </w:pPr>
      <w:r w:rsidRPr="27A43C0E">
        <w:t>Source: Evaluation team analysis</w:t>
      </w:r>
    </w:p>
    <w:p w:rsidRPr="00470CF3" w:rsidR="007375C6" w:rsidRDefault="00B278E9" w14:paraId="5621E44B" w14:textId="39248489">
      <w:pPr>
        <w:suppressAutoHyphens w:val="0"/>
        <w:spacing w:before="0" w:after="0"/>
        <w:rPr>
          <w:rFonts w:ascii="Arial" w:hAnsi="Arial"/>
          <w:sz w:val="22"/>
          <w:szCs w:val="20"/>
        </w:rPr>
      </w:pPr>
      <w:r>
        <w:br w:type="page"/>
      </w:r>
    </w:p>
    <w:p w:rsidR="007375C6" w:rsidP="00A42EA9" w:rsidRDefault="007375C6" w14:paraId="792E6679" w14:textId="77777777">
      <w:pPr>
        <w:pStyle w:val="Heading10"/>
        <w:sectPr w:rsidR="007375C6">
          <w:footerReference w:type="default" r:id="rId28"/>
          <w:pgSz w:w="12240" w:h="15840" w:orient="portrait" w:code="1"/>
          <w:pgMar w:top="1440" w:right="1440" w:bottom="1440" w:left="1440" w:header="720" w:footer="720" w:gutter="0"/>
          <w:pgNumType w:start="1"/>
          <w:cols w:space="720"/>
          <w:docGrid w:linePitch="360"/>
        </w:sectPr>
      </w:pPr>
      <w:bookmarkStart w:name="_Toc151976669" w:id="51"/>
    </w:p>
    <w:p w:rsidRPr="006D4A66" w:rsidR="007375C6" w:rsidP="006D4A66" w:rsidRDefault="00B278E9" w14:paraId="4299173B" w14:textId="77777777">
      <w:pPr>
        <w:pStyle w:val="Heading2"/>
        <w:rPr>
          <w:i w:val="0"/>
          <w:iCs w:val="0"/>
        </w:rPr>
      </w:pPr>
      <w:bookmarkStart w:name="_Toc192582253" w:id="52"/>
      <w:r w:rsidRPr="006D4A66">
        <w:rPr>
          <w:i w:val="0"/>
          <w:iCs w:val="0"/>
        </w:rPr>
        <w:t>Cumulative Persisting Annual Savings</w:t>
      </w:r>
      <w:bookmarkEnd w:id="51"/>
      <w:bookmarkEnd w:id="52"/>
    </w:p>
    <w:p w:rsidR="007375C6" w:rsidRDefault="00B278E9" w14:paraId="23A068C7" w14:textId="6E5CF823">
      <w:pPr>
        <w:pStyle w:val="BodyText"/>
      </w:pPr>
      <w:r>
        <w:fldChar w:fldCharType="begin"/>
      </w:r>
      <w:r>
        <w:instrText xml:space="preserve"> REF _Ref105417109 \h  \* MERGEFORMAT </w:instrText>
      </w:r>
      <w:r>
        <w:fldChar w:fldCharType="separate"/>
      </w:r>
      <w:r>
        <w:t xml:space="preserve">Table </w:t>
      </w:r>
      <w:r>
        <w:rPr>
          <w:noProof/>
        </w:rPr>
        <w:t>4</w:t>
      </w:r>
      <w:r>
        <w:fldChar w:fldCharType="end"/>
      </w:r>
      <w:r>
        <w:t xml:space="preserve"> to </w:t>
      </w:r>
      <w:r>
        <w:fldChar w:fldCharType="begin"/>
      </w:r>
      <w:r>
        <w:instrText xml:space="preserve"> REF _Ref105417145 \h  \* MERGEFORMAT </w:instrText>
      </w:r>
      <w:r>
        <w:fldChar w:fldCharType="separate"/>
      </w:r>
      <w:r>
        <w:t xml:space="preserve">Table </w:t>
      </w:r>
      <w:r>
        <w:rPr>
          <w:noProof/>
        </w:rPr>
        <w:t>6</w:t>
      </w:r>
      <w:r>
        <w:fldChar w:fldCharType="end"/>
      </w:r>
      <w:r>
        <w:t xml:space="preserve"> show the </w:t>
      </w:r>
      <w:r w:rsidRPr="00B52A58">
        <w:t xml:space="preserve">cumulative </w:t>
      </w:r>
      <w:r w:rsidRPr="008419F0">
        <w:t xml:space="preserve">persisting annual savings (CPAS) for the measures installed in </w:t>
      </w:r>
      <w:r>
        <w:t>CY2024.</w:t>
      </w:r>
      <w:r w:rsidRPr="008419F0">
        <w:t xml:space="preserve"> The electric CPAS across all measures installed in </w:t>
      </w:r>
      <w:r>
        <w:t>CY2024</w:t>
      </w:r>
      <w:r w:rsidRPr="008419F0">
        <w:t xml:space="preserve"> is </w:t>
      </w:r>
      <w:r>
        <w:t xml:space="preserve">shown in </w:t>
      </w:r>
      <w:r>
        <w:fldChar w:fldCharType="begin"/>
      </w:r>
      <w:r>
        <w:instrText xml:space="preserve"> REF _Ref105417109 \h  \* MERGEFORMAT </w:instrText>
      </w:r>
      <w:r>
        <w:fldChar w:fldCharType="separate"/>
      </w:r>
      <w:r>
        <w:t xml:space="preserve">Table </w:t>
      </w:r>
      <w:r>
        <w:rPr>
          <w:noProof/>
        </w:rPr>
        <w:t>4</w:t>
      </w:r>
      <w:r>
        <w:fldChar w:fldCharType="end"/>
      </w:r>
      <w:r>
        <w:t>.</w:t>
      </w:r>
      <w:r w:rsidRPr="008419F0">
        <w:t xml:space="preserve"> </w:t>
      </w:r>
      <w:r w:rsidRPr="00C752CF">
        <w:t xml:space="preserve">The gas </w:t>
      </w:r>
      <w:r>
        <w:t xml:space="preserve">and other fuel </w:t>
      </w:r>
      <w:r w:rsidRPr="00C752CF">
        <w:t xml:space="preserve">contribution to CPAS (converted to equivalent electricity) </w:t>
      </w:r>
      <w:r>
        <w:t>are</w:t>
      </w:r>
      <w:r w:rsidRPr="00C752CF">
        <w:t xml:space="preserve"> </w:t>
      </w:r>
      <w:r>
        <w:t xml:space="preserve">shown in </w:t>
      </w:r>
      <w:r>
        <w:fldChar w:fldCharType="begin"/>
      </w:r>
      <w:r>
        <w:instrText xml:space="preserve"> REF _Ref105417178 \h  \* MERGEFORMAT </w:instrText>
      </w:r>
      <w:r>
        <w:fldChar w:fldCharType="separate"/>
      </w:r>
      <w:r>
        <w:t xml:space="preserve">Table </w:t>
      </w:r>
      <w:r>
        <w:rPr>
          <w:noProof/>
        </w:rPr>
        <w:t>5</w:t>
      </w:r>
      <w:r>
        <w:fldChar w:fldCharType="end"/>
      </w:r>
      <w:r w:rsidRPr="00C752CF">
        <w:t xml:space="preserve">. </w:t>
      </w:r>
      <w:r>
        <w:t xml:space="preserve">The combined savings are shown in </w:t>
      </w:r>
      <w:r>
        <w:fldChar w:fldCharType="begin"/>
      </w:r>
      <w:r>
        <w:instrText xml:space="preserve"> REF _Ref105417145 \h  \* MERGEFORMAT </w:instrText>
      </w:r>
      <w:r>
        <w:fldChar w:fldCharType="separate"/>
      </w:r>
      <w:r>
        <w:t xml:space="preserve">Table </w:t>
      </w:r>
      <w:r>
        <w:rPr>
          <w:noProof/>
        </w:rPr>
        <w:t>6</w:t>
      </w:r>
      <w:r>
        <w:fldChar w:fldCharType="end"/>
      </w:r>
      <w:r w:rsidRPr="00C752CF">
        <w:t>.</w:t>
      </w:r>
    </w:p>
    <w:p w:rsidR="007375C6" w:rsidRDefault="00B278E9" w14:paraId="10086E21" w14:textId="495FF8EF">
      <w:pPr>
        <w:pStyle w:val="Caption"/>
      </w:pPr>
      <w:bookmarkStart w:name="_Ref105417109" w:id="53"/>
      <w:bookmarkStart w:name="_Toc159919735" w:id="54"/>
      <w:bookmarkStart w:name="_Toc192581526" w:id="55"/>
      <w:r>
        <w:t xml:space="preserve">Table </w:t>
      </w:r>
      <w:r>
        <w:fldChar w:fldCharType="begin"/>
      </w:r>
      <w:r>
        <w:instrText>SEQ Table \* ARABIC</w:instrText>
      </w:r>
      <w:r>
        <w:fldChar w:fldCharType="separate"/>
      </w:r>
      <w:r w:rsidR="008B6B65">
        <w:rPr>
          <w:noProof/>
        </w:rPr>
        <w:t>4</w:t>
      </w:r>
      <w:r>
        <w:fldChar w:fldCharType="end"/>
      </w:r>
      <w:bookmarkEnd w:id="53"/>
      <w:r>
        <w:t xml:space="preserve">. </w:t>
      </w:r>
      <w:r w:rsidR="000B5F9B">
        <w:t xml:space="preserve">Multifamily Upgrades </w:t>
      </w:r>
      <w:r>
        <w:t>CPAS – Electric</w:t>
      </w:r>
      <w:bookmarkStart w:name="Table_4" w:id="56"/>
      <w:bookmarkEnd w:id="54"/>
      <w:bookmarkEnd w:id="55"/>
      <w:bookmarkEnd w:id="56"/>
    </w:p>
    <w:tbl>
      <w:tblPr>
        <w:tblW w:w="0" w:type="auto"/>
        <w:jc w:val="center"/>
        <w:tblLayout w:type="fixed"/>
        <w:tblLook w:val="0420" w:firstRow="1" w:lastRow="0" w:firstColumn="0" w:lastColumn="0" w:noHBand="0" w:noVBand="1"/>
      </w:tblPr>
      <w:tblGrid>
        <w:gridCol w:w="3168"/>
        <w:gridCol w:w="2016"/>
        <w:gridCol w:w="2016"/>
        <w:gridCol w:w="1008"/>
        <w:gridCol w:w="1008"/>
        <w:gridCol w:w="1008"/>
        <w:gridCol w:w="1008"/>
        <w:gridCol w:w="1008"/>
        <w:gridCol w:w="1008"/>
        <w:gridCol w:w="1008"/>
        <w:gridCol w:w="1008"/>
        <w:gridCol w:w="1008"/>
        <w:gridCol w:w="1008"/>
      </w:tblGrid>
      <w:tr w:rsidR="002343CF" w14:paraId="71DF0B4D" w14:textId="77777777">
        <w:trPr>
          <w:tblHeader/>
          <w:jc w:val="center"/>
        </w:trPr>
        <w:tc>
          <w:tcPr>
            <w:tcW w:w="7200" w:type="dxa"/>
            <w:gridSpan w:val="3"/>
            <w:tcBorders>
              <w:top w:val="single" w:color="036479" w:sz="8" w:space="0"/>
              <w:left w:val="single" w:color="036479" w:sz="8" w:space="0"/>
              <w:bottom w:val="single" w:color="036479" w:sz="8" w:space="0"/>
              <w:right w:val="single" w:color="036479" w:sz="8" w:space="0"/>
            </w:tcBorders>
            <w:shd w:val="clear" w:color="auto" w:fill="036479"/>
            <w:tcMar>
              <w:top w:w="0" w:type="dxa"/>
              <w:left w:w="0" w:type="dxa"/>
              <w:bottom w:w="0" w:type="dxa"/>
              <w:right w:w="0" w:type="dxa"/>
            </w:tcMar>
            <w:vAlign w:val="bottom"/>
          </w:tcPr>
          <w:p w:rsidR="002343CF" w:rsidRDefault="002343CF" w14:paraId="084895A5"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p>
        </w:tc>
        <w:tc>
          <w:tcPr>
            <w:tcW w:w="4032" w:type="dxa"/>
            <w:gridSpan w:val="4"/>
            <w:tcBorders>
              <w:top w:val="single" w:color="036479" w:sz="8" w:space="0"/>
              <w:left w:val="single" w:color="036479" w:sz="8" w:space="0"/>
              <w:bottom w:val="single" w:color="036479" w:sz="8" w:space="0"/>
              <w:right w:val="single" w:color="036479" w:sz="8" w:space="0"/>
            </w:tcBorders>
            <w:shd w:val="clear" w:color="auto" w:fill="036479"/>
            <w:tcMar>
              <w:top w:w="0" w:type="dxa"/>
              <w:left w:w="0" w:type="dxa"/>
              <w:bottom w:w="0" w:type="dxa"/>
              <w:right w:w="0" w:type="dxa"/>
            </w:tcMar>
            <w:vAlign w:val="bottom"/>
          </w:tcPr>
          <w:p w:rsidR="002343CF" w:rsidRDefault="00B278E9" w14:paraId="63A183D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CPAS Verified Net kWh Savings</w:t>
            </w:r>
          </w:p>
        </w:tc>
        <w:tc>
          <w:tcPr>
            <w:tcW w:w="6048" w:type="dxa"/>
            <w:gridSpan w:val="6"/>
            <w:tcBorders>
              <w:top w:val="single" w:color="036479" w:sz="8" w:space="0"/>
              <w:left w:val="single" w:color="036479" w:sz="8" w:space="0"/>
              <w:bottom w:val="single" w:color="036479" w:sz="8" w:space="0"/>
              <w:right w:val="single" w:color="036479" w:sz="8" w:space="0"/>
            </w:tcBorders>
            <w:shd w:val="clear" w:color="auto" w:fill="036479"/>
            <w:tcMar>
              <w:top w:w="0" w:type="dxa"/>
              <w:left w:w="0" w:type="dxa"/>
              <w:bottom w:w="0" w:type="dxa"/>
              <w:right w:w="0" w:type="dxa"/>
            </w:tcMar>
            <w:vAlign w:val="bottom"/>
          </w:tcPr>
          <w:p w:rsidR="002343CF" w:rsidRDefault="002343CF" w14:paraId="464C22C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p>
        </w:tc>
      </w:tr>
      <w:tr w:rsidR="002343CF" w14:paraId="01F1B88F" w14:textId="77777777">
        <w:trPr>
          <w:tblHeader/>
          <w:jc w:val="center"/>
        </w:trPr>
        <w:tc>
          <w:tcPr>
            <w:tcW w:w="316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14C16F1A"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2016"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5BD0021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Verified Gross Savings (kWh)</w:t>
            </w:r>
          </w:p>
        </w:tc>
        <w:tc>
          <w:tcPr>
            <w:tcW w:w="2016"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55ED682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Lifetime Net Savings (kWh)</w:t>
            </w:r>
            <w:r>
              <w:rPr>
                <w:rFonts w:ascii="Arial" w:hAnsi="DejaVu Sans" w:eastAsia="DejaVu Sans" w:cs="DejaVu Sans"/>
                <w:color w:val="FFFFFF"/>
                <w:sz w:val="14"/>
                <w:szCs w:val="14"/>
              </w:rPr>
              <w:t>†</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0FC074C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2018</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654DF33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2019</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7A78E39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2020</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0AC00AC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2021</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046B002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2022</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17F20CB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2023</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3BDFCBC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2024</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1399B40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2025</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0A9CAB3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2026</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37603C2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2027</w:t>
            </w:r>
          </w:p>
        </w:tc>
      </w:tr>
      <w:tr w:rsidR="002343CF" w14:paraId="5E894125" w14:textId="77777777">
        <w:trPr>
          <w:trHeight w:val="216" w:hRule="exact"/>
          <w:jc w:val="center"/>
        </w:trPr>
        <w:tc>
          <w:tcPr>
            <w:tcW w:w="316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142057D"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Contribution to CPAS</w:t>
            </w:r>
          </w:p>
        </w:tc>
        <w:tc>
          <w:tcPr>
            <w:tcW w:w="2016"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CD9677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31,949,088</w:t>
            </w:r>
          </w:p>
        </w:tc>
        <w:tc>
          <w:tcPr>
            <w:tcW w:w="2016"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B628BD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405,636,835</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1E9C2BA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68443A8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1C862D1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627D130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7350433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69308ED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6E4CEE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31,246,884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2E27D5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30,010,041</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5EF2B0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29,973,809</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3527CC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29,957,482</w:t>
            </w:r>
          </w:p>
        </w:tc>
      </w:tr>
      <w:tr w:rsidR="002343CF" w14:paraId="3C34D883"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2950F64"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Total Contribution to CPAS</w:t>
            </w:r>
            <w:r>
              <w:rPr>
                <w:rFonts w:ascii="Arial" w:hAnsi="DejaVu Sans" w:eastAsia="DejaVu Sans" w:cs="DejaVu Sans"/>
                <w:color w:val="000000"/>
                <w:sz w:val="14"/>
                <w:szCs w:val="14"/>
              </w:rPr>
              <w:t>‡</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3B7C5F3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D5CE24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855,934,833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F615A7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18,692,635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4D95D0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31,612,149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1D3AE4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44,056,835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0D21C5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53,407,791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794CAD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78,166,192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2370A5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110,961,260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494048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104,850,955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D7EA6A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96,960,203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ECB446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86,415,116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70D16E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78,387,197</w:t>
            </w:r>
          </w:p>
        </w:tc>
      </w:tr>
      <w:tr w:rsidR="002343CF" w14:paraId="09EDE177"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262FAB2"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CPAS</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A38681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31,949,088</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0FE03A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1,156,720,713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BDE506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18,692,635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ABFE84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31,612,149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F3F73C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44,056,835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048FCF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53,407,791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B1D9CF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78,166,192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A1BBEF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110,961,260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Pr="00147BFE" w:rsidR="002343CF" w:rsidRDefault="00F40F25" w14:paraId="30BE256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sidRPr="00147BFE">
              <w:rPr>
                <w:rFonts w:ascii="Arial" w:hAnsi="DejaVu Sans" w:eastAsia="DejaVu Sans" w:cs="DejaVu Sans"/>
                <w:color w:val="000000"/>
                <w:sz w:val="14"/>
                <w:szCs w:val="14"/>
              </w:rPr>
              <w:t>142,208</w:t>
            </w:r>
            <w:r w:rsidRPr="00147BFE" w:rsidR="00C32DAC">
              <w:rPr>
                <w:rFonts w:ascii="Arial" w:hAnsi="DejaVu Sans" w:eastAsia="DejaVu Sans" w:cs="DejaVu Sans"/>
                <w:color w:val="000000"/>
                <w:sz w:val="14"/>
                <w:szCs w:val="14"/>
              </w:rPr>
              <w:t>,144</w:t>
            </w:r>
          </w:p>
          <w:p w:rsidRPr="00147BFE" w:rsidR="00C32DAC" w:rsidRDefault="00C32DAC" w14:paraId="457AFB80" w14:textId="3F2A9309">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A0F468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126,970,243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7125C0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116,388,925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66132F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108,344,679</w:t>
            </w:r>
          </w:p>
        </w:tc>
      </w:tr>
      <w:tr w:rsidR="002343CF" w14:paraId="556678A2"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5EF45B6"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Savings</w:t>
            </w:r>
            <w:r>
              <w:rPr>
                <w:rFonts w:ascii="Arial" w:hAnsi="DejaVu Sans" w:eastAsia="DejaVu Sans" w:cs="DejaVu Sans"/>
                <w:color w:val="000000"/>
                <w:sz w:val="14"/>
                <w:szCs w:val="14"/>
              </w:rPr>
              <w:t>§</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4752026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033E8F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35,941,230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527E002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46D80A7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6916699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1BDCE6E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0493C04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3343534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8DDD60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169B11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1,236,844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EBB058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36,232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7CF43B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16,326</w:t>
            </w:r>
          </w:p>
        </w:tc>
      </w:tr>
      <w:tr w:rsidR="002343CF" w14:paraId="401991B7"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72EC9EC"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Incremental Expiring Savings||</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3905523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C305FB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104,850,955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06D42DB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14E9CD1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686D095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3A0C850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0D594F3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3641B93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26C507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05705D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7,890,753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58826E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10,545,087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3495A4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8,027,919</w:t>
            </w:r>
          </w:p>
        </w:tc>
      </w:tr>
      <w:tr w:rsidR="002343CF" w14:paraId="4068BF13" w14:textId="77777777">
        <w:trPr>
          <w:trHeight w:val="216" w:hRule="exact"/>
          <w:jc w:val="center"/>
        </w:trPr>
        <w:tc>
          <w:tcPr>
            <w:tcW w:w="316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2FF7E23D"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Incremental Expiring Savings#</w:t>
            </w:r>
          </w:p>
        </w:tc>
        <w:tc>
          <w:tcPr>
            <w:tcW w:w="2016"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2343CF" w14:paraId="53AEFFF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2016"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7B9DD32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140,792,185</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2343CF" w14:paraId="70BB9DF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2343CF" w14:paraId="68A8228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2343CF" w14:paraId="1540D95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2343CF" w14:paraId="73DE27E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2343CF" w14:paraId="2CADD88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2343CF" w14:paraId="2459A15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1D906E9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48EE54D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9,127,596</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7A3A983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10,581,319</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34EE98C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8,044,245</w:t>
            </w:r>
          </w:p>
        </w:tc>
      </w:tr>
    </w:tbl>
    <w:p w:rsidR="007375C6" w:rsidRDefault="007375C6" w14:paraId="470727AD" w14:textId="77777777">
      <w:pPr>
        <w:spacing w:before="0" w:after="0"/>
      </w:pPr>
      <w:bookmarkStart w:name="Table_4_2" w:id="57"/>
      <w:bookmarkEnd w:id="57"/>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2343CF" w14:paraId="7B93BA25" w14:textId="77777777">
        <w:trPr>
          <w:tblHeader/>
          <w:jc w:val="center"/>
        </w:trPr>
        <w:tc>
          <w:tcPr>
            <w:tcW w:w="316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0D770423"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29E66A1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2028</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0780B0C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2029</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6F0978A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2030</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5966CD1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2031</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57D732E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2032</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75C8238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2033</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1A06DB1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2034</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140ECE8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2035</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1714EE9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2036</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1912453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2037</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6CF61C7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2038</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38AE874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2039</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1A8963E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2040</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23C9461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2041</w:t>
            </w:r>
          </w:p>
        </w:tc>
      </w:tr>
      <w:tr w:rsidR="002343CF" w14:paraId="3209CFD4" w14:textId="77777777">
        <w:trPr>
          <w:trHeight w:val="216" w:hRule="exact"/>
          <w:jc w:val="center"/>
        </w:trPr>
        <w:tc>
          <w:tcPr>
            <w:tcW w:w="316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D59280E"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Contribution to CPAS</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062A2C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29,957,482</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30BE30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29,614,296</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A11F7A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29,442,519</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E56DFF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24,283,972</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5DBE5B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14,529,670</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007B00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14,507,342</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1F82E8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13,589,785</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91E60F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13,473,087</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D7AAEB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12,258,225</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68E356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12,258,225</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8A3280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12,258,225</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643613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11,932,634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1F48E0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4,849,925</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DF9C51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4,849,925</w:t>
            </w:r>
          </w:p>
        </w:tc>
      </w:tr>
      <w:tr w:rsidR="002343CF" w14:paraId="739E81BF"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D76C9C3"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Total Contribution to CPAS</w:t>
            </w:r>
            <w:r>
              <w:rPr>
                <w:rFonts w:ascii="Arial" w:hAnsi="DejaVu Sans" w:eastAsia="DejaVu Sans" w:cs="DejaVu Sans"/>
                <w:color w:val="000000"/>
                <w:sz w:val="14"/>
                <w:szCs w:val="14"/>
              </w:rPr>
              <w:t>‡</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1271E3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65,048,506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4BE54A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55,583,784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4C196F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52,890,553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1C9E3A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48,674,100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92ED6D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38,784,309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4F565F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35,838,363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5551CA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33,353,197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D3A0D4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31,399,674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71C8DB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30,891,578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D74E03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27,800,307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7CBB10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18,054,019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C52E87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15,020,161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3AC899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14,055,148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D279C2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12,609,349</w:t>
            </w:r>
          </w:p>
        </w:tc>
      </w:tr>
      <w:tr w:rsidR="002343CF" w14:paraId="17315EEC"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2E466B6"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CPAS</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F45245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95,005,988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A90F23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85,198,080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5A9913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82,333,072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5356F6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72,958,072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E00B77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53,313,978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C8BF8C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50,345,706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0D4818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46,942,982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37AD71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44,872,761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A9A512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43,149,803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D28A0D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40,058,532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AAFE14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30,312,245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862340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26,952,795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A7335E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18,905,073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0E7C9B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17,459,274</w:t>
            </w:r>
          </w:p>
        </w:tc>
      </w:tr>
      <w:tr w:rsidR="002343CF" w14:paraId="5A2C095B"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C13527C"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Savings</w:t>
            </w:r>
            <w:r>
              <w:rPr>
                <w:rFonts w:ascii="Arial" w:hAnsi="DejaVu Sans" w:eastAsia="DejaVu Sans" w:cs="DejaVu Sans"/>
                <w:color w:val="000000"/>
                <w:sz w:val="14"/>
                <w:szCs w:val="14"/>
              </w:rPr>
              <w:t>§</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C50353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C16547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343,186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FB3898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171,777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5B035F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5,158,547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41345D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9,754,302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26AD4F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22,328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778163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917,557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4F90EB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116,698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1B5EE4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1,214,862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B81E57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14BF1D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98ADF5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325,591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FA6D29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7,082,709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DE9B75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2343CF" w14:paraId="229EF607"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66FC617"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Incremental Expiring Savings||</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90F5EF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13,338,691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DBBC25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9,464,722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71B407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2,693,231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B84422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4,216,453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BEA01C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9,889,791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B52C04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2,945,945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0A82CB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2,485,166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EC8C4F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1,953,523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73A33E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508,096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EE68A9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3,091,272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D5EF8D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9,746,287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F7CA52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3,033,859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BD95FC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965,013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D3B2FA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1,445,799</w:t>
            </w:r>
          </w:p>
        </w:tc>
      </w:tr>
      <w:tr w:rsidR="002343CF" w14:paraId="7F1AF919" w14:textId="77777777">
        <w:trPr>
          <w:trHeight w:val="216" w:hRule="exact"/>
          <w:jc w:val="center"/>
        </w:trPr>
        <w:tc>
          <w:tcPr>
            <w:tcW w:w="316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47512968"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Incremental Expiring Savings#</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0FAE63D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13,338,691</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3038AF2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9,807,908</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09A5588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2,865,008</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2741B3D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9,375,000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1E9E256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19,644,094</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340E1E3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2,968,273</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1CA9DB2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3,402,723</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3B484ED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2,070,221</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60055D6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1,722,958</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48DC32D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3,091,272</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4296814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9,746,287</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22EB26B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3,359,450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3239EA3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8,047,722</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72DC0E3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1,445,799</w:t>
            </w:r>
          </w:p>
        </w:tc>
      </w:tr>
    </w:tbl>
    <w:p w:rsidRPr="00944D07" w:rsidR="007375C6" w:rsidRDefault="007375C6" w14:paraId="439EBF93" w14:textId="77777777">
      <w:pPr>
        <w:spacing w:before="0" w:after="0"/>
      </w:pPr>
      <w:bookmarkStart w:name="Table_4_3" w:id="58"/>
      <w:bookmarkEnd w:id="58"/>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2343CF" w14:paraId="0C2F66AB" w14:textId="77777777">
        <w:trPr>
          <w:tblHeader/>
          <w:jc w:val="center"/>
        </w:trPr>
        <w:tc>
          <w:tcPr>
            <w:tcW w:w="316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48D3241A"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671CC23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2042</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555306A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2043</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6D34071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2044</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0001F5C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2045</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663F5C2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2046</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27BF94E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2047</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7BC0E50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2048</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321ECF0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2049</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62F8194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2050</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62EE904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2051</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7523068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2052</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5BBE757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2053</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34ACF2A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2054</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69E4DE4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2055</w:t>
            </w:r>
          </w:p>
        </w:tc>
      </w:tr>
      <w:tr w:rsidR="002343CF" w14:paraId="5D130FC1" w14:textId="77777777">
        <w:trPr>
          <w:trHeight w:val="216" w:hRule="exact"/>
          <w:jc w:val="center"/>
        </w:trPr>
        <w:tc>
          <w:tcPr>
            <w:tcW w:w="316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18255B0"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Contribution to CPAS</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01DF0D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4,849,925</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7AC5E6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4,849,925</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AADDB5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4,694,346</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AC4C7F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4,694,346</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A371D8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4,694,346</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F7487A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4,694,346</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483FF2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4,694,346</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6E183D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4,694,346</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48CB4A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4,694,346</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4FBAF8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4,694,346</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688C83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4,694,346</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875FCD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4,694,346</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17083B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478E5C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2343CF" w14:paraId="11A22324"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F5035A8"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Total Contribution to CPAS</w:t>
            </w:r>
            <w:r>
              <w:rPr>
                <w:rFonts w:ascii="Arial" w:hAnsi="DejaVu Sans" w:eastAsia="DejaVu Sans" w:cs="DejaVu Sans"/>
                <w:color w:val="000000"/>
                <w:sz w:val="14"/>
                <w:szCs w:val="14"/>
              </w:rPr>
              <w:t>‡</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327400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9,154,417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3CF354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54,632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F3B2F7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54,632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C980CA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54,632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02AD75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2692CDC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68ED7AE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7991A6F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63BE6B6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1B2A3D9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3E8952B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3536612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023959D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6D37D2E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r>
      <w:tr w:rsidR="002343CF" w14:paraId="28976C08"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42ACA03"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CPAS</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89495D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14,004,341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744BD7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4,904,557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3250A5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4,748,978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F0BA25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4,748,978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C5F0C7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4,694,346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56E01A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4,694,346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841538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4,694,346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D2D69C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4,694,346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240097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4,694,346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DB875D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4,694,346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88DC83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4,694,346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246E3C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4,694,346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49D6EE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6B3BE4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2343CF" w14:paraId="7F711629"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4183843"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Savings</w:t>
            </w:r>
            <w:r>
              <w:rPr>
                <w:rFonts w:ascii="Arial" w:hAnsi="DejaVu Sans" w:eastAsia="DejaVu Sans" w:cs="DejaVu Sans"/>
                <w:color w:val="000000"/>
                <w:sz w:val="14"/>
                <w:szCs w:val="14"/>
              </w:rPr>
              <w:t>§</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033358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798ADE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753F2B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155,579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A93767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634126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6B330E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3687AF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A43310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EBC895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1EDF0D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03CB22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38B8AC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Pr="00C32DAC" w:rsidR="002343CF" w:rsidRDefault="00C32DAC" w14:paraId="5B5739B3" w14:textId="007E1D20">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sidRPr="00C32DAC">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Pr="00C32DAC" w:rsidR="002343CF" w:rsidRDefault="00C32DAC" w14:paraId="3C4D6038" w14:textId="55438958">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sidRPr="00C32DAC">
              <w:rPr>
                <w:rFonts w:ascii="Arial" w:hAnsi="DejaVu Sans" w:eastAsia="DejaVu Sans" w:cs="DejaVu Sans"/>
                <w:color w:val="000000"/>
                <w:sz w:val="14"/>
                <w:szCs w:val="14"/>
              </w:rPr>
              <w:t>0</w:t>
            </w:r>
          </w:p>
        </w:tc>
      </w:tr>
      <w:tr w:rsidR="002343CF" w14:paraId="56DA8C50"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06C3096"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Incremental Expiring Savings||</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190B08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3,454,933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6D1E4B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9,099,784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D3F417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EBFC3B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DC4B1A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54,632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DE1246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13E1BC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6BC2FA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C7DFB4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81CD82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59C834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065A02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Pr="00C32DAC" w:rsidR="002343CF" w:rsidRDefault="00B278E9" w14:paraId="45BDABB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sidRPr="00C32DAC">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Pr="00C32DAC" w:rsidR="002343CF" w:rsidRDefault="00B278E9" w14:paraId="18718A7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sidRPr="00C32DAC">
              <w:rPr>
                <w:rFonts w:ascii="Arial" w:hAnsi="DejaVu Sans" w:eastAsia="DejaVu Sans" w:cs="DejaVu Sans"/>
                <w:color w:val="000000"/>
                <w:sz w:val="14"/>
                <w:szCs w:val="14"/>
              </w:rPr>
              <w:t>0</w:t>
            </w:r>
          </w:p>
        </w:tc>
      </w:tr>
      <w:tr w:rsidR="002343CF" w14:paraId="3C9C4E9B" w14:textId="77777777">
        <w:trPr>
          <w:trHeight w:val="216" w:hRule="exact"/>
          <w:jc w:val="center"/>
        </w:trPr>
        <w:tc>
          <w:tcPr>
            <w:tcW w:w="316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1945CE07"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Incremental Expiring Savings#</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25FDAAC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3,454,933</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0F8D4BA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9,099,784</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3A9C9B8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155,579</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2506D9D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12E0D4F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54,632</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5657E8B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0587A98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407F228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685BFB9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2BCECCC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3793E09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3F1BCDF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Pr="00C32DAC" w:rsidR="002343CF" w:rsidRDefault="00C32DAC" w14:paraId="28B90653" w14:textId="3BC0E1EA">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sidRPr="00C32DAC">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Pr="00C32DAC" w:rsidR="002343CF" w:rsidRDefault="00C32DAC" w14:paraId="5D345B38" w14:textId="0415245A">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sidRPr="00C32DAC">
              <w:rPr>
                <w:rFonts w:ascii="Arial" w:hAnsi="DejaVu Sans" w:eastAsia="DejaVu Sans" w:cs="DejaVu Sans"/>
                <w:color w:val="000000"/>
                <w:sz w:val="14"/>
                <w:szCs w:val="14"/>
              </w:rPr>
              <w:t>0</w:t>
            </w:r>
          </w:p>
        </w:tc>
      </w:tr>
    </w:tbl>
    <w:p w:rsidRPr="00C34E77" w:rsidR="007375C6" w:rsidRDefault="00B278E9" w14:paraId="2E759DDD" w14:textId="77777777">
      <w:pPr>
        <w:pStyle w:val="TableFigureNote"/>
      </w:pPr>
      <w:r w:rsidRPr="00C34E77">
        <w:rPr>
          <w:rFonts w:eastAsiaTheme="minorEastAsia"/>
        </w:rPr>
        <w:t>† Lifetime savings are the sum of CPAS savings through the EUL.</w:t>
      </w:r>
    </w:p>
    <w:p w:rsidR="007375C6" w:rsidRDefault="00B278E9" w14:paraId="7135FD43" w14:textId="77777777">
      <w:pPr>
        <w:pStyle w:val="TableFigureNote"/>
        <w:keepNext w:val="0"/>
        <w:rPr>
          <w:rFonts w:eastAsiaTheme="minorEastAsia"/>
        </w:rPr>
      </w:pPr>
      <w:r w:rsidRPr="00C34E77">
        <w:rPr>
          <w:rFonts w:eastAsiaTheme="minorEastAsia"/>
        </w:rPr>
        <w:t xml:space="preserve">‡ Historical savings go back to CY2018. </w:t>
      </w:r>
    </w:p>
    <w:p w:rsidRPr="00C34E77" w:rsidR="007375C6" w:rsidRDefault="00B278E9" w14:paraId="3F41F0F5" w14:textId="77777777">
      <w:pPr>
        <w:pStyle w:val="TableFigureNote"/>
      </w:pPr>
      <w:r w:rsidRPr="00C34E77">
        <w:rPr>
          <w:rFonts w:eastAsiaTheme="minorEastAsia"/>
        </w:rPr>
        <w:t>§ Incremental expiring savings are equal to CPAS Yn-1 - CPAS Yn.</w:t>
      </w:r>
    </w:p>
    <w:p w:rsidRPr="00C34E77" w:rsidR="007375C6" w:rsidRDefault="00B278E9" w14:paraId="5FC5C1BE" w14:textId="77777777">
      <w:pPr>
        <w:pStyle w:val="TableFigureNote"/>
      </w:pPr>
      <w:r w:rsidRPr="00C34E77">
        <w:rPr>
          <w:rFonts w:eastAsiaTheme="minorEastAsia"/>
        </w:rPr>
        <w:t>|| Historic incremental expiring savings are equal to Historic CPAS Yn-1 – Historic CPAS Yn.</w:t>
      </w:r>
    </w:p>
    <w:p w:rsidRPr="00C34E77" w:rsidR="007375C6" w:rsidRDefault="00B278E9" w14:paraId="40A66E97" w14:textId="77777777">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rsidR="007375C6" w:rsidRDefault="00B278E9" w14:paraId="4BED6528" w14:textId="77777777">
      <w:pPr>
        <w:pStyle w:val="TableFigureSource"/>
      </w:pPr>
      <w:r w:rsidRPr="00B361A6">
        <w:t>Source: Evaluation team analysis</w:t>
      </w:r>
    </w:p>
    <w:p w:rsidR="007375C6" w:rsidRDefault="00B278E9" w14:paraId="48063F23" w14:textId="6F2735A3">
      <w:pPr>
        <w:pStyle w:val="Caption"/>
      </w:pPr>
      <w:bookmarkStart w:name="_Ref105417178" w:id="59"/>
      <w:bookmarkStart w:name="_Toc159919736" w:id="60"/>
      <w:bookmarkStart w:name="_Toc192581527" w:id="61"/>
      <w:r>
        <w:t xml:space="preserve">Table </w:t>
      </w:r>
      <w:r>
        <w:fldChar w:fldCharType="begin"/>
      </w:r>
      <w:r>
        <w:instrText>SEQ Table \* ARABIC</w:instrText>
      </w:r>
      <w:r>
        <w:fldChar w:fldCharType="separate"/>
      </w:r>
      <w:r w:rsidR="008B6B65">
        <w:rPr>
          <w:noProof/>
        </w:rPr>
        <w:t>5</w:t>
      </w:r>
      <w:r>
        <w:fldChar w:fldCharType="end"/>
      </w:r>
      <w:bookmarkEnd w:id="59"/>
      <w:r w:rsidRPr="00F7087A">
        <w:t xml:space="preserve">. </w:t>
      </w:r>
      <w:r w:rsidR="000B5F9B">
        <w:t xml:space="preserve">Multifamily Upgrades </w:t>
      </w:r>
      <w:r w:rsidRPr="00F7087A">
        <w:t xml:space="preserve">CPAS – </w:t>
      </w:r>
      <w:r w:rsidRPr="00016EEF">
        <w:t>Other Fuel (Gas + Propane)</w:t>
      </w:r>
      <w:bookmarkStart w:name="Table_5" w:id="62"/>
      <w:bookmarkEnd w:id="60"/>
      <w:bookmarkEnd w:id="61"/>
      <w:bookmarkEnd w:id="62"/>
    </w:p>
    <w:tbl>
      <w:tblPr>
        <w:tblW w:w="0" w:type="auto"/>
        <w:jc w:val="center"/>
        <w:tblLayout w:type="fixed"/>
        <w:tblLook w:val="0420" w:firstRow="1" w:lastRow="0" w:firstColumn="0" w:lastColumn="0" w:noHBand="0" w:noVBand="1"/>
      </w:tblPr>
      <w:tblGrid>
        <w:gridCol w:w="5112"/>
        <w:gridCol w:w="1044"/>
        <w:gridCol w:w="1044"/>
        <w:gridCol w:w="1008"/>
        <w:gridCol w:w="1008"/>
        <w:gridCol w:w="1008"/>
        <w:gridCol w:w="1008"/>
        <w:gridCol w:w="1008"/>
        <w:gridCol w:w="1008"/>
        <w:gridCol w:w="1008"/>
        <w:gridCol w:w="1008"/>
        <w:gridCol w:w="1008"/>
        <w:gridCol w:w="1008"/>
      </w:tblGrid>
      <w:tr w:rsidR="002343CF" w:rsidTr="3B7AF982" w14:paraId="224D3716" w14:textId="77777777">
        <w:trPr>
          <w:tblHeader/>
          <w:jc w:val="center"/>
        </w:trPr>
        <w:tc>
          <w:tcPr>
            <w:tcW w:w="7200" w:type="dxa"/>
            <w:gridSpan w:val="3"/>
            <w:tcBorders>
              <w:top w:val="single" w:color="036479" w:themeColor="text2" w:sz="8" w:space="0"/>
              <w:left w:val="single" w:color="036479" w:themeColor="text2" w:sz="8" w:space="0"/>
              <w:bottom w:val="single" w:color="036479" w:themeColor="text2" w:sz="8" w:space="0"/>
              <w:right w:val="single" w:color="036479" w:themeColor="text2" w:sz="8" w:space="0"/>
            </w:tcBorders>
            <w:shd w:val="clear" w:color="auto" w:fill="036479" w:themeFill="text2"/>
            <w:tcMar>
              <w:top w:w="0" w:type="dxa"/>
              <w:left w:w="0" w:type="dxa"/>
              <w:bottom w:w="0" w:type="dxa"/>
              <w:right w:w="0" w:type="dxa"/>
            </w:tcMar>
            <w:vAlign w:val="bottom"/>
          </w:tcPr>
          <w:p w:rsidR="002343CF" w:rsidRDefault="002343CF" w14:paraId="5380734A"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p>
        </w:tc>
        <w:tc>
          <w:tcPr>
            <w:tcW w:w="4032" w:type="dxa"/>
            <w:gridSpan w:val="4"/>
            <w:tcBorders>
              <w:top w:val="single" w:color="036479" w:themeColor="text2" w:sz="8" w:space="0"/>
              <w:left w:val="single" w:color="036479" w:themeColor="text2" w:sz="8" w:space="0"/>
              <w:bottom w:val="single" w:color="036479" w:themeColor="text2" w:sz="8" w:space="0"/>
              <w:right w:val="single" w:color="036479" w:themeColor="text2" w:sz="8" w:space="0"/>
            </w:tcBorders>
            <w:shd w:val="clear" w:color="auto" w:fill="036479" w:themeFill="text2"/>
            <w:tcMar>
              <w:top w:w="0" w:type="dxa"/>
              <w:left w:w="0" w:type="dxa"/>
              <w:bottom w:w="0" w:type="dxa"/>
              <w:right w:w="0" w:type="dxa"/>
            </w:tcMar>
            <w:vAlign w:val="bottom"/>
          </w:tcPr>
          <w:p w:rsidR="002343CF" w:rsidRDefault="00B278E9" w14:paraId="01D3B5B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CPAS Verified Net Therms Savings</w:t>
            </w:r>
          </w:p>
        </w:tc>
        <w:tc>
          <w:tcPr>
            <w:tcW w:w="6048" w:type="dxa"/>
            <w:gridSpan w:val="6"/>
            <w:tcBorders>
              <w:top w:val="single" w:color="036479" w:themeColor="text2" w:sz="8" w:space="0"/>
              <w:left w:val="single" w:color="036479" w:themeColor="text2" w:sz="8" w:space="0"/>
              <w:bottom w:val="single" w:color="036479" w:themeColor="text2" w:sz="8" w:space="0"/>
              <w:right w:val="single" w:color="036479" w:themeColor="text2" w:sz="8" w:space="0"/>
            </w:tcBorders>
            <w:shd w:val="clear" w:color="auto" w:fill="036479" w:themeFill="text2"/>
            <w:tcMar>
              <w:top w:w="0" w:type="dxa"/>
              <w:left w:w="0" w:type="dxa"/>
              <w:bottom w:w="0" w:type="dxa"/>
              <w:right w:w="0" w:type="dxa"/>
            </w:tcMar>
            <w:vAlign w:val="bottom"/>
          </w:tcPr>
          <w:p w:rsidR="002343CF" w:rsidRDefault="002343CF" w14:paraId="31EE695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p>
        </w:tc>
      </w:tr>
      <w:tr w:rsidR="002343CF" w:rsidTr="3B7AF982" w14:paraId="7EA5B4BC" w14:textId="77777777">
        <w:trPr>
          <w:tblHeader/>
          <w:jc w:val="center"/>
        </w:trPr>
        <w:tc>
          <w:tcPr>
            <w:tcW w:w="5112" w:type="dxa"/>
            <w:tcBorders>
              <w:top w:val="single" w:color="036479" w:themeColor="text2" w:sz="8" w:space="0"/>
              <w:left w:val="none" w:color="000000" w:sz="0" w:space="0"/>
              <w:bottom w:val="single" w:color="93D500" w:themeColor="accent1" w:sz="16" w:space="0"/>
              <w:right w:val="none" w:color="000000" w:sz="0" w:space="0"/>
            </w:tcBorders>
            <w:shd w:val="clear" w:color="auto" w:fill="036479" w:themeFill="text2"/>
            <w:tcMar>
              <w:top w:w="0" w:type="dxa"/>
              <w:left w:w="0" w:type="dxa"/>
              <w:bottom w:w="0" w:type="dxa"/>
              <w:right w:w="0" w:type="dxa"/>
            </w:tcMar>
            <w:vAlign w:val="bottom"/>
          </w:tcPr>
          <w:p w:rsidR="002343CF" w:rsidRDefault="00B278E9" w14:paraId="0746FBBF"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1044" w:type="dxa"/>
            <w:tcBorders>
              <w:top w:val="single" w:color="036479" w:themeColor="text2" w:sz="8" w:space="0"/>
              <w:left w:val="none" w:color="000000" w:sz="0" w:space="0"/>
              <w:bottom w:val="single" w:color="93D500" w:themeColor="accent1" w:sz="16" w:space="0"/>
              <w:right w:val="none" w:color="000000" w:sz="0" w:space="0"/>
            </w:tcBorders>
            <w:shd w:val="clear" w:color="auto" w:fill="036479" w:themeFill="text2"/>
            <w:tcMar>
              <w:top w:w="0" w:type="dxa"/>
              <w:left w:w="0" w:type="dxa"/>
              <w:bottom w:w="0" w:type="dxa"/>
              <w:right w:w="0" w:type="dxa"/>
            </w:tcMar>
            <w:vAlign w:val="bottom"/>
          </w:tcPr>
          <w:p w:rsidR="002343CF" w:rsidRDefault="00B278E9" w14:paraId="49347D1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Verified Gross Savings (Therms)</w:t>
            </w:r>
          </w:p>
        </w:tc>
        <w:tc>
          <w:tcPr>
            <w:tcW w:w="1044" w:type="dxa"/>
            <w:tcBorders>
              <w:top w:val="single" w:color="036479" w:themeColor="text2" w:sz="8" w:space="0"/>
              <w:left w:val="none" w:color="000000" w:sz="0" w:space="0"/>
              <w:bottom w:val="single" w:color="93D500" w:themeColor="accent1" w:sz="16" w:space="0"/>
              <w:right w:val="none" w:color="000000" w:sz="0" w:space="0"/>
            </w:tcBorders>
            <w:shd w:val="clear" w:color="auto" w:fill="036479" w:themeFill="text2"/>
            <w:tcMar>
              <w:top w:w="0" w:type="dxa"/>
              <w:left w:w="0" w:type="dxa"/>
              <w:bottom w:w="0" w:type="dxa"/>
              <w:right w:w="0" w:type="dxa"/>
            </w:tcMar>
            <w:vAlign w:val="bottom"/>
          </w:tcPr>
          <w:p w:rsidR="002343CF" w:rsidRDefault="00B278E9" w14:paraId="7DAED53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Lifetime Net Savings</w:t>
            </w:r>
            <w:r>
              <w:rPr>
                <w:rFonts w:ascii="Arial" w:hAnsi="DejaVu Sans" w:eastAsia="DejaVu Sans" w:cs="DejaVu Sans"/>
                <w:color w:val="FFFFFF"/>
                <w:sz w:val="14"/>
                <w:szCs w:val="14"/>
              </w:rPr>
              <w:t>†</w:t>
            </w:r>
          </w:p>
        </w:tc>
        <w:tc>
          <w:tcPr>
            <w:tcW w:w="1008" w:type="dxa"/>
            <w:tcBorders>
              <w:top w:val="single" w:color="036479" w:themeColor="text2" w:sz="8" w:space="0"/>
              <w:left w:val="none" w:color="000000" w:sz="0" w:space="0"/>
              <w:bottom w:val="single" w:color="93D500" w:themeColor="accent1" w:sz="16" w:space="0"/>
              <w:right w:val="none" w:color="000000" w:sz="0" w:space="0"/>
            </w:tcBorders>
            <w:shd w:val="clear" w:color="auto" w:fill="036479" w:themeFill="text2"/>
            <w:tcMar>
              <w:top w:w="0" w:type="dxa"/>
              <w:left w:w="0" w:type="dxa"/>
              <w:bottom w:w="0" w:type="dxa"/>
              <w:right w:w="0" w:type="dxa"/>
            </w:tcMar>
            <w:vAlign w:val="bottom"/>
          </w:tcPr>
          <w:p w:rsidR="002343CF" w:rsidRDefault="00B278E9" w14:paraId="3737336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2018</w:t>
            </w:r>
          </w:p>
        </w:tc>
        <w:tc>
          <w:tcPr>
            <w:tcW w:w="1008" w:type="dxa"/>
            <w:tcBorders>
              <w:top w:val="single" w:color="036479" w:themeColor="text2" w:sz="8" w:space="0"/>
              <w:left w:val="none" w:color="000000" w:sz="0" w:space="0"/>
              <w:bottom w:val="single" w:color="93D500" w:themeColor="accent1" w:sz="16" w:space="0"/>
              <w:right w:val="none" w:color="000000" w:sz="0" w:space="0"/>
            </w:tcBorders>
            <w:shd w:val="clear" w:color="auto" w:fill="036479" w:themeFill="text2"/>
            <w:tcMar>
              <w:top w:w="0" w:type="dxa"/>
              <w:left w:w="0" w:type="dxa"/>
              <w:bottom w:w="0" w:type="dxa"/>
              <w:right w:w="0" w:type="dxa"/>
            </w:tcMar>
            <w:vAlign w:val="bottom"/>
          </w:tcPr>
          <w:p w:rsidR="002343CF" w:rsidRDefault="00B278E9" w14:paraId="5BBB600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2019</w:t>
            </w:r>
          </w:p>
        </w:tc>
        <w:tc>
          <w:tcPr>
            <w:tcW w:w="1008" w:type="dxa"/>
            <w:tcBorders>
              <w:top w:val="single" w:color="036479" w:themeColor="text2" w:sz="8" w:space="0"/>
              <w:left w:val="none" w:color="000000" w:sz="0" w:space="0"/>
              <w:bottom w:val="single" w:color="93D500" w:themeColor="accent1" w:sz="16" w:space="0"/>
              <w:right w:val="none" w:color="000000" w:sz="0" w:space="0"/>
            </w:tcBorders>
            <w:shd w:val="clear" w:color="auto" w:fill="036479" w:themeFill="text2"/>
            <w:tcMar>
              <w:top w:w="0" w:type="dxa"/>
              <w:left w:w="0" w:type="dxa"/>
              <w:bottom w:w="0" w:type="dxa"/>
              <w:right w:w="0" w:type="dxa"/>
            </w:tcMar>
            <w:vAlign w:val="bottom"/>
          </w:tcPr>
          <w:p w:rsidR="002343CF" w:rsidRDefault="00B278E9" w14:paraId="3E5F476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2020</w:t>
            </w:r>
          </w:p>
        </w:tc>
        <w:tc>
          <w:tcPr>
            <w:tcW w:w="1008" w:type="dxa"/>
            <w:tcBorders>
              <w:top w:val="single" w:color="036479" w:themeColor="text2" w:sz="8" w:space="0"/>
              <w:left w:val="none" w:color="000000" w:sz="0" w:space="0"/>
              <w:bottom w:val="single" w:color="93D500" w:themeColor="accent1" w:sz="16" w:space="0"/>
              <w:right w:val="none" w:color="000000" w:sz="0" w:space="0"/>
            </w:tcBorders>
            <w:shd w:val="clear" w:color="auto" w:fill="036479" w:themeFill="text2"/>
            <w:tcMar>
              <w:top w:w="0" w:type="dxa"/>
              <w:left w:w="0" w:type="dxa"/>
              <w:bottom w:w="0" w:type="dxa"/>
              <w:right w:w="0" w:type="dxa"/>
            </w:tcMar>
            <w:vAlign w:val="bottom"/>
          </w:tcPr>
          <w:p w:rsidR="002343CF" w:rsidRDefault="00B278E9" w14:paraId="68422A7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2021</w:t>
            </w:r>
          </w:p>
        </w:tc>
        <w:tc>
          <w:tcPr>
            <w:tcW w:w="1008" w:type="dxa"/>
            <w:tcBorders>
              <w:top w:val="single" w:color="036479" w:themeColor="text2" w:sz="8" w:space="0"/>
              <w:left w:val="none" w:color="000000" w:sz="0" w:space="0"/>
              <w:bottom w:val="single" w:color="93D500" w:themeColor="accent1" w:sz="16" w:space="0"/>
              <w:right w:val="none" w:color="000000" w:sz="0" w:space="0"/>
            </w:tcBorders>
            <w:shd w:val="clear" w:color="auto" w:fill="036479" w:themeFill="text2"/>
            <w:tcMar>
              <w:top w:w="0" w:type="dxa"/>
              <w:left w:w="0" w:type="dxa"/>
              <w:bottom w:w="0" w:type="dxa"/>
              <w:right w:w="0" w:type="dxa"/>
            </w:tcMar>
            <w:vAlign w:val="bottom"/>
          </w:tcPr>
          <w:p w:rsidR="002343CF" w:rsidRDefault="00B278E9" w14:paraId="4D648D2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2022</w:t>
            </w:r>
          </w:p>
        </w:tc>
        <w:tc>
          <w:tcPr>
            <w:tcW w:w="1008" w:type="dxa"/>
            <w:tcBorders>
              <w:top w:val="single" w:color="036479" w:themeColor="text2" w:sz="8" w:space="0"/>
              <w:left w:val="none" w:color="000000" w:sz="0" w:space="0"/>
              <w:bottom w:val="single" w:color="93D500" w:themeColor="accent1" w:sz="16" w:space="0"/>
              <w:right w:val="none" w:color="000000" w:sz="0" w:space="0"/>
            </w:tcBorders>
            <w:shd w:val="clear" w:color="auto" w:fill="036479" w:themeFill="text2"/>
            <w:tcMar>
              <w:top w:w="0" w:type="dxa"/>
              <w:left w:w="0" w:type="dxa"/>
              <w:bottom w:w="0" w:type="dxa"/>
              <w:right w:w="0" w:type="dxa"/>
            </w:tcMar>
            <w:vAlign w:val="bottom"/>
          </w:tcPr>
          <w:p w:rsidR="002343CF" w:rsidRDefault="00B278E9" w14:paraId="2587A3D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2023</w:t>
            </w:r>
          </w:p>
        </w:tc>
        <w:tc>
          <w:tcPr>
            <w:tcW w:w="1008" w:type="dxa"/>
            <w:tcBorders>
              <w:top w:val="single" w:color="036479" w:themeColor="text2" w:sz="8" w:space="0"/>
              <w:left w:val="none" w:color="000000" w:sz="0" w:space="0"/>
              <w:bottom w:val="single" w:color="93D500" w:themeColor="accent1" w:sz="16" w:space="0"/>
              <w:right w:val="none" w:color="000000" w:sz="0" w:space="0"/>
            </w:tcBorders>
            <w:shd w:val="clear" w:color="auto" w:fill="036479" w:themeFill="text2"/>
            <w:tcMar>
              <w:top w:w="0" w:type="dxa"/>
              <w:left w:w="0" w:type="dxa"/>
              <w:bottom w:w="0" w:type="dxa"/>
              <w:right w:w="0" w:type="dxa"/>
            </w:tcMar>
            <w:vAlign w:val="bottom"/>
          </w:tcPr>
          <w:p w:rsidR="002343CF" w:rsidRDefault="00B278E9" w14:paraId="5FA4B84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2024</w:t>
            </w:r>
          </w:p>
        </w:tc>
        <w:tc>
          <w:tcPr>
            <w:tcW w:w="1008" w:type="dxa"/>
            <w:tcBorders>
              <w:top w:val="single" w:color="036479" w:themeColor="text2" w:sz="8" w:space="0"/>
              <w:left w:val="none" w:color="000000" w:sz="0" w:space="0"/>
              <w:bottom w:val="single" w:color="93D500" w:themeColor="accent1" w:sz="16" w:space="0"/>
              <w:right w:val="none" w:color="000000" w:sz="0" w:space="0"/>
            </w:tcBorders>
            <w:shd w:val="clear" w:color="auto" w:fill="036479" w:themeFill="text2"/>
            <w:tcMar>
              <w:top w:w="0" w:type="dxa"/>
              <w:left w:w="0" w:type="dxa"/>
              <w:bottom w:w="0" w:type="dxa"/>
              <w:right w:w="0" w:type="dxa"/>
            </w:tcMar>
            <w:vAlign w:val="bottom"/>
          </w:tcPr>
          <w:p w:rsidR="002343CF" w:rsidRDefault="00B278E9" w14:paraId="4D3D975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2025</w:t>
            </w:r>
          </w:p>
        </w:tc>
        <w:tc>
          <w:tcPr>
            <w:tcW w:w="1008" w:type="dxa"/>
            <w:tcBorders>
              <w:top w:val="single" w:color="036479" w:themeColor="text2" w:sz="8" w:space="0"/>
              <w:left w:val="none" w:color="000000" w:sz="0" w:space="0"/>
              <w:bottom w:val="single" w:color="93D500" w:themeColor="accent1" w:sz="16" w:space="0"/>
              <w:right w:val="none" w:color="000000" w:sz="0" w:space="0"/>
            </w:tcBorders>
            <w:shd w:val="clear" w:color="auto" w:fill="036479" w:themeFill="text2"/>
            <w:tcMar>
              <w:top w:w="0" w:type="dxa"/>
              <w:left w:w="0" w:type="dxa"/>
              <w:bottom w:w="0" w:type="dxa"/>
              <w:right w:w="0" w:type="dxa"/>
            </w:tcMar>
            <w:vAlign w:val="bottom"/>
          </w:tcPr>
          <w:p w:rsidR="002343CF" w:rsidRDefault="00B278E9" w14:paraId="4EE2C20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2026</w:t>
            </w:r>
          </w:p>
        </w:tc>
        <w:tc>
          <w:tcPr>
            <w:tcW w:w="1008" w:type="dxa"/>
            <w:tcBorders>
              <w:top w:val="single" w:color="036479" w:themeColor="text2" w:sz="8" w:space="0"/>
              <w:left w:val="none" w:color="000000" w:sz="0" w:space="0"/>
              <w:bottom w:val="single" w:color="93D500" w:themeColor="accent1" w:sz="16" w:space="0"/>
              <w:right w:val="none" w:color="000000" w:sz="0" w:space="0"/>
            </w:tcBorders>
            <w:shd w:val="clear" w:color="auto" w:fill="036479" w:themeFill="text2"/>
            <w:tcMar>
              <w:top w:w="0" w:type="dxa"/>
              <w:left w:w="0" w:type="dxa"/>
              <w:bottom w:w="0" w:type="dxa"/>
              <w:right w:w="0" w:type="dxa"/>
            </w:tcMar>
            <w:vAlign w:val="bottom"/>
          </w:tcPr>
          <w:p w:rsidR="002343CF" w:rsidRDefault="00B278E9" w14:paraId="6C39C0C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2027</w:t>
            </w:r>
          </w:p>
        </w:tc>
      </w:tr>
      <w:tr w:rsidR="002343CF" w:rsidTr="3B7AF982" w14:paraId="36602A85" w14:textId="77777777">
        <w:trPr>
          <w:trHeight w:val="216" w:hRule="exact"/>
          <w:jc w:val="center"/>
        </w:trPr>
        <w:tc>
          <w:tcPr>
            <w:tcW w:w="5112" w:type="dxa"/>
            <w:tcBorders>
              <w:top w:val="single" w:color="93D500" w:themeColor="accent1" w:sz="16"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361388B5"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Other Fuel Contribution to CPAS (Therms)</w:t>
            </w:r>
          </w:p>
        </w:tc>
        <w:tc>
          <w:tcPr>
            <w:tcW w:w="1044" w:type="dxa"/>
            <w:tcBorders>
              <w:top w:val="single" w:color="93D500" w:themeColor="accent1" w:sz="16"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26705DB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652,872</w:t>
            </w:r>
          </w:p>
        </w:tc>
        <w:tc>
          <w:tcPr>
            <w:tcW w:w="1044" w:type="dxa"/>
            <w:tcBorders>
              <w:top w:val="single" w:color="93D500" w:themeColor="accent1" w:sz="16"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3FC75C9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17,601,302</w:t>
            </w:r>
          </w:p>
        </w:tc>
        <w:tc>
          <w:tcPr>
            <w:tcW w:w="1008" w:type="dxa"/>
            <w:tcBorders>
              <w:top w:val="single" w:color="93D500" w:themeColor="accent1" w:sz="16"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5E38E2E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themeColor="accent1" w:sz="16"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4765990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themeColor="accent1" w:sz="16"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1FAC649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themeColor="accent1" w:sz="16"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339C579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themeColor="accent1" w:sz="16"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0FD9081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themeColor="accent1" w:sz="16"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1416F6E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themeColor="accent1" w:sz="16"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5009B78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652,872</w:t>
            </w:r>
          </w:p>
        </w:tc>
        <w:tc>
          <w:tcPr>
            <w:tcW w:w="1008" w:type="dxa"/>
            <w:tcBorders>
              <w:top w:val="single" w:color="93D500" w:themeColor="accent1" w:sz="16"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1FD2B32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646,646</w:t>
            </w:r>
          </w:p>
        </w:tc>
        <w:tc>
          <w:tcPr>
            <w:tcW w:w="1008" w:type="dxa"/>
            <w:tcBorders>
              <w:top w:val="single" w:color="93D500" w:themeColor="accent1" w:sz="16"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713085D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646,646</w:t>
            </w:r>
          </w:p>
        </w:tc>
        <w:tc>
          <w:tcPr>
            <w:tcW w:w="1008" w:type="dxa"/>
            <w:tcBorders>
              <w:top w:val="single" w:color="93D500" w:themeColor="accent1" w:sz="16"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6D8C31D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638,806</w:t>
            </w:r>
          </w:p>
        </w:tc>
      </w:tr>
      <w:tr w:rsidR="002343CF" w:rsidTr="3B7AF982" w14:paraId="6BA59674" w14:textId="77777777">
        <w:trPr>
          <w:trHeight w:val="216" w:hRule="exact"/>
          <w:jc w:val="center"/>
        </w:trPr>
        <w:tc>
          <w:tcPr>
            <w:tcW w:w="5112"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224BF314"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Other Fuel Contribution to CPAS (kWh Equivalent)</w:t>
            </w:r>
            <w:r>
              <w:rPr>
                <w:rFonts w:ascii="Arial" w:hAnsi="DejaVu Sans" w:eastAsia="DejaVu Sans" w:cs="DejaVu Sans"/>
                <w:color w:val="000000"/>
                <w:sz w:val="14"/>
                <w:szCs w:val="14"/>
              </w:rPr>
              <w:t>‡</w:t>
            </w:r>
          </w:p>
        </w:tc>
        <w:tc>
          <w:tcPr>
            <w:tcW w:w="1044"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56B91A0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19,135,665</w:t>
            </w:r>
          </w:p>
        </w:tc>
        <w:tc>
          <w:tcPr>
            <w:tcW w:w="1044"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Pr="002D05EB" w:rsidR="002343CF" w:rsidRDefault="00B278E9" w14:paraId="1628A7F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sidRPr="002D05EB">
              <w:rPr>
                <w:rFonts w:ascii="Arial" w:hAnsi="DejaVu Sans" w:eastAsia="DejaVu Sans" w:cs="DejaVu Sans"/>
                <w:color w:val="000000"/>
                <w:sz w:val="14"/>
                <w:szCs w:val="14"/>
              </w:rPr>
              <w:t>515,894,166</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30C02FE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57FB93B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695E3CD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5F51569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4E734E5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38926DD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648D07C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19,135,665</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1170575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18,953,191</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1DD3ED6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18,953,191</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6647CD8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18,723,393</w:t>
            </w:r>
          </w:p>
        </w:tc>
      </w:tr>
      <w:tr w:rsidR="002343CF" w:rsidTr="3B7AF982" w14:paraId="41C9975A" w14:textId="77777777">
        <w:trPr>
          <w:trHeight w:val="216" w:hRule="exact"/>
          <w:jc w:val="center"/>
        </w:trPr>
        <w:tc>
          <w:tcPr>
            <w:tcW w:w="5112"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4A89C020"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Total Other Fuel Contribution to CPAS (kWh Equivalent)</w:t>
            </w:r>
            <w:r>
              <w:rPr>
                <w:rFonts w:ascii="Arial" w:hAnsi="DejaVu Sans" w:eastAsia="DejaVu Sans" w:cs="DejaVu Sans"/>
                <w:color w:val="000000"/>
                <w:sz w:val="14"/>
                <w:szCs w:val="14"/>
              </w:rPr>
              <w:t>§</w:t>
            </w:r>
          </w:p>
        </w:tc>
        <w:tc>
          <w:tcPr>
            <w:tcW w:w="1044"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219C595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44"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Pr="002D05EB" w:rsidR="002343CF" w:rsidRDefault="002343CF" w14:paraId="061BACD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6EC3100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12,959,424</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4C4A6E1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32,490,632</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5E6DBC3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42,016,456</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32DAB11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44,838,469</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0AC7DBA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79,779,714</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30416C0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99,698,648</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58DA3FC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96,098,412</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47CCA89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88,163,788</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116C0AF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87,213,827</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78ED46F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84,597,109</w:t>
            </w:r>
          </w:p>
        </w:tc>
      </w:tr>
      <w:tr w:rsidR="002343CF" w:rsidTr="3B7AF982" w14:paraId="67741280" w14:textId="77777777">
        <w:trPr>
          <w:trHeight w:val="216" w:hRule="exact"/>
          <w:jc w:val="center"/>
        </w:trPr>
        <w:tc>
          <w:tcPr>
            <w:tcW w:w="5112"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6DC03521"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Other Fuel CPAS (kWh Equivalent)</w:t>
            </w:r>
          </w:p>
        </w:tc>
        <w:tc>
          <w:tcPr>
            <w:tcW w:w="1044"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01C3203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19,135,665</w:t>
            </w:r>
          </w:p>
        </w:tc>
        <w:tc>
          <w:tcPr>
            <w:tcW w:w="1044"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Pr="002D05EB" w:rsidR="002343CF" w:rsidP="3B7AF982" w:rsidRDefault="00B278E9" w14:paraId="35B87158" w14:textId="7AC0035D">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sidRPr="3B7AF982" w:rsidR="00B278E9">
              <w:rPr>
                <w:rFonts w:ascii="Arial" w:hAnsi="DejaVu Sans" w:eastAsia="DejaVu Sans" w:cs="DejaVu Sans"/>
                <w:color w:val="000000"/>
                <w:sz w:val="14"/>
                <w:szCs w:val="14"/>
              </w:rPr>
              <w:t>515,894,166</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7FE104C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12,959,424</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76802B0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32,490,632</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2E00110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42,016,456</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539AE14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44,838,469</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77C184E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79,779,714</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5613CA5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99,698,648</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504719C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115,234,076</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52B5499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107,116,979</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0FD47B8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106,167,018</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6593857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103,320,502</w:t>
            </w:r>
          </w:p>
        </w:tc>
      </w:tr>
      <w:tr w:rsidR="002343CF" w:rsidTr="3B7AF982" w14:paraId="1D3F6349" w14:textId="77777777">
        <w:trPr>
          <w:trHeight w:val="216" w:hRule="exact"/>
          <w:jc w:val="center"/>
        </w:trPr>
        <w:tc>
          <w:tcPr>
            <w:tcW w:w="5112"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6AF6A465"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Other Fuel Savings (Therms)</w:t>
            </w:r>
          </w:p>
        </w:tc>
        <w:tc>
          <w:tcPr>
            <w:tcW w:w="1044"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130DA61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44"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0DAA5DE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5BE1700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7293F28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30CCA03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352ABF5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43FB14E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125E4A9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465F9CA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5D0995C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6,226</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53C498D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3829236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7,840</w:t>
            </w:r>
          </w:p>
        </w:tc>
      </w:tr>
      <w:tr w:rsidR="002343CF" w:rsidTr="3B7AF982" w14:paraId="48DCE482" w14:textId="77777777">
        <w:trPr>
          <w:trHeight w:val="216" w:hRule="exact"/>
          <w:jc w:val="center"/>
        </w:trPr>
        <w:tc>
          <w:tcPr>
            <w:tcW w:w="5112"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23D0A497"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Other Fuel Savings (kWh Equivalent)||</w:t>
            </w:r>
          </w:p>
        </w:tc>
        <w:tc>
          <w:tcPr>
            <w:tcW w:w="1044"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1646E9C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44"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3982741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5CAC948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63CB211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02C22B1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6DFC6EE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08380B7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691D63F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2792003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271ED18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182,474</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64595E4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53824D5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229,798</w:t>
            </w:r>
          </w:p>
        </w:tc>
      </w:tr>
      <w:tr w:rsidR="002343CF" w:rsidTr="3B7AF982" w14:paraId="13F43C5D" w14:textId="77777777">
        <w:trPr>
          <w:trHeight w:val="216" w:hRule="exact"/>
          <w:jc w:val="center"/>
        </w:trPr>
        <w:tc>
          <w:tcPr>
            <w:tcW w:w="5112"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5D371F06"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Incremental Expiring Other Fuel Savings (kWh Equivalent)#</w:t>
            </w:r>
          </w:p>
        </w:tc>
        <w:tc>
          <w:tcPr>
            <w:tcW w:w="1044"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26AE142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44"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7F48EAD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2B6755C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3651F14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00A2300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691919F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0306E78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2343CF" w14:paraId="3AEC616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1961C44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3,600,237</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56B48F9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7,934,624</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67F4A67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949,961</w:t>
            </w:r>
          </w:p>
        </w:tc>
        <w:tc>
          <w:tcPr>
            <w:tcW w:w="1008" w:type="dxa"/>
            <w:tcBorders>
              <w:top w:val="single" w:color="B3EFFD" w:themeColor="accent4" w:themeTint="33" w:sz="8" w:space="0"/>
              <w:left w:val="none" w:color="000000" w:sz="0" w:space="0"/>
              <w:bottom w:val="single" w:color="B3EFFD" w:themeColor="accent4" w:themeTint="33" w:sz="8" w:space="0"/>
              <w:right w:val="none" w:color="000000" w:sz="0" w:space="0"/>
            </w:tcBorders>
            <w:shd w:val="clear" w:color="auto" w:fill="FFFFFF"/>
            <w:tcMar>
              <w:top w:w="0" w:type="dxa"/>
              <w:left w:w="0" w:type="dxa"/>
              <w:bottom w:w="0" w:type="dxa"/>
              <w:right w:w="0" w:type="dxa"/>
            </w:tcMar>
            <w:vAlign w:val="center"/>
          </w:tcPr>
          <w:p w:rsidR="002343CF" w:rsidRDefault="00B278E9" w14:paraId="2FA2CF3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2,616,718</w:t>
            </w:r>
          </w:p>
        </w:tc>
      </w:tr>
      <w:tr w:rsidR="002343CF" w:rsidTr="3B7AF982" w14:paraId="6888B8D6" w14:textId="77777777">
        <w:trPr>
          <w:trHeight w:val="216" w:hRule="exact"/>
          <w:jc w:val="center"/>
        </w:trPr>
        <w:tc>
          <w:tcPr>
            <w:tcW w:w="5112" w:type="dxa"/>
            <w:tcBorders>
              <w:top w:val="single" w:color="B3EFFD" w:themeColor="accent4" w:themeTint="33" w:sz="8" w:space="0"/>
              <w:left w:val="none" w:color="000000" w:sz="0" w:space="0"/>
              <w:bottom w:val="single" w:color="036479" w:themeColor="text2" w:sz="16" w:space="0"/>
              <w:right w:val="none" w:color="000000" w:sz="0" w:space="0"/>
            </w:tcBorders>
            <w:shd w:val="clear" w:color="auto" w:fill="FFFFFF"/>
            <w:tcMar>
              <w:top w:w="0" w:type="dxa"/>
              <w:left w:w="0" w:type="dxa"/>
              <w:bottom w:w="0" w:type="dxa"/>
              <w:right w:w="0" w:type="dxa"/>
            </w:tcMar>
            <w:vAlign w:val="center"/>
          </w:tcPr>
          <w:p w:rsidR="002343CF" w:rsidRDefault="00B278E9" w14:paraId="1BBC64EC"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Incremental Expiring Other Fuel Savings (kWh Equivalent)*</w:t>
            </w:r>
            <w:r>
              <w:rPr>
                <w:rFonts w:ascii="Arial" w:hAnsi="DejaVu Sans" w:eastAsia="DejaVu Sans" w:cs="DejaVu Sans"/>
                <w:color w:val="000000"/>
                <w:sz w:val="14"/>
                <w:szCs w:val="14"/>
              </w:rPr>
              <w:t>†</w:t>
            </w:r>
          </w:p>
        </w:tc>
        <w:tc>
          <w:tcPr>
            <w:tcW w:w="1044" w:type="dxa"/>
            <w:tcBorders>
              <w:top w:val="single" w:color="B3EFFD" w:themeColor="accent4" w:themeTint="33" w:sz="8" w:space="0"/>
              <w:left w:val="none" w:color="000000" w:sz="0" w:space="0"/>
              <w:bottom w:val="single" w:color="036479" w:themeColor="text2" w:sz="16" w:space="0"/>
              <w:right w:val="none" w:color="000000" w:sz="0" w:space="0"/>
            </w:tcBorders>
            <w:shd w:val="clear" w:color="auto" w:fill="FFFFFF"/>
            <w:tcMar>
              <w:top w:w="0" w:type="dxa"/>
              <w:left w:w="0" w:type="dxa"/>
              <w:bottom w:w="0" w:type="dxa"/>
              <w:right w:w="0" w:type="dxa"/>
            </w:tcMar>
            <w:vAlign w:val="center"/>
          </w:tcPr>
          <w:p w:rsidR="002343CF" w:rsidRDefault="00B278E9" w14:paraId="257880D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44" w:type="dxa"/>
            <w:tcBorders>
              <w:top w:val="single" w:color="B3EFFD" w:themeColor="accent4" w:themeTint="33" w:sz="8" w:space="0"/>
              <w:left w:val="none" w:color="000000" w:sz="0" w:space="0"/>
              <w:bottom w:val="single" w:color="036479" w:themeColor="text2" w:sz="16" w:space="0"/>
              <w:right w:val="none" w:color="000000" w:sz="0" w:space="0"/>
            </w:tcBorders>
            <w:shd w:val="clear" w:color="auto" w:fill="FFFFFF"/>
            <w:tcMar>
              <w:top w:w="0" w:type="dxa"/>
              <w:left w:w="0" w:type="dxa"/>
              <w:bottom w:w="0" w:type="dxa"/>
              <w:right w:w="0" w:type="dxa"/>
            </w:tcMar>
            <w:vAlign w:val="center"/>
          </w:tcPr>
          <w:p w:rsidR="002343CF" w:rsidRDefault="00B278E9" w14:paraId="1AF44A9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themeColor="accent4" w:themeTint="33" w:sz="8" w:space="0"/>
              <w:left w:val="none" w:color="000000" w:sz="0" w:space="0"/>
              <w:bottom w:val="single" w:color="036479" w:themeColor="text2" w:sz="16" w:space="0"/>
              <w:right w:val="none" w:color="000000" w:sz="0" w:space="0"/>
            </w:tcBorders>
            <w:shd w:val="clear" w:color="auto" w:fill="FFFFFF"/>
            <w:tcMar>
              <w:top w:w="0" w:type="dxa"/>
              <w:left w:w="0" w:type="dxa"/>
              <w:bottom w:w="0" w:type="dxa"/>
              <w:right w:w="0" w:type="dxa"/>
            </w:tcMar>
            <w:vAlign w:val="center"/>
          </w:tcPr>
          <w:p w:rsidR="002343CF" w:rsidRDefault="002343CF" w14:paraId="28DD83E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036479" w:themeColor="text2" w:sz="16" w:space="0"/>
              <w:right w:val="none" w:color="000000" w:sz="0" w:space="0"/>
            </w:tcBorders>
            <w:shd w:val="clear" w:color="auto" w:fill="FFFFFF"/>
            <w:tcMar>
              <w:top w:w="0" w:type="dxa"/>
              <w:left w:w="0" w:type="dxa"/>
              <w:bottom w:w="0" w:type="dxa"/>
              <w:right w:w="0" w:type="dxa"/>
            </w:tcMar>
            <w:vAlign w:val="center"/>
          </w:tcPr>
          <w:p w:rsidR="002343CF" w:rsidRDefault="002343CF" w14:paraId="551B007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036479" w:themeColor="text2" w:sz="16" w:space="0"/>
              <w:right w:val="none" w:color="000000" w:sz="0" w:space="0"/>
            </w:tcBorders>
            <w:shd w:val="clear" w:color="auto" w:fill="FFFFFF"/>
            <w:tcMar>
              <w:top w:w="0" w:type="dxa"/>
              <w:left w:w="0" w:type="dxa"/>
              <w:bottom w:w="0" w:type="dxa"/>
              <w:right w:w="0" w:type="dxa"/>
            </w:tcMar>
            <w:vAlign w:val="center"/>
          </w:tcPr>
          <w:p w:rsidR="002343CF" w:rsidRDefault="002343CF" w14:paraId="07EE18F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036479" w:themeColor="text2" w:sz="16" w:space="0"/>
              <w:right w:val="none" w:color="000000" w:sz="0" w:space="0"/>
            </w:tcBorders>
            <w:shd w:val="clear" w:color="auto" w:fill="FFFFFF"/>
            <w:tcMar>
              <w:top w:w="0" w:type="dxa"/>
              <w:left w:w="0" w:type="dxa"/>
              <w:bottom w:w="0" w:type="dxa"/>
              <w:right w:w="0" w:type="dxa"/>
            </w:tcMar>
            <w:vAlign w:val="center"/>
          </w:tcPr>
          <w:p w:rsidR="002343CF" w:rsidRDefault="002343CF" w14:paraId="543FC07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036479" w:themeColor="text2" w:sz="16" w:space="0"/>
              <w:right w:val="none" w:color="000000" w:sz="0" w:space="0"/>
            </w:tcBorders>
            <w:shd w:val="clear" w:color="auto" w:fill="FFFFFF"/>
            <w:tcMar>
              <w:top w:w="0" w:type="dxa"/>
              <w:left w:w="0" w:type="dxa"/>
              <w:bottom w:w="0" w:type="dxa"/>
              <w:right w:w="0" w:type="dxa"/>
            </w:tcMar>
            <w:vAlign w:val="center"/>
          </w:tcPr>
          <w:p w:rsidR="002343CF" w:rsidRDefault="002343CF" w14:paraId="2CC7C38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036479" w:themeColor="text2" w:sz="16" w:space="0"/>
              <w:right w:val="none" w:color="000000" w:sz="0" w:space="0"/>
            </w:tcBorders>
            <w:shd w:val="clear" w:color="auto" w:fill="FFFFFF"/>
            <w:tcMar>
              <w:top w:w="0" w:type="dxa"/>
              <w:left w:w="0" w:type="dxa"/>
              <w:bottom w:w="0" w:type="dxa"/>
              <w:right w:w="0" w:type="dxa"/>
            </w:tcMar>
            <w:vAlign w:val="center"/>
          </w:tcPr>
          <w:p w:rsidR="002343CF" w:rsidRDefault="002343CF" w14:paraId="06A4657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themeColor="accent4" w:themeTint="33" w:sz="8" w:space="0"/>
              <w:left w:val="none" w:color="000000" w:sz="0" w:space="0"/>
              <w:bottom w:val="single" w:color="036479" w:themeColor="text2" w:sz="16" w:space="0"/>
              <w:right w:val="none" w:color="000000" w:sz="0" w:space="0"/>
            </w:tcBorders>
            <w:shd w:val="clear" w:color="auto" w:fill="FFFFFF"/>
            <w:tcMar>
              <w:top w:w="0" w:type="dxa"/>
              <w:left w:w="0" w:type="dxa"/>
              <w:bottom w:w="0" w:type="dxa"/>
              <w:right w:w="0" w:type="dxa"/>
            </w:tcMar>
            <w:vAlign w:val="center"/>
          </w:tcPr>
          <w:p w:rsidR="002343CF" w:rsidRDefault="00B278E9" w14:paraId="6BD536C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3,600,237</w:t>
            </w:r>
          </w:p>
        </w:tc>
        <w:tc>
          <w:tcPr>
            <w:tcW w:w="1008" w:type="dxa"/>
            <w:tcBorders>
              <w:top w:val="single" w:color="B3EFFD" w:themeColor="accent4" w:themeTint="33" w:sz="8" w:space="0"/>
              <w:left w:val="none" w:color="000000" w:sz="0" w:space="0"/>
              <w:bottom w:val="single" w:color="036479" w:themeColor="text2" w:sz="16" w:space="0"/>
              <w:right w:val="none" w:color="000000" w:sz="0" w:space="0"/>
            </w:tcBorders>
            <w:shd w:val="clear" w:color="auto" w:fill="FFFFFF"/>
            <w:tcMar>
              <w:top w:w="0" w:type="dxa"/>
              <w:left w:w="0" w:type="dxa"/>
              <w:bottom w:w="0" w:type="dxa"/>
              <w:right w:w="0" w:type="dxa"/>
            </w:tcMar>
            <w:vAlign w:val="center"/>
          </w:tcPr>
          <w:p w:rsidR="002343CF" w:rsidRDefault="00B278E9" w14:paraId="6DA38B7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8,117,097</w:t>
            </w:r>
          </w:p>
        </w:tc>
        <w:tc>
          <w:tcPr>
            <w:tcW w:w="1008" w:type="dxa"/>
            <w:tcBorders>
              <w:top w:val="single" w:color="B3EFFD" w:themeColor="accent4" w:themeTint="33" w:sz="8" w:space="0"/>
              <w:left w:val="none" w:color="000000" w:sz="0" w:space="0"/>
              <w:bottom w:val="single" w:color="036479" w:themeColor="text2" w:sz="16" w:space="0"/>
              <w:right w:val="none" w:color="000000" w:sz="0" w:space="0"/>
            </w:tcBorders>
            <w:shd w:val="clear" w:color="auto" w:fill="FFFFFF"/>
            <w:tcMar>
              <w:top w:w="0" w:type="dxa"/>
              <w:left w:w="0" w:type="dxa"/>
              <w:bottom w:w="0" w:type="dxa"/>
              <w:right w:w="0" w:type="dxa"/>
            </w:tcMar>
            <w:vAlign w:val="center"/>
          </w:tcPr>
          <w:p w:rsidR="002343CF" w:rsidRDefault="00B278E9" w14:paraId="362A5B5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949,961</w:t>
            </w:r>
          </w:p>
        </w:tc>
        <w:tc>
          <w:tcPr>
            <w:tcW w:w="1008" w:type="dxa"/>
            <w:tcBorders>
              <w:top w:val="single" w:color="B3EFFD" w:themeColor="accent4" w:themeTint="33" w:sz="8" w:space="0"/>
              <w:left w:val="none" w:color="000000" w:sz="0" w:space="0"/>
              <w:bottom w:val="single" w:color="036479" w:themeColor="text2" w:sz="16" w:space="0"/>
              <w:right w:val="none" w:color="000000" w:sz="0" w:space="0"/>
            </w:tcBorders>
            <w:shd w:val="clear" w:color="auto" w:fill="FFFFFF"/>
            <w:tcMar>
              <w:top w:w="0" w:type="dxa"/>
              <w:left w:w="0" w:type="dxa"/>
              <w:bottom w:w="0" w:type="dxa"/>
              <w:right w:w="0" w:type="dxa"/>
            </w:tcMar>
            <w:vAlign w:val="center"/>
          </w:tcPr>
          <w:p w:rsidR="002343CF" w:rsidRDefault="00B278E9" w14:paraId="11FE6C2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2,846,516</w:t>
            </w:r>
          </w:p>
        </w:tc>
      </w:tr>
    </w:tbl>
    <w:p w:rsidR="007375C6" w:rsidRDefault="007375C6" w14:paraId="7AC6ED64" w14:textId="77777777">
      <w:pPr>
        <w:spacing w:before="0" w:after="0"/>
      </w:pPr>
      <w:bookmarkStart w:name="Table_5_2" w:id="67"/>
      <w:bookmarkEnd w:id="67"/>
    </w:p>
    <w:tbl>
      <w:tblPr>
        <w:tblW w:w="0" w:type="auto"/>
        <w:jc w:val="center"/>
        <w:tblLayout w:type="fixed"/>
        <w:tblLook w:val="0420" w:firstRow="1" w:lastRow="0" w:firstColumn="0" w:lastColumn="0" w:noHBand="0" w:noVBand="1"/>
      </w:tblPr>
      <w:tblGrid>
        <w:gridCol w:w="5112"/>
        <w:gridCol w:w="869"/>
        <w:gridCol w:w="869"/>
        <w:gridCol w:w="869"/>
        <w:gridCol w:w="869"/>
        <w:gridCol w:w="869"/>
        <w:gridCol w:w="869"/>
        <w:gridCol w:w="869"/>
        <w:gridCol w:w="869"/>
        <w:gridCol w:w="869"/>
        <w:gridCol w:w="869"/>
        <w:gridCol w:w="869"/>
        <w:gridCol w:w="869"/>
        <w:gridCol w:w="869"/>
        <w:gridCol w:w="869"/>
      </w:tblGrid>
      <w:tr w:rsidR="002343CF" w14:paraId="58FBB805" w14:textId="77777777">
        <w:trPr>
          <w:tblHeader/>
          <w:jc w:val="center"/>
        </w:trPr>
        <w:tc>
          <w:tcPr>
            <w:tcW w:w="5112"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6027D650"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73559C7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2028</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3660868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2029</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3015C84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2030</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4EB1207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2031</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7C37327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2032</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6C97289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2033</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7DFDE9C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2034</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10FE299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2035</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018D9B6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2036</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308ED42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2037</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726E601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2038</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0F69625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2039</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58EE1E6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2040</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4212741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2041</w:t>
            </w:r>
          </w:p>
        </w:tc>
      </w:tr>
      <w:tr w:rsidR="002343CF" w14:paraId="5BBF14D2" w14:textId="77777777">
        <w:trPr>
          <w:trHeight w:val="216" w:hRule="exact"/>
          <w:jc w:val="center"/>
        </w:trPr>
        <w:tc>
          <w:tcPr>
            <w:tcW w:w="5112"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BCF7DB8"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Other Fuel Contribution to CPAS (Therms)</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216D6E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638,806</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13E6A2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638,806</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27C24A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622,005</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F97E31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622,005</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0EF552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622,005</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8A19BE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622,005</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AE66FE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622,005</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560480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604,882</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9B86DE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604,882</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35D926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604,882</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7C5946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604,882</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1DB860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572,656</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DB21E2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567,819</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53C777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567,819</w:t>
            </w:r>
          </w:p>
        </w:tc>
      </w:tr>
      <w:tr w:rsidR="002343CF" w14:paraId="0104A745"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C8EB646"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Other Fuel Contribution to CPAS (kWh Equivalent)</w:t>
            </w:r>
            <w:r>
              <w:rPr>
                <w:rFonts w:ascii="Arial" w:hAnsi="DejaVu Sans" w:eastAsia="DejaVu Sans" w:cs="DejaVu Sans"/>
                <w:color w:val="000000"/>
                <w:sz w:val="14"/>
                <w:szCs w:val="14"/>
              </w:rPr>
              <w: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9F36A2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18,723,393</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A3D3CE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18,723,393</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A55593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18,230,972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74D0FF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18,230,972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2694C6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18,230,972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CA583B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18,230,972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4BB752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18,230,972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6891E7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17,729,097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561E2B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17,729,097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744590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17,729,097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4176E3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17,729,097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1EC925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16,784,542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BB7FE3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16,642,789</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C9F296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16,642,789</w:t>
            </w:r>
          </w:p>
        </w:tc>
      </w:tr>
      <w:tr w:rsidR="002343CF" w14:paraId="48C13B82"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A91BAF0"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Total Other Fuel Contribution to CPAS (kWh Equivalent)</w:t>
            </w:r>
            <w:r>
              <w:rPr>
                <w:rFonts w:ascii="Arial" w:hAnsi="DejaVu Sans" w:eastAsia="DejaVu Sans" w:cs="DejaVu Sans"/>
                <w:color w:val="000000"/>
                <w:sz w:val="14"/>
                <w:szCs w:val="14"/>
              </w:rPr>
              <w: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3BD5DD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74,519,615</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2C689A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72,379,670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59B2A1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71,700,356</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CA982F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71,676,091</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E121A1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69,677,016</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77F597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64,010,908</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B9903A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58,134,038</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82DDF1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55,080,743</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2D3F20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54,958,578</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7FA039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46,163,707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D687F1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37,102,324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CE14B6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30,279,978</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A16C6B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27,629,087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6D371C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27,169,904</w:t>
            </w:r>
          </w:p>
        </w:tc>
      </w:tr>
      <w:tr w:rsidR="002343CF" w14:paraId="72122152"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814BDFF"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Other Fuel CPAS (kWh Equivalent)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EC9BC5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93,243,008</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C4A8A1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91,103,063</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29FF78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89,931,328</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DE712C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89,907,063</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4C7A93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87,907,989</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AB2B24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82,241,880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46E938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76,365,010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11E894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72,809,840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B85E7A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72,687,675</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B13B5C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63,892,805</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E3056D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54,831,421</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F7F336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47,064,520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DE3E3B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44,271,876</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AA3341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43,812,693</w:t>
            </w:r>
          </w:p>
        </w:tc>
      </w:tr>
      <w:tr w:rsidR="002343CF" w14:paraId="49E5297B"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C95298C"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Other Fuel Savings (Therms)</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167A2E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FE2010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C4DC2A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16,800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E31767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A9A2EA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7FCE02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B306BC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BA34D7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17,123</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2DFB37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AF4788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FC1AC6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3FF32C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32,226</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04BA37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4,836</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0CB7F7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2343CF" w14:paraId="38F58AD3"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7753FA7"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Other Fuel Savings (kWh Equivalent)||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817E00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6FB529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29DA04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492,421</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41AFA8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A0A812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009D37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4035B3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FCE5F8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501,875</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B32EFF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C2CCC9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DB1B26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5168C8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944,555</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D1B340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141,753</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7A891F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2343CF" w14:paraId="3981699D"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EDB9A6B"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Incremental Expiring Other Fuel Savings (kWh Equivalent)#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9BFC59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10,077,494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D0B75E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2,139,945</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BB75FD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679,315</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4E54A3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24,265</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B5C40C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1,999,074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D2CBE6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5,666,108</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8910ED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5,876,870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FF257F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3,053,296</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F24A79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122,164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C3E536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8,794,871</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E12607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9,061,384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2F210A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6,822,346</w:t>
            </w:r>
          </w:p>
          <w:p w:rsidRPr="00676301" w:rsidR="00676301" w:rsidP="00676301" w:rsidRDefault="00676301" w14:paraId="0B743F54" w14:textId="77777777">
            <w:pPr>
              <w:rPr>
                <w:rFonts w:ascii="Arial" w:hAnsi="DejaVu Sans" w:eastAsia="DejaVu Sans" w:cs="DejaVu Sans"/>
                <w:sz w:val="14"/>
                <w:szCs w:val="14"/>
              </w:rPr>
            </w:pPr>
          </w:p>
          <w:p w:rsidRPr="00676301" w:rsidR="00676301" w:rsidP="00676301" w:rsidRDefault="00676301" w14:paraId="520AE0EF" w14:textId="77777777">
            <w:pPr>
              <w:rPr>
                <w:rFonts w:ascii="Arial" w:hAnsi="DejaVu Sans" w:eastAsia="DejaVu Sans" w:cs="DejaVu Sans"/>
                <w:sz w:val="14"/>
                <w:szCs w:val="14"/>
              </w:rPr>
            </w:pP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66423D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2,650,891</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ABFC1F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459,183</w:t>
            </w:r>
          </w:p>
        </w:tc>
      </w:tr>
      <w:tr w:rsidR="002343CF" w14:paraId="53A0DA69" w14:textId="77777777">
        <w:trPr>
          <w:trHeight w:val="216" w:hRule="exact"/>
          <w:jc w:val="center"/>
        </w:trPr>
        <w:tc>
          <w:tcPr>
            <w:tcW w:w="5112"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34BD850D"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Incremental Expiring Other Fuel Savings (kWh Equivalent)*</w:t>
            </w:r>
            <w:r>
              <w:rPr>
                <w:rFonts w:ascii="Arial" w:hAnsi="DejaVu Sans" w:eastAsia="DejaVu Sans" w:cs="DejaVu Sans"/>
                <w:color w:val="000000"/>
                <w:sz w:val="14"/>
                <w:szCs w:val="14"/>
              </w:rPr>
              <w:t>†</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65A6157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10,077,494</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2F927CF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2,139,945</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21D066B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1,171,735</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5302798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24,265</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20FC856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1,999,074</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1296D96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5,666,108</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401FDAA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5,876,870</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2113168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3,555,171</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7453E9D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122,164</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523E00A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8,794,871</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2FAB8E6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9,061,384</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63823AA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7,766,901</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161074C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2,792,644</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105CCFE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459,183</w:t>
            </w:r>
          </w:p>
        </w:tc>
      </w:tr>
    </w:tbl>
    <w:p w:rsidRPr="00944D07" w:rsidR="007375C6" w:rsidRDefault="007375C6" w14:paraId="621AE0C3" w14:textId="77777777">
      <w:pPr>
        <w:spacing w:before="0" w:after="0"/>
      </w:pPr>
      <w:bookmarkStart w:name="Table_5_3" w:id="68"/>
      <w:bookmarkEnd w:id="68"/>
    </w:p>
    <w:tbl>
      <w:tblPr>
        <w:tblW w:w="0" w:type="auto"/>
        <w:jc w:val="center"/>
        <w:tblLayout w:type="fixed"/>
        <w:tblLook w:val="0420" w:firstRow="1" w:lastRow="0" w:firstColumn="0" w:lastColumn="0" w:noHBand="0" w:noVBand="1"/>
      </w:tblPr>
      <w:tblGrid>
        <w:gridCol w:w="5112"/>
        <w:gridCol w:w="869"/>
        <w:gridCol w:w="869"/>
        <w:gridCol w:w="869"/>
        <w:gridCol w:w="869"/>
        <w:gridCol w:w="869"/>
        <w:gridCol w:w="869"/>
        <w:gridCol w:w="869"/>
        <w:gridCol w:w="869"/>
        <w:gridCol w:w="869"/>
        <w:gridCol w:w="869"/>
        <w:gridCol w:w="869"/>
        <w:gridCol w:w="869"/>
        <w:gridCol w:w="869"/>
        <w:gridCol w:w="869"/>
      </w:tblGrid>
      <w:tr w:rsidR="002343CF" w14:paraId="3B21E0D0" w14:textId="77777777">
        <w:trPr>
          <w:tblHeader/>
          <w:jc w:val="center"/>
        </w:trPr>
        <w:tc>
          <w:tcPr>
            <w:tcW w:w="5112"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5CE7D3E5"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44B8EBA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2042</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0535625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2043</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6C0AD3C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2044</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766ABB1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2045</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7798B79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2046</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38C7683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2047</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54F6739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2048</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0DBCCDE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2049</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1F35032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2050</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4FC67A8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2051</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0C588AC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2052</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3BD1C5E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2053</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79A2B45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2054</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71ED63F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2055</w:t>
            </w:r>
          </w:p>
        </w:tc>
      </w:tr>
      <w:tr w:rsidR="002343CF" w14:paraId="67B96B39" w14:textId="77777777">
        <w:trPr>
          <w:trHeight w:val="216" w:hRule="exact"/>
          <w:jc w:val="center"/>
        </w:trPr>
        <w:tc>
          <w:tcPr>
            <w:tcW w:w="5112"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DBA67CD"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Other Fuel Contribution to CPAS (Therms)</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32CEDF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567,819</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DB1723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567,819</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B78B51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557,975</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0C8749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557,975</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52DD65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557,975</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A85A44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557,975</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3FAE56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557,975</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B3F2BB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515,071</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17D8F2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515,071</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8EAC74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515,071</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1EBDA6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515,071</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02601D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515,071</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D22B62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7B2F6F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2343CF" w14:paraId="378CAD0B"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F534F76"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Other Fuel Contribution to CPAS (kWh Equivalent)</w:t>
            </w:r>
            <w:r>
              <w:rPr>
                <w:rFonts w:ascii="Arial" w:hAnsi="DejaVu Sans" w:eastAsia="DejaVu Sans" w:cs="DejaVu Sans"/>
                <w:color w:val="000000"/>
                <w:sz w:val="14"/>
                <w:szCs w:val="14"/>
              </w:rPr>
              <w: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A1C2EF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16,642,789</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642B66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16,642,789</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85CBD9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16,354,262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8E18BA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16,354,262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FB7DBB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16,354,262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B75B97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16,354,262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E5952A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16,354,262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3C5195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15,096,737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B696FA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15,096,737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6EC2B3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15,096,737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D437C0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15,096,737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0FA13A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15,096,737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4D0B1D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543DD4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2343CF" w14:paraId="5FF36321"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AD762B1"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Total Other Fuel Contribution to CPAS (kWh Equivalent)</w:t>
            </w:r>
            <w:r>
              <w:rPr>
                <w:rFonts w:ascii="Arial" w:hAnsi="DejaVu Sans" w:eastAsia="DejaVu Sans" w:cs="DejaVu Sans"/>
                <w:color w:val="000000"/>
                <w:sz w:val="14"/>
                <w:szCs w:val="14"/>
              </w:rPr>
              <w: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3F1DA7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18,372,301</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0561F7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7,230,278</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3018F6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4,256,544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DE6B88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1,389,561</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742250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924,249</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F926AE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924,249</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F1C346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81413E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54BC09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0627FB2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46DAFE0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5A4F495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2EBDC52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41406F1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r>
      <w:tr w:rsidR="002343CF" w14:paraId="5B4FFB36"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72EE0A7"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Other Fuel CPAS (kWh Equivalent)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C6D1D3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35,015,090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106A9D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23,873,067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7AD5A8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20,610,805</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0765E8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17,743,822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8147D7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17,278,511</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51E08B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17,278,511</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C40F6B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16,354,262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345F18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15,096,737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D4E6A4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15,096,737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44F26A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15,096,737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B8A490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15,096,737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321720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15,096,737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51F7AF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3BE019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2343CF" w14:paraId="69E21F91"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6651C1D"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Other Fuel Savings (Therms)</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FF441A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8886C1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4A71A2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9,844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9A215D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A2BC4C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C27BAB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B32C47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5A7D5B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42,904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2BF523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42,904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0C27F7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42,904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0A0F6D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42,904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A2B2EB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42,904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Pr="00533B71" w:rsidR="002343CF" w:rsidRDefault="00533B71" w14:paraId="05ABDF53" w14:textId="3D06D564">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sidRPr="00533B71">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Pr="00533B71" w:rsidR="002343CF" w:rsidRDefault="00134EB1" w14:paraId="2DA33983" w14:textId="1C83CB9E">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sidRPr="00533B71">
              <w:rPr>
                <w:rFonts w:ascii="Arial" w:hAnsi="DejaVu Sans" w:eastAsia="DejaVu Sans" w:cs="DejaVu Sans"/>
                <w:color w:val="000000"/>
                <w:sz w:val="14"/>
                <w:szCs w:val="14"/>
              </w:rPr>
              <w:t>0</w:t>
            </w:r>
          </w:p>
        </w:tc>
      </w:tr>
      <w:tr w:rsidR="002343CF" w14:paraId="78B7DD63"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2E1FABC"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Other Fuel Savings (kWh Equivalent)||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25CB7D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A05A02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4DCD07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288,528</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636C4E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E2C403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2A91CB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CC0112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F5F734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1,257,525</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BD6C17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1,257,525</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8C8B51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1,257,525</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6D727E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1,257,525</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723149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1,257,525</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Pr="00533B71" w:rsidR="002343CF" w:rsidRDefault="00533B71" w14:paraId="07D919B5" w14:textId="65B92B1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sidRPr="00533B71">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Pr="00533B71" w:rsidR="002343CF" w:rsidRDefault="00134EB1" w14:paraId="2EBBE11D" w14:textId="35BC2FEA">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sidRPr="00533B71">
              <w:rPr>
                <w:rFonts w:ascii="Arial" w:hAnsi="DejaVu Sans" w:eastAsia="DejaVu Sans" w:cs="DejaVu Sans"/>
                <w:color w:val="000000"/>
                <w:sz w:val="14"/>
                <w:szCs w:val="14"/>
              </w:rPr>
              <w:t>0</w:t>
            </w:r>
          </w:p>
        </w:tc>
      </w:tr>
      <w:tr w:rsidR="002343CF" w14:paraId="0FD9A0B6"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0B52696"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Incremental Expiring Other Fuel Savings (kWh Equivalent)#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09619A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8,797,603</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962778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11,142,023</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191474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2,973,734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D69033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2,866,983</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0AE2E7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465,312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539C6C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48B8CA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924,249</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89F734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817376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4,256,544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DB5298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1,389,561</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A0637D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924,249</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B9833C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924,249</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Pr="00533B71" w:rsidR="002343CF" w:rsidRDefault="00B278E9" w14:paraId="2908286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sidRPr="00533B71">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Pr="00533B71" w:rsidR="002343CF" w:rsidRDefault="00134EB1" w14:paraId="3901A9BE" w14:textId="7E3679CC">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sidRPr="00533B71">
              <w:rPr>
                <w:rFonts w:ascii="Arial" w:hAnsi="DejaVu Sans" w:eastAsia="DejaVu Sans" w:cs="DejaVu Sans"/>
                <w:color w:val="000000"/>
                <w:sz w:val="14"/>
                <w:szCs w:val="14"/>
              </w:rPr>
              <w:t>0</w:t>
            </w:r>
          </w:p>
        </w:tc>
      </w:tr>
      <w:tr w:rsidR="002343CF" w14:paraId="6517AC41" w14:textId="77777777">
        <w:trPr>
          <w:trHeight w:val="216" w:hRule="exact"/>
          <w:jc w:val="center"/>
        </w:trPr>
        <w:tc>
          <w:tcPr>
            <w:tcW w:w="5112"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2AF732EC"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Incremental Expiring Other Fuel Savings (kWh Equivalent)*</w:t>
            </w:r>
            <w:r>
              <w:rPr>
                <w:rFonts w:ascii="Arial" w:hAnsi="DejaVu Sans" w:eastAsia="DejaVu Sans" w:cs="DejaVu Sans"/>
                <w:color w:val="000000"/>
                <w:sz w:val="14"/>
                <w:szCs w:val="14"/>
              </w:rPr>
              <w:t>†</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6869422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8,797,603</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291CAC4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11,142,023</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4C09601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3,262,262</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1EB8B68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2,866,983</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2F3E9D1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465,312</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101DBC4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5FCD7EE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924,249</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698984A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1,257,525</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5BB40C9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5,514,068</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2553964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2,647,086</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12B82B8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2,181,774</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3E6BCEA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2,181,774</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Pr="00533B71" w:rsidR="002343CF" w:rsidRDefault="00533B71" w14:paraId="48E40EB3" w14:textId="6EC7DFB5">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sidRPr="00533B71">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Pr="00533B71" w:rsidR="002343CF" w:rsidP="00533B71" w:rsidRDefault="00134EB1" w14:paraId="7014B2AE" w14:textId="12DF5943">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sidRPr="00533B71">
              <w:rPr>
                <w:rFonts w:ascii="Arial" w:hAnsi="DejaVu Sans" w:eastAsia="DejaVu Sans" w:cs="DejaVu Sans"/>
                <w:color w:val="000000"/>
                <w:sz w:val="14"/>
                <w:szCs w:val="14"/>
              </w:rPr>
              <w:t>0</w:t>
            </w:r>
          </w:p>
        </w:tc>
      </w:tr>
    </w:tbl>
    <w:p w:rsidRPr="00C329CB" w:rsidR="007375C6" w:rsidRDefault="00B278E9" w14:paraId="32B10BF7" w14:textId="77777777">
      <w:pPr>
        <w:pStyle w:val="TableFigureNote"/>
        <w:rPr>
          <w:rFonts w:eastAsiaTheme="minorEastAsia"/>
        </w:rPr>
      </w:pPr>
      <w:r w:rsidRPr="00C329CB">
        <w:rPr>
          <w:rFonts w:eastAsiaTheme="minorEastAsia"/>
        </w:rPr>
        <w:t>† Lifetime savings are the sum of CPAS savings through the EUL.</w:t>
      </w:r>
    </w:p>
    <w:p w:rsidRPr="00C329CB" w:rsidR="007375C6" w:rsidRDefault="00B278E9" w14:paraId="4D24CBEF" w14:textId="77777777">
      <w:pPr>
        <w:pStyle w:val="TableFigureNote"/>
        <w:rPr>
          <w:rFonts w:eastAsiaTheme="minorEastAsia"/>
        </w:rPr>
      </w:pPr>
      <w:r w:rsidRPr="00C329CB">
        <w:rPr>
          <w:rFonts w:eastAsiaTheme="minorEastAsia"/>
        </w:rPr>
        <w:t xml:space="preserve">‡ </w:t>
      </w:r>
      <w:r>
        <w:rPr>
          <w:rFonts w:eastAsiaTheme="minorEastAsia"/>
        </w:rPr>
        <w:t xml:space="preserve">Fossil fuel savings (from natural gas, propane, etc.) are reported in therms. </w:t>
      </w:r>
      <w:r w:rsidRPr="00C329CB">
        <w:rPr>
          <w:rFonts w:eastAsiaTheme="minorEastAsia"/>
        </w:rPr>
        <w:t>kWh equivalent savings are calculated by multiplying therms savings by 29.31.</w:t>
      </w:r>
    </w:p>
    <w:p w:rsidR="007375C6" w:rsidRDefault="00B278E9" w14:paraId="17B07B6D" w14:textId="77777777">
      <w:pPr>
        <w:pStyle w:val="TableFigureNote"/>
        <w:rPr>
          <w:rFonts w:eastAsiaTheme="minorEastAsia"/>
        </w:rPr>
      </w:pPr>
      <w:r w:rsidRPr="00C329CB">
        <w:rPr>
          <w:rFonts w:eastAsiaTheme="minorEastAsia"/>
        </w:rPr>
        <w:t>§ Historical savings go back to CY2018.</w:t>
      </w:r>
    </w:p>
    <w:p w:rsidRPr="00C329CB" w:rsidR="007375C6" w:rsidRDefault="00B278E9" w14:paraId="687BB1C7" w14:textId="77777777">
      <w:pPr>
        <w:pStyle w:val="TableFigureNote"/>
        <w:rPr>
          <w:rFonts w:eastAsiaTheme="minorEastAsia"/>
        </w:rPr>
      </w:pPr>
      <w:r w:rsidRPr="00C329CB">
        <w:rPr>
          <w:rFonts w:eastAsiaTheme="minorEastAsia"/>
        </w:rPr>
        <w:t>|| Incremental expiring savings are equal to CPAS Yn-1 - CPAS Yn.</w:t>
      </w:r>
    </w:p>
    <w:p w:rsidRPr="00C329CB" w:rsidR="007375C6" w:rsidRDefault="00B278E9" w14:paraId="6C600D6F" w14:textId="77777777">
      <w:pPr>
        <w:pStyle w:val="TableFigureNote"/>
        <w:rPr>
          <w:rFonts w:eastAsiaTheme="minorEastAsia"/>
        </w:rPr>
      </w:pPr>
      <w:r w:rsidRPr="00C329CB">
        <w:rPr>
          <w:rFonts w:eastAsiaTheme="minorEastAsia"/>
        </w:rPr>
        <w:t># Historic incremental expiring savings are equal to Historic CPAS Yn-1 – Historic CPAS Yn.</w:t>
      </w:r>
    </w:p>
    <w:p w:rsidR="007375C6" w:rsidRDefault="00B278E9" w14:paraId="3BF05BFA" w14:textId="77777777">
      <w:pPr>
        <w:pStyle w:val="TableFigureNote"/>
        <w:rPr>
          <w:rFonts w:eastAsiaTheme="minorEastAsia"/>
        </w:rPr>
      </w:pPr>
      <w:r w:rsidRPr="00C329CB">
        <w:rPr>
          <w:rFonts w:eastAsiaTheme="minorEastAsia"/>
        </w:rPr>
        <w:t xml:space="preserve">*† </w:t>
      </w:r>
      <w:r>
        <w:rPr>
          <w:rFonts w:eastAsiaTheme="minorEastAsia"/>
        </w:rPr>
        <w:t>Program</w:t>
      </w:r>
      <w:r w:rsidRPr="00C34E77">
        <w:rPr>
          <w:rFonts w:eastAsiaTheme="minorEastAsia"/>
        </w:rPr>
        <w:t xml:space="preserve"> </w:t>
      </w:r>
      <w:r w:rsidRPr="00C329CB">
        <w:rPr>
          <w:rFonts w:eastAsiaTheme="minorEastAsia"/>
        </w:rPr>
        <w:t xml:space="preserve">total incremental expiring savings are equal to current year total incremental expiring savings plus historic total incremental expiring savings. </w:t>
      </w:r>
    </w:p>
    <w:p w:rsidR="007375C6" w:rsidRDefault="00B278E9" w14:paraId="0F055B04" w14:textId="77777777">
      <w:pPr>
        <w:pStyle w:val="TableFigureSource"/>
      </w:pPr>
      <w:r>
        <w:t>Source: Evaluation team analysis</w:t>
      </w:r>
    </w:p>
    <w:p w:rsidR="007375C6" w:rsidRDefault="00B278E9" w14:paraId="13E03DCC" w14:textId="7B798554">
      <w:pPr>
        <w:pStyle w:val="Caption"/>
      </w:pPr>
      <w:bookmarkStart w:name="_Ref105417145" w:id="69"/>
      <w:bookmarkStart w:name="_Toc159919737" w:id="70"/>
      <w:bookmarkStart w:name="_Toc192581528" w:id="71"/>
      <w:r>
        <w:t xml:space="preserve">Table </w:t>
      </w:r>
      <w:r>
        <w:fldChar w:fldCharType="begin"/>
      </w:r>
      <w:r>
        <w:instrText>SEQ Table \* ARABIC</w:instrText>
      </w:r>
      <w:r>
        <w:fldChar w:fldCharType="separate"/>
      </w:r>
      <w:r w:rsidR="008B6B65">
        <w:rPr>
          <w:noProof/>
        </w:rPr>
        <w:t>6</w:t>
      </w:r>
      <w:r>
        <w:fldChar w:fldCharType="end"/>
      </w:r>
      <w:bookmarkEnd w:id="69"/>
      <w:r w:rsidRPr="00F7087A">
        <w:t xml:space="preserve">. </w:t>
      </w:r>
      <w:r w:rsidR="00A04BD7">
        <w:t xml:space="preserve">Multifamily Upgrades </w:t>
      </w:r>
      <w:r>
        <w:t>CPAS – Total</w:t>
      </w:r>
      <w:bookmarkStart w:name="Table_6" w:id="72"/>
      <w:bookmarkEnd w:id="70"/>
      <w:bookmarkEnd w:id="71"/>
      <w:bookmarkEnd w:id="72"/>
    </w:p>
    <w:tbl>
      <w:tblPr>
        <w:tblW w:w="0" w:type="auto"/>
        <w:jc w:val="center"/>
        <w:tblLayout w:type="fixed"/>
        <w:tblLook w:val="0420" w:firstRow="1" w:lastRow="0" w:firstColumn="0" w:lastColumn="0" w:noHBand="0" w:noVBand="1"/>
      </w:tblPr>
      <w:tblGrid>
        <w:gridCol w:w="3168"/>
        <w:gridCol w:w="2016"/>
        <w:gridCol w:w="2016"/>
        <w:gridCol w:w="1008"/>
        <w:gridCol w:w="1008"/>
        <w:gridCol w:w="1008"/>
        <w:gridCol w:w="1008"/>
        <w:gridCol w:w="1008"/>
        <w:gridCol w:w="1008"/>
        <w:gridCol w:w="1008"/>
        <w:gridCol w:w="1008"/>
        <w:gridCol w:w="1008"/>
        <w:gridCol w:w="1008"/>
      </w:tblGrid>
      <w:tr w:rsidR="002343CF" w14:paraId="20E39138" w14:textId="77777777">
        <w:trPr>
          <w:tblHeader/>
          <w:jc w:val="center"/>
        </w:trPr>
        <w:tc>
          <w:tcPr>
            <w:tcW w:w="7200" w:type="dxa"/>
            <w:gridSpan w:val="3"/>
            <w:tcBorders>
              <w:top w:val="single" w:color="036479" w:sz="8" w:space="0"/>
              <w:left w:val="single" w:color="036479" w:sz="8" w:space="0"/>
              <w:bottom w:val="single" w:color="036479" w:sz="8" w:space="0"/>
              <w:right w:val="single" w:color="036479" w:sz="8" w:space="0"/>
            </w:tcBorders>
            <w:shd w:val="clear" w:color="auto" w:fill="036479"/>
            <w:tcMar>
              <w:top w:w="0" w:type="dxa"/>
              <w:left w:w="0" w:type="dxa"/>
              <w:bottom w:w="0" w:type="dxa"/>
              <w:right w:w="0" w:type="dxa"/>
            </w:tcMar>
            <w:vAlign w:val="bottom"/>
          </w:tcPr>
          <w:p w:rsidR="002343CF" w:rsidRDefault="002343CF" w14:paraId="58381AF2"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p>
        </w:tc>
        <w:tc>
          <w:tcPr>
            <w:tcW w:w="4032" w:type="dxa"/>
            <w:gridSpan w:val="4"/>
            <w:tcBorders>
              <w:top w:val="single" w:color="036479" w:sz="8" w:space="0"/>
              <w:left w:val="single" w:color="036479" w:sz="8" w:space="0"/>
              <w:bottom w:val="single" w:color="036479" w:sz="8" w:space="0"/>
              <w:right w:val="single" w:color="036479" w:sz="8" w:space="0"/>
            </w:tcBorders>
            <w:shd w:val="clear" w:color="auto" w:fill="036479"/>
            <w:tcMar>
              <w:top w:w="0" w:type="dxa"/>
              <w:left w:w="0" w:type="dxa"/>
              <w:bottom w:w="0" w:type="dxa"/>
              <w:right w:w="0" w:type="dxa"/>
            </w:tcMar>
            <w:vAlign w:val="bottom"/>
          </w:tcPr>
          <w:p w:rsidR="002343CF" w:rsidRDefault="00B278E9" w14:paraId="7B6E8DE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CPAS Verified Net kWh Savings</w:t>
            </w:r>
          </w:p>
        </w:tc>
        <w:tc>
          <w:tcPr>
            <w:tcW w:w="6048" w:type="dxa"/>
            <w:gridSpan w:val="6"/>
            <w:tcBorders>
              <w:top w:val="single" w:color="036479" w:sz="8" w:space="0"/>
              <w:left w:val="single" w:color="036479" w:sz="8" w:space="0"/>
              <w:bottom w:val="single" w:color="036479" w:sz="8" w:space="0"/>
              <w:right w:val="single" w:color="036479" w:sz="8" w:space="0"/>
            </w:tcBorders>
            <w:shd w:val="clear" w:color="auto" w:fill="036479"/>
            <w:tcMar>
              <w:top w:w="0" w:type="dxa"/>
              <w:left w:w="0" w:type="dxa"/>
              <w:bottom w:w="0" w:type="dxa"/>
              <w:right w:w="0" w:type="dxa"/>
            </w:tcMar>
            <w:vAlign w:val="bottom"/>
          </w:tcPr>
          <w:p w:rsidR="002343CF" w:rsidRDefault="002343CF" w14:paraId="5B45D40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p>
        </w:tc>
      </w:tr>
      <w:tr w:rsidR="002343CF" w14:paraId="783C3637" w14:textId="77777777">
        <w:trPr>
          <w:tblHeader/>
          <w:jc w:val="center"/>
        </w:trPr>
        <w:tc>
          <w:tcPr>
            <w:tcW w:w="316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5546DD2C"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2016"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1A9FB3E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Verified Gross Savings (kWh)</w:t>
            </w:r>
          </w:p>
        </w:tc>
        <w:tc>
          <w:tcPr>
            <w:tcW w:w="2016"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7BC68E3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Lifetime Net Savings (kWh)</w:t>
            </w:r>
            <w:r>
              <w:rPr>
                <w:rFonts w:ascii="Arial" w:hAnsi="DejaVu Sans" w:eastAsia="DejaVu Sans" w:cs="DejaVu Sans"/>
                <w:color w:val="FFFFFF"/>
                <w:sz w:val="14"/>
                <w:szCs w:val="14"/>
              </w:rPr>
              <w:t>†</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0B4AF59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2018</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55BCE72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2019</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4AFC33E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2020</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485F3CD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2021</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08ADF8D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2022</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1530502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2023</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797FF8A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2024</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3D721A1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2025</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5D60E4D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2026</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6936D95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2027</w:t>
            </w:r>
          </w:p>
        </w:tc>
      </w:tr>
      <w:tr w:rsidR="002343CF" w14:paraId="4208ED0A" w14:textId="77777777">
        <w:trPr>
          <w:trHeight w:val="216" w:hRule="exact"/>
          <w:jc w:val="center"/>
        </w:trPr>
        <w:tc>
          <w:tcPr>
            <w:tcW w:w="316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8F8DFDB"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Contribution to CPAS</w:t>
            </w:r>
          </w:p>
        </w:tc>
        <w:tc>
          <w:tcPr>
            <w:tcW w:w="2016"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EB0A26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51,084,752</w:t>
            </w:r>
          </w:p>
        </w:tc>
        <w:tc>
          <w:tcPr>
            <w:tcW w:w="2016"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953656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921,531,001</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2F669A7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0E40332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4FF71EE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566A806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4ECCD77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2373E21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FB4E2E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50,382,549</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972406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48,963,232</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F1E03B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48,927,000</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D80675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48,680,875</w:t>
            </w:r>
          </w:p>
        </w:tc>
      </w:tr>
      <w:tr w:rsidR="002343CF" w14:paraId="50269695"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B7A6548"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Total Contribution to CPAS</w:t>
            </w:r>
            <w:r>
              <w:rPr>
                <w:rFonts w:ascii="Arial" w:hAnsi="DejaVu Sans" w:eastAsia="DejaVu Sans" w:cs="DejaVu Sans"/>
                <w:color w:val="000000"/>
                <w:sz w:val="14"/>
                <w:szCs w:val="14"/>
              </w:rPr>
              <w:t>‡</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518C746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1459F64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A499C0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31,652,059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4F3355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64,102,781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1516BE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86,073,291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BA5199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98,246,260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7D48BA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157,945,906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FFF5E8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210,659,908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2DB97A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200,949,367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D5687E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185,123,990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BA8DB1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173,628,943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7EA3CA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162,984,306</w:t>
            </w:r>
          </w:p>
        </w:tc>
      </w:tr>
      <w:tr w:rsidR="002343CF" w14:paraId="563D16A5"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36BB4E2"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CPAS</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6072B6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51,084,752</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C17E3A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921,531,001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B857F7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31,652,059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B7702F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64,102,781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FB9B3A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86,073,291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22E7D5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98,246,260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C8C353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157,945,906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9E3914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210,659,908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A48E6C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251,331,916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9C90FB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234,087,222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16BDF2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222,555,943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25BC90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211,665,181</w:t>
            </w:r>
          </w:p>
        </w:tc>
      </w:tr>
      <w:tr w:rsidR="002343CF" w14:paraId="62E65AC2"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09A9BC0"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Savings</w:t>
            </w:r>
            <w:r>
              <w:rPr>
                <w:rFonts w:ascii="Arial" w:hAnsi="DejaVu Sans" w:eastAsia="DejaVu Sans" w:cs="DejaVu Sans"/>
                <w:color w:val="000000"/>
                <w:sz w:val="14"/>
                <w:szCs w:val="14"/>
              </w:rPr>
              <w:t>§</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4655C62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639EAE5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59940AF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1F747B4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52A9D6F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58A9885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7AE0690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0E2A930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1256564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53864C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1,419,317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F7F7D6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36,232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8FB11C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246,125</w:t>
            </w:r>
          </w:p>
        </w:tc>
      </w:tr>
      <w:tr w:rsidR="002343CF" w14:paraId="16BABF59"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A349F4A"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Incremental Expiring Savings||</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0FCFB96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2F09080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0886ADD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31C715A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3D9567C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27BB102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4E67F10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049758B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D341C6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9,710,542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332A22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15,825,376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883092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11,495,047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6041C3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10,644,637</w:t>
            </w:r>
          </w:p>
        </w:tc>
      </w:tr>
      <w:tr w:rsidR="002343CF" w14:paraId="1D6BCDFF" w14:textId="77777777">
        <w:trPr>
          <w:trHeight w:val="216" w:hRule="exact"/>
          <w:jc w:val="center"/>
        </w:trPr>
        <w:tc>
          <w:tcPr>
            <w:tcW w:w="316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154B85B0"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Incremental Expiring Savings#</w:t>
            </w:r>
          </w:p>
        </w:tc>
        <w:tc>
          <w:tcPr>
            <w:tcW w:w="2016"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0D5467F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2016"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7A24221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2343CF" w14:paraId="573D16F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2343CF" w14:paraId="5DA6BB3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2343CF" w14:paraId="6068799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2343CF" w14:paraId="230D0BB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2343CF" w14:paraId="46883DD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2343CF" w14:paraId="73B9DF7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3CBF8B9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9,710,542</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1B5AD6E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17,244,694</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06F42F5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11,531,279</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60C9165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10,890,762</w:t>
            </w:r>
          </w:p>
        </w:tc>
      </w:tr>
    </w:tbl>
    <w:p w:rsidR="007375C6" w:rsidRDefault="007375C6" w14:paraId="25885E42" w14:textId="77777777">
      <w:pPr>
        <w:spacing w:before="0" w:after="0"/>
      </w:pPr>
      <w:bookmarkStart w:name="Table_6_2" w:id="73"/>
      <w:bookmarkEnd w:id="73"/>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2343CF" w14:paraId="1BF9DABC" w14:textId="77777777">
        <w:trPr>
          <w:tblHeader/>
          <w:jc w:val="center"/>
        </w:trPr>
        <w:tc>
          <w:tcPr>
            <w:tcW w:w="316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4BCA6BCE"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2F96923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2028</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3E73C2F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2029</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7A0B2AA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2030</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19717B2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2031</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318F541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2032</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629937D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2033</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2B0106C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2034</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616D026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2035</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2E02705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2036</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2E9D105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2037</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5A89168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2038</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5831031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2039</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6B516ED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2040</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2E15F8E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2041</w:t>
            </w:r>
          </w:p>
        </w:tc>
      </w:tr>
      <w:tr w:rsidR="002343CF" w14:paraId="60E8942C" w14:textId="77777777">
        <w:trPr>
          <w:trHeight w:val="216" w:hRule="exact"/>
          <w:jc w:val="center"/>
        </w:trPr>
        <w:tc>
          <w:tcPr>
            <w:tcW w:w="316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B490F99"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Contribution to CPAS</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CE84E5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48,680,875</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712B08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48,337,689</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30A2E9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47,673,491</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8AA15A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42,514,944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00D3D0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32,760,642</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6EAE02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32,738,314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BA705B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31,820,757</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19463B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31,202,184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4C1B8D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29,987,322</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6DD291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29,987,322</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D7EED9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29,987,322</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96C97B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28,717,176</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604F84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21,492,714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7B4DF5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21,492,714</w:t>
            </w:r>
          </w:p>
        </w:tc>
      </w:tr>
      <w:tr w:rsidR="002343CF" w14:paraId="1B3AF8CA"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5894316"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Total Contribution to CPAS</w:t>
            </w:r>
            <w:r>
              <w:rPr>
                <w:rFonts w:ascii="Arial" w:hAnsi="DejaVu Sans" w:eastAsia="DejaVu Sans" w:cs="DejaVu Sans"/>
                <w:color w:val="000000"/>
                <w:sz w:val="14"/>
                <w:szCs w:val="14"/>
              </w:rPr>
              <w:t>‡</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DDF7A7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139,568,121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168CD3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127,963,454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C94949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124,590,909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B160D4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120,350,191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807FFC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108,461,325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5EC953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99,863,108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024441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91,499,000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A55885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86,492,181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E5C44D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85,875,659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4CA317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73,989,516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BD88D0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55,181,846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DA632F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45,325,641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BFEBC4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41,709,737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68A85C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39,804,755</w:t>
            </w:r>
          </w:p>
        </w:tc>
      </w:tr>
      <w:tr w:rsidR="002343CF" w14:paraId="0E80F1C4"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0671A86"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CPAS</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E7168E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188,248,996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FD2918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176,301,143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C24DA0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172,264,400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CCE1CF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162,865,135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A3AB78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141,221,967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9A08B6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132,601,422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F1150A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123,319,757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64EF24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117,694,365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DB153B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115,862,981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6E4E5E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103,976,839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6557E2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85,169,168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8D57BD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74,042,817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0FC4FF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63,202,451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A94189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61,297,469</w:t>
            </w:r>
          </w:p>
        </w:tc>
      </w:tr>
      <w:tr w:rsidR="002343CF" w14:paraId="634722C0"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3C79E8F"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Savings</w:t>
            </w:r>
            <w:r>
              <w:rPr>
                <w:rFonts w:ascii="Arial" w:hAnsi="DejaVu Sans" w:eastAsia="DejaVu Sans" w:cs="DejaVu Sans"/>
                <w:color w:val="000000"/>
                <w:sz w:val="14"/>
                <w:szCs w:val="14"/>
              </w:rPr>
              <w:t>§</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C1A89D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1262E2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343,186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0C496F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664,198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0E00F3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5,158,547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EB4A57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9,754,302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33DBDE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22,328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2ABD6F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917,557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56349A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618,573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D0C754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1,214,862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1FC5C8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9761C7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32F5D1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1,270,146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B1252D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7,224,462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900804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2343CF" w14:paraId="2AFC11E5"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B0D079A"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Incremental Expiring Savings||</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DE96F5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23,416,185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F6158F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11,604,667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49FA97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3,372,546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C35260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4,240,718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E01A92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11,888,866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0C3DEC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8,598,217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545E0B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8,364,108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4C9B7D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5,006,819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99DE51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616,522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96B134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11,886,143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BCF55C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18,807,671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C1B462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9,856,205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D5E43B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3,615,904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458BA9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1,904,982</w:t>
            </w:r>
          </w:p>
        </w:tc>
      </w:tr>
      <w:tr w:rsidR="002343CF" w14:paraId="03C685ED" w14:textId="77777777">
        <w:trPr>
          <w:trHeight w:val="216" w:hRule="exact"/>
          <w:jc w:val="center"/>
        </w:trPr>
        <w:tc>
          <w:tcPr>
            <w:tcW w:w="316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23475782"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Incremental Expiring Savings#</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02F4DD7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23,416,185</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06E1ADE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11,947,853</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1ADA025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4,036,743</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389898A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9,399,265</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51249C6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21,643,168</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04906B2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8,620,545</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336C04F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9,281,665</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5208833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5,625,392</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2B9E303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1,831,384</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6EAB9A8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11,886,143</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4853CE8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18,807,671</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52273F1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11,126,350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46ACA06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10,840,366</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6792BF6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1,904,982</w:t>
            </w:r>
          </w:p>
        </w:tc>
      </w:tr>
    </w:tbl>
    <w:p w:rsidRPr="00944D07" w:rsidR="007375C6" w:rsidRDefault="007375C6" w14:paraId="24722403" w14:textId="77777777">
      <w:pPr>
        <w:spacing w:before="0" w:after="0"/>
      </w:pPr>
      <w:bookmarkStart w:name="Table_6_3" w:id="74"/>
      <w:bookmarkEnd w:id="74"/>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2343CF" w14:paraId="259341FD" w14:textId="77777777">
        <w:trPr>
          <w:tblHeader/>
          <w:jc w:val="center"/>
        </w:trPr>
        <w:tc>
          <w:tcPr>
            <w:tcW w:w="316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720C99F4"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687B231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2042</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56FD461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2043</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4D762D4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2044</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49B2F51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2045</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71719BC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2046</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2E72A12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2047</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7E9DFA8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2048</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0DA0522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2049</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5A7C5EA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2050</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70475D1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2051</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7CCB3F4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2052</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1C48683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2053</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20D371A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2054</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2343CF" w:rsidRDefault="00B278E9" w14:paraId="6ABB114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2055</w:t>
            </w:r>
          </w:p>
        </w:tc>
      </w:tr>
      <w:tr w:rsidR="002343CF" w14:paraId="194868BF" w14:textId="77777777">
        <w:trPr>
          <w:trHeight w:val="216" w:hRule="exact"/>
          <w:jc w:val="center"/>
        </w:trPr>
        <w:tc>
          <w:tcPr>
            <w:tcW w:w="316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D57554A"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Contribution to CPAS</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A6FAB3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21,492,714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907FA5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21,492,714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21C305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21,048,607</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E76D3F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21,048,607</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FAF8A3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21,048,607</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C56631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21,048,607</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924D7D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21,048,607</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579A64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19,791,082</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6EBE03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19,791,082</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2052DF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19,791,082</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BC0447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19,791,082</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A0FD28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19,791,082</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C0DBAC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5C31D5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2343CF" w14:paraId="137D736B"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9E72355"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Total Contribution to CPAS</w:t>
            </w:r>
            <w:r>
              <w:rPr>
                <w:rFonts w:ascii="Arial" w:hAnsi="DejaVu Sans" w:eastAsia="DejaVu Sans" w:cs="DejaVu Sans"/>
                <w:color w:val="000000"/>
                <w:sz w:val="14"/>
                <w:szCs w:val="14"/>
              </w:rPr>
              <w:t>‡</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343335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27,552,220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4158B0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7,284,910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983D0D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4,311,176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0EF4FD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1,444,193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7D6205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924,249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CA305B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924,249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51F171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4C5D6D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4D0289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20B1CFB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607B904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7F5ACEF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59C34F3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2343CF" w14:paraId="34C20D1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r>
      <w:tr w:rsidR="002343CF" w14:paraId="7E551DFF"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EC18299"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CPAS</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0BC004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49,044,934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7643FD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28,777,624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BF2326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25,359,783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583CF9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22,492,800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CC0971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21,972,856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37164A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21,972,856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02E90C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21,048,607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5756B7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19,791,082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4A8F5D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19,791,082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0EC471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19,791,082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370459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19,791,082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529FAC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19,791,082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686B77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938AD1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2343CF" w14:paraId="132886AA"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26CCD41"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Savings</w:t>
            </w:r>
            <w:r>
              <w:rPr>
                <w:rFonts w:ascii="Arial" w:hAnsi="DejaVu Sans" w:eastAsia="DejaVu Sans" w:cs="DejaVu Sans"/>
                <w:color w:val="000000"/>
                <w:sz w:val="14"/>
                <w:szCs w:val="14"/>
              </w:rPr>
              <w:t>§</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30AF5C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683B1D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54ADAE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444,107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3BBA5A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0CFEA0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35255B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8AEAC9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01FDA4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1,257,525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106845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210006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3AEBEB5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7B17CB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533B71" w14:paraId="3F0999B2" w14:textId="63A86EAC">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533B71" w14:paraId="6E5A241E" w14:textId="01DFDEA3">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2343CF" w14:paraId="0F1C80A9"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4C2F3AA"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Incremental Expiring Savings||</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60A745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12,252,536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A1CD35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20,267,310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EE485E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2,973,734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0FF0B0F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2,866,983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1FC22F0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519,944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793E37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F89E24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924,249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7B9E76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61EF23C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2E3C361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56F44EB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57DE44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79AB716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2343CF" w:rsidRDefault="00B278E9" w14:paraId="412A4EC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2343CF" w14:paraId="3B3C8BC7" w14:textId="77777777">
        <w:trPr>
          <w:trHeight w:val="216" w:hRule="exact"/>
          <w:jc w:val="center"/>
        </w:trPr>
        <w:tc>
          <w:tcPr>
            <w:tcW w:w="316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5380837F"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Incremental Expiring Savings#</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0441908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12,252,536</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625177E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20,267,310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6A70FCD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3,417,841</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0BA0482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2,866,983</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1EFCD2A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519,944</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642A9D1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51D8A92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924,249</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7FDE59C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1,257,525</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1026A62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35C1A41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60C1432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B278E9" w14:paraId="713AE4F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533B71" w14:paraId="7B6FE7B2" w14:textId="044EE003">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2343CF" w:rsidRDefault="00533B71" w14:paraId="0F188896" w14:textId="5F10B3E9">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bl>
    <w:p w:rsidRPr="00C34E77" w:rsidR="007375C6" w:rsidRDefault="00B278E9" w14:paraId="1CAF6C44" w14:textId="77777777">
      <w:pPr>
        <w:pStyle w:val="TableFigureNote"/>
      </w:pPr>
      <w:r w:rsidRPr="00C34E77">
        <w:rPr>
          <w:rFonts w:eastAsiaTheme="minorEastAsia"/>
        </w:rPr>
        <w:t>† Lifetime savings are the sum of CPAS savings through the EUL.</w:t>
      </w:r>
    </w:p>
    <w:p w:rsidRPr="00C34E77" w:rsidR="007375C6" w:rsidRDefault="00B278E9" w14:paraId="10D9262D" w14:textId="77777777">
      <w:pPr>
        <w:pStyle w:val="TableFigureNote"/>
      </w:pPr>
      <w:r w:rsidRPr="00C34E77">
        <w:rPr>
          <w:rFonts w:eastAsiaTheme="minorEastAsia"/>
        </w:rPr>
        <w:t xml:space="preserve">‡ Historical savings go back to CY2018. </w:t>
      </w:r>
    </w:p>
    <w:p w:rsidRPr="00C34E77" w:rsidR="007375C6" w:rsidRDefault="00B278E9" w14:paraId="759A4C09" w14:textId="77777777">
      <w:pPr>
        <w:pStyle w:val="TableFigureNote"/>
      </w:pPr>
      <w:r w:rsidRPr="00C34E77">
        <w:rPr>
          <w:rFonts w:eastAsiaTheme="minorEastAsia"/>
        </w:rPr>
        <w:t>§ Incremental expiring savings are equal to CPAS Yn-1 - CPAS Yn.</w:t>
      </w:r>
    </w:p>
    <w:p w:rsidRPr="00C34E77" w:rsidR="007375C6" w:rsidRDefault="00B278E9" w14:paraId="3B63DE3F" w14:textId="77777777">
      <w:pPr>
        <w:pStyle w:val="TableFigureNote"/>
      </w:pPr>
      <w:r w:rsidRPr="00C34E77">
        <w:rPr>
          <w:rFonts w:eastAsiaTheme="minorEastAsia"/>
        </w:rPr>
        <w:t>|| Historic incremental expiring savings are equal to Historic CPAS Yn-1 – Historic CPAS Yn.</w:t>
      </w:r>
    </w:p>
    <w:p w:rsidRPr="00C34E77" w:rsidR="007375C6" w:rsidRDefault="00B278E9" w14:paraId="0151DCCD" w14:textId="77777777">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rsidR="007375C6" w:rsidRDefault="00B278E9" w14:paraId="3C9043A5" w14:textId="77777777">
      <w:pPr>
        <w:pStyle w:val="TableFigureSource"/>
      </w:pPr>
      <w:r>
        <w:t>Source: Evaluation team analysis</w:t>
      </w:r>
    </w:p>
    <w:p w:rsidR="00561800" w:rsidP="0033415A" w:rsidRDefault="00561800" w14:paraId="75D2F4B5" w14:textId="77777777">
      <w:pPr>
        <w:pStyle w:val="BodyText"/>
        <w:sectPr w:rsidR="00561800" w:rsidSect="004D3EF5">
          <w:headerReference w:type="default" r:id="rId29"/>
          <w:footerReference w:type="default" r:id="rId30"/>
          <w:type w:val="continuous"/>
          <w:pgSz w:w="20160" w:h="16560" w:orient="landscape" w:code="1"/>
          <w:pgMar w:top="1440" w:right="1440" w:bottom="1440" w:left="1440" w:header="720" w:footer="720" w:gutter="0"/>
          <w:cols w:space="720"/>
          <w:docGrid w:linePitch="360"/>
        </w:sectPr>
      </w:pPr>
    </w:p>
    <w:p w:rsidRPr="00A42EA9" w:rsidR="009832DB" w:rsidP="009832DB" w:rsidRDefault="00FF60F2" w14:paraId="6F4CE746" w14:textId="0C454F2A">
      <w:pPr>
        <w:pStyle w:val="Heading10"/>
        <w:spacing w:after="240"/>
      </w:pPr>
      <w:bookmarkStart w:name="_Toc192582254" w:id="75"/>
      <w:bookmarkEnd w:id="0"/>
      <w:r>
        <w:t>Public Housing Upgrades Component</w:t>
      </w:r>
      <w:bookmarkEnd w:id="75"/>
    </w:p>
    <w:p w:rsidRPr="006D4A66" w:rsidR="009832DB" w:rsidP="006D4A66" w:rsidRDefault="009832DB" w14:paraId="74516B8D" w14:textId="77777777">
      <w:pPr>
        <w:pStyle w:val="Heading2"/>
        <w:rPr>
          <w:i w:val="0"/>
          <w:iCs w:val="0"/>
        </w:rPr>
      </w:pPr>
      <w:bookmarkStart w:name="_Toc192582255" w:id="76"/>
      <w:r w:rsidRPr="006D4A66">
        <w:rPr>
          <w:i w:val="0"/>
          <w:iCs w:val="0"/>
        </w:rPr>
        <w:t>Introduction</w:t>
      </w:r>
      <w:bookmarkEnd w:id="76"/>
    </w:p>
    <w:p w:rsidR="00355500" w:rsidP="009832DB" w:rsidRDefault="009832DB" w14:paraId="128C73AF" w14:textId="77777777">
      <w:pPr>
        <w:pStyle w:val="BodyText"/>
      </w:pPr>
      <w:r w:rsidRPr="00C609AB">
        <w:t>This</w:t>
      </w:r>
      <w:r>
        <w:t xml:space="preserve"> section</w:t>
      </w:r>
      <w:r w:rsidRPr="00C609AB">
        <w:t xml:space="preserve"> presents the results of the impact evaluation of the </w:t>
      </w:r>
      <w:r w:rsidR="00140BE3">
        <w:t>Public Housing Upgrades</w:t>
      </w:r>
      <w:r w:rsidRPr="00C609AB">
        <w:t xml:space="preserve"> </w:t>
      </w:r>
      <w:r w:rsidR="00373695">
        <w:t xml:space="preserve">(PH) </w:t>
      </w:r>
      <w:r w:rsidRPr="00C609AB">
        <w:t xml:space="preserve">program from the program year from January 1 to December 31, 2024 (CY2024). </w:t>
      </w:r>
      <w:r w:rsidRPr="00A43503" w:rsidR="00A43503">
        <w:t xml:space="preserve">The PH component was designed to provide free energy saving products to public housing facilities. </w:t>
      </w:r>
    </w:p>
    <w:p w:rsidR="009832DB" w:rsidP="009832DB" w:rsidRDefault="009832DB" w14:paraId="4B9D2F9F" w14:textId="7603A907">
      <w:pPr>
        <w:pStyle w:val="BodyText"/>
        <w:rPr>
          <w:sz w:val="20"/>
        </w:rPr>
      </w:pPr>
      <w:r w:rsidRPr="00FD762A">
        <w:rPr>
          <w:szCs w:val="22"/>
        </w:rPr>
        <w:t xml:space="preserve">The </w:t>
      </w:r>
      <w:r w:rsidR="006C4ED2">
        <w:rPr>
          <w:szCs w:val="22"/>
        </w:rPr>
        <w:t>PH component</w:t>
      </w:r>
      <w:r w:rsidRPr="00FD762A">
        <w:rPr>
          <w:szCs w:val="22"/>
        </w:rPr>
        <w:t xml:space="preserve"> is offered jointly to customers served by ComEd, Nicor Gas</w:t>
      </w:r>
      <w:r w:rsidR="0024513D">
        <w:rPr>
          <w:szCs w:val="22"/>
        </w:rPr>
        <w:t xml:space="preserve"> and</w:t>
      </w:r>
      <w:r w:rsidRPr="00FD762A">
        <w:rPr>
          <w:szCs w:val="22"/>
        </w:rPr>
        <w:t xml:space="preserve"> Peoples Gas</w:t>
      </w:r>
      <w:r w:rsidR="0024513D">
        <w:rPr>
          <w:szCs w:val="22"/>
        </w:rPr>
        <w:t xml:space="preserve">. </w:t>
      </w:r>
      <w:r w:rsidRPr="00FD762A">
        <w:rPr>
          <w:szCs w:val="22"/>
        </w:rPr>
        <w:t>The results for the gas utilities will be in separate report</w:t>
      </w:r>
      <w:r>
        <w:rPr>
          <w:szCs w:val="22"/>
        </w:rPr>
        <w:t>s</w:t>
      </w:r>
      <w:r w:rsidRPr="00FD762A">
        <w:rPr>
          <w:szCs w:val="22"/>
        </w:rPr>
        <w:t>.</w:t>
      </w:r>
      <w:r w:rsidR="0024513D">
        <w:rPr>
          <w:szCs w:val="22"/>
        </w:rPr>
        <w:t xml:space="preserve"> Because this is public housing, all the savings are Income Eligible.</w:t>
      </w:r>
    </w:p>
    <w:p w:rsidRPr="006D4A66" w:rsidR="009832DB" w:rsidP="006D4A66" w:rsidRDefault="009832DB" w14:paraId="6838C266" w14:textId="77777777">
      <w:pPr>
        <w:pStyle w:val="Heading2"/>
        <w:rPr>
          <w:i w:val="0"/>
          <w:iCs w:val="0"/>
        </w:rPr>
      </w:pPr>
      <w:bookmarkStart w:name="_Toc192582256" w:id="77"/>
      <w:r w:rsidRPr="006D4A66">
        <w:rPr>
          <w:i w:val="0"/>
          <w:iCs w:val="0"/>
        </w:rPr>
        <w:t>Program Savings Detail</w:t>
      </w:r>
      <w:bookmarkEnd w:id="77"/>
    </w:p>
    <w:p w:rsidR="008E3773" w:rsidP="009832DB" w:rsidRDefault="003E1E3F" w14:paraId="228D3DB4" w14:textId="7596CF1F">
      <w:pPr>
        <w:pStyle w:val="BodyText"/>
      </w:pPr>
      <w:r>
        <w:fldChar w:fldCharType="begin"/>
      </w:r>
      <w:r>
        <w:instrText xml:space="preserve"> REF _Ref192579742 \h </w:instrText>
      </w:r>
      <w:r>
        <w:fldChar w:fldCharType="separate"/>
      </w:r>
      <w:r>
        <w:t xml:space="preserve">Table </w:t>
      </w:r>
      <w:r>
        <w:rPr>
          <w:noProof/>
        </w:rPr>
        <w:t>7</w:t>
      </w:r>
      <w:r>
        <w:fldChar w:fldCharType="end"/>
      </w:r>
      <w:r w:rsidR="00960245">
        <w:t xml:space="preserve"> </w:t>
      </w:r>
      <w:r w:rsidRPr="008E2DD7" w:rsidR="009832DB">
        <w:t xml:space="preserve">summarizes the incremental energy and demand savings the </w:t>
      </w:r>
      <w:r w:rsidR="0046370F">
        <w:t>PH component</w:t>
      </w:r>
      <w:r w:rsidRPr="008E2DD7" w:rsidR="009832DB">
        <w:t xml:space="preserve"> achieved in CY202</w:t>
      </w:r>
      <w:r w:rsidR="009832DB">
        <w:t>4</w:t>
      </w:r>
      <w:r w:rsidRPr="008E2DD7" w:rsidR="009832DB">
        <w:t xml:space="preserve">. </w:t>
      </w:r>
    </w:p>
    <w:p w:rsidR="009C1BC7" w:rsidP="009C1BC7" w:rsidRDefault="009C1BC7" w14:paraId="3B8843FC" w14:textId="2469FCBD">
      <w:pPr>
        <w:pStyle w:val="Caption"/>
      </w:pPr>
      <w:bookmarkStart w:name="_Ref192579742" w:id="78"/>
      <w:bookmarkStart w:name="_Toc192581529" w:id="79"/>
      <w:r>
        <w:t xml:space="preserve">Table </w:t>
      </w:r>
      <w:r>
        <w:fldChar w:fldCharType="begin"/>
      </w:r>
      <w:r>
        <w:instrText xml:space="preserve"> SEQ Table \* ARABIC </w:instrText>
      </w:r>
      <w:r>
        <w:fldChar w:fldCharType="separate"/>
      </w:r>
      <w:r w:rsidR="008B6B65">
        <w:rPr>
          <w:noProof/>
        </w:rPr>
        <w:t>7</w:t>
      </w:r>
      <w:r>
        <w:fldChar w:fldCharType="end"/>
      </w:r>
      <w:bookmarkEnd w:id="78"/>
      <w:r>
        <w:t xml:space="preserve">. </w:t>
      </w:r>
      <w:r w:rsidR="00B63846">
        <w:t xml:space="preserve">Public Housing Upgrades </w:t>
      </w:r>
      <w:r w:rsidRPr="00F7087A">
        <w:t>Total Annual Incremen</w:t>
      </w:r>
      <w:r>
        <w:t>t</w:t>
      </w:r>
      <w:r w:rsidRPr="00F7087A">
        <w:t>al Electric Savings</w:t>
      </w:r>
      <w:r>
        <w:t xml:space="preserve"> - Total</w:t>
      </w:r>
      <w:bookmarkEnd w:id="79"/>
    </w:p>
    <w:tbl>
      <w:tblPr>
        <w:tblW w:w="5000" w:type="pct"/>
        <w:jc w:val="center"/>
        <w:tblLook w:val="0420" w:firstRow="1" w:lastRow="0" w:firstColumn="0" w:lastColumn="0" w:noHBand="0" w:noVBand="1"/>
      </w:tblPr>
      <w:tblGrid>
        <w:gridCol w:w="2126"/>
        <w:gridCol w:w="325"/>
        <w:gridCol w:w="902"/>
        <w:gridCol w:w="1114"/>
        <w:gridCol w:w="897"/>
        <w:gridCol w:w="1055"/>
        <w:gridCol w:w="1041"/>
        <w:gridCol w:w="1041"/>
        <w:gridCol w:w="859"/>
      </w:tblGrid>
      <w:tr w:rsidR="0091516F" w:rsidTr="00C31F32" w14:paraId="10BC9F91" w14:textId="77777777">
        <w:trPr>
          <w:tblHeader/>
          <w:jc w:val="center"/>
        </w:trPr>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91516F" w:rsidRDefault="0091516F" w14:paraId="7BF4D06E"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91516F" w:rsidRDefault="0091516F" w14:paraId="79ECFA1A"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Units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91516F" w:rsidRDefault="0091516F" w14:paraId="1343B84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Ex Ante Gross Savings*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91516F" w:rsidRDefault="0091516F" w14:paraId="28002C0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Program Gross Realization Rate</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91516F" w:rsidRDefault="0091516F" w14:paraId="29A57B3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Verified Gross Savings*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91516F" w:rsidRDefault="0091516F" w14:paraId="4C746D5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Program Net-to-Gross Ratio (NTG)</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91516F" w:rsidRDefault="0091516F" w14:paraId="2994126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CY2022 Net Carryover Savings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91516F" w:rsidRDefault="0091516F" w14:paraId="3091D04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CY2023 Net Carryover Savings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91516F" w:rsidRDefault="0091516F" w14:paraId="64F11B9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Verified Net Savings</w:t>
            </w:r>
            <w:r>
              <w:rPr>
                <w:rFonts w:ascii="Arial" w:hAnsi="DejaVu Sans" w:eastAsia="DejaVu Sans" w:cs="DejaVu Sans"/>
                <w:color w:val="FFFFFF"/>
                <w:sz w:val="14"/>
                <w:szCs w:val="14"/>
              </w:rPr>
              <w:t>†</w:t>
            </w:r>
          </w:p>
        </w:tc>
      </w:tr>
      <w:tr w:rsidR="0091516F" w:rsidTr="00C31F32" w14:paraId="6F5DEBE1" w14:textId="77777777">
        <w:trPr>
          <w:jc w:val="center"/>
        </w:trPr>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2F422F21"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Electric Energy Savings - Direct</w:t>
            </w:r>
            <w:r>
              <w:rPr>
                <w:rFonts w:ascii="Arial" w:hAnsi="DejaVu Sans" w:eastAsia="DejaVu Sans" w:cs="DejaVu Sans"/>
                <w:color w:val="000000"/>
                <w:sz w:val="14"/>
                <w:szCs w:val="14"/>
              </w:rPr>
              <w:t>‡</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1916DA56"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1CC2C47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1,293,585</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76F733E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0.90</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048E699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1,166,558</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66750BA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334C40E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0F6201A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3DE7596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1,166,558</w:t>
            </w:r>
          </w:p>
        </w:tc>
      </w:tr>
      <w:tr w:rsidR="0091516F" w:rsidTr="00C31F32" w14:paraId="230734F6"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012F15AC"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 xml:space="preserve">Electric Energy Savings -  </w:t>
            </w:r>
            <w:r>
              <w:rPr>
                <w:rFonts w:ascii="Arial" w:hAnsi="DejaVu Sans" w:eastAsia="DejaVu Sans" w:cs="DejaVu Sans"/>
                <w:color w:val="000000"/>
                <w:sz w:val="14"/>
                <w:szCs w:val="14"/>
              </w:rPr>
              <w:br/>
            </w:r>
            <w:r>
              <w:rPr>
                <w:rFonts w:ascii="Arial" w:hAnsi="DejaVu Sans" w:eastAsia="DejaVu Sans" w:cs="DejaVu Sans"/>
                <w:color w:val="000000"/>
                <w:sz w:val="14"/>
                <w:szCs w:val="14"/>
              </w:rPr>
              <w:t>Converted from Other Fuel</w:t>
            </w:r>
            <w:r>
              <w:rPr>
                <w:rFonts w:ascii="Arial" w:hAnsi="DejaVu Sans" w:eastAsia="DejaVu Sans" w:cs="DejaVu Sans"/>
                <w:color w:val="000000"/>
                <w:sz w:val="14"/>
                <w:szCs w:val="14"/>
              </w:rPr>
              <w:t>§</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065F0F93"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07E534B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7F23822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104461C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2A66B12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40A6298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419451D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7214CCF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91516F" w:rsidTr="00C31F32" w14:paraId="7284BD23"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66877B23"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Electric Energy Savings - Indirect from  Electrification (electrification baseline)||</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768BC946"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6BB5814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2D2D94E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48B725F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3538FEE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6696B86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3F2D503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486C019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r>
      <w:tr w:rsidR="0091516F" w:rsidTr="00C31F32" w14:paraId="34833823"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6958E106"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Electric Energy Savings - Indirect from  Electrification (efficiency baseline)||</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11BD8005"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2DE4F55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43A3F26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03981CD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7D96098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7FF8D2E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07BF541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5208BE8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r>
      <w:tr w:rsidR="0091516F" w:rsidTr="00C31F32" w14:paraId="59623611"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290D556E"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Total Electric Energy Savings#</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7F933812"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4DDB05F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1,293,585</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667FF50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0.90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55E8A8E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1,166,558</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59A53E3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3350FE6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453C8C4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3EDDADD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1,166,558</w:t>
            </w:r>
          </w:p>
        </w:tc>
      </w:tr>
      <w:tr w:rsidR="0091516F" w:rsidTr="00C31F32" w14:paraId="42B81145"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27C10FC8"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 xml:space="preserve">Total Electric Energy Savings  </w:t>
            </w:r>
            <w:r>
              <w:rPr>
                <w:rFonts w:ascii="Arial" w:hAnsi="DejaVu Sans" w:eastAsia="DejaVu Sans" w:cs="DejaVu Sans"/>
                <w:color w:val="000000"/>
                <w:sz w:val="14"/>
                <w:szCs w:val="14"/>
              </w:rPr>
              <w:br/>
            </w:r>
            <w:r>
              <w:rPr>
                <w:rFonts w:ascii="Arial" w:hAnsi="DejaVu Sans" w:eastAsia="DejaVu Sans" w:cs="DejaVu Sans"/>
                <w:color w:val="000000"/>
                <w:sz w:val="14"/>
                <w:szCs w:val="14"/>
              </w:rPr>
              <w:t>Including Carryover#</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34872AD2"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408298D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6D2E9F8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30AA46E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0F6EA50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22BD84E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5B9FCAA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1C2E993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r>
      <w:tr w:rsidR="0091516F" w:rsidTr="00C31F32" w14:paraId="2BB69D88"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2A7B5271"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Summer Peak*</w:t>
            </w:r>
            <w:r>
              <w:rPr>
                <w:rFonts w:ascii="Arial" w:hAnsi="DejaVu Sans" w:eastAsia="DejaVu Sans" w:cs="DejaVu Sans"/>
                <w:color w:val="000000"/>
                <w:sz w:val="14"/>
                <w:szCs w:val="14"/>
              </w:rPr>
              <w:t>†</w:t>
            </w:r>
            <w:r>
              <w:rPr>
                <w:rFonts w:ascii="Arial" w:hAnsi="DejaVu Sans" w:eastAsia="DejaVu Sans" w:cs="DejaVu Sans"/>
                <w:color w:val="000000"/>
                <w:sz w:val="14"/>
                <w:szCs w:val="14"/>
              </w:rPr>
              <w:t xml:space="preserve"> Demand Savings</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581692BD"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kW</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750846C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799</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598F621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0.40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6CB399B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321</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411D27F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1693465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2AFD302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91516F" w:rsidRDefault="0091516F" w14:paraId="4E2CE76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321</w:t>
            </w:r>
          </w:p>
        </w:tc>
      </w:tr>
      <w:tr w:rsidR="0091516F" w:rsidTr="00C31F32" w14:paraId="17F8DD8A" w14:textId="77777777">
        <w:trPr>
          <w:jc w:val="center"/>
        </w:trPr>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91516F" w:rsidRDefault="0091516F" w14:paraId="17C643F3"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Summer Peak*</w:t>
            </w:r>
            <w:r>
              <w:rPr>
                <w:rFonts w:ascii="Arial" w:hAnsi="DejaVu Sans" w:eastAsia="DejaVu Sans" w:cs="DejaVu Sans"/>
                <w:color w:val="000000"/>
                <w:sz w:val="14"/>
                <w:szCs w:val="14"/>
              </w:rPr>
              <w:t>†</w:t>
            </w:r>
            <w:r>
              <w:rPr>
                <w:rFonts w:ascii="Arial" w:hAnsi="DejaVu Sans" w:eastAsia="DejaVu Sans" w:cs="DejaVu Sans"/>
                <w:color w:val="000000"/>
                <w:sz w:val="14"/>
                <w:szCs w:val="14"/>
              </w:rPr>
              <w:t xml:space="preserve"> Demand Savings </w:t>
            </w:r>
            <w:r>
              <w:rPr>
                <w:rFonts w:ascii="Arial" w:hAnsi="DejaVu Sans" w:eastAsia="DejaVu Sans" w:cs="DejaVu Sans"/>
                <w:color w:val="000000"/>
                <w:sz w:val="14"/>
                <w:szCs w:val="14"/>
              </w:rPr>
              <w:br/>
            </w:r>
            <w:r>
              <w:rPr>
                <w:rFonts w:ascii="Arial" w:hAnsi="DejaVu Sans" w:eastAsia="DejaVu Sans" w:cs="DejaVu Sans"/>
                <w:color w:val="000000"/>
                <w:sz w:val="14"/>
                <w:szCs w:val="14"/>
              </w:rPr>
              <w:t xml:space="preserve"> Including Carryover</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91516F" w:rsidRDefault="0091516F" w14:paraId="2C297714"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kW</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91516F" w:rsidRDefault="0091516F" w14:paraId="4DC9FDC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91516F" w:rsidRDefault="0091516F" w14:paraId="5919880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91516F" w:rsidRDefault="0091516F" w14:paraId="438401A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91516F" w:rsidRDefault="0091516F" w14:paraId="3A405BB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91516F" w:rsidRDefault="0091516F" w14:paraId="520AE1C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91516F" w:rsidRDefault="0091516F" w14:paraId="068483E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91516F" w:rsidRDefault="0091516F" w14:paraId="24C440D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r>
    </w:tbl>
    <w:p w:rsidRPr="004B16A6" w:rsidR="00C31F32" w:rsidP="00C31F32" w:rsidRDefault="00C31F32" w14:paraId="256013ED" w14:textId="77777777">
      <w:pPr>
        <w:pStyle w:val="TableFigureNote"/>
      </w:pPr>
      <w:r w:rsidRPr="004B16A6">
        <w:t xml:space="preserve">Footnotes are defined similarly as found in </w:t>
      </w:r>
      <w:r w:rsidRPr="004B16A6">
        <w:fldChar w:fldCharType="begin"/>
      </w:r>
      <w:r w:rsidRPr="004B16A6">
        <w:instrText xml:space="preserve"> REF _Ref482008337 \h </w:instrText>
      </w:r>
      <w:r>
        <w:instrText xml:space="preserve"> \* MERGEFORMAT </w:instrText>
      </w:r>
      <w:r w:rsidRPr="004B16A6">
        <w:fldChar w:fldCharType="separate"/>
      </w:r>
      <w:r>
        <w:t>Table 1</w:t>
      </w:r>
      <w:r w:rsidRPr="004B16A6">
        <w:fldChar w:fldCharType="end"/>
      </w:r>
      <w:r>
        <w:t>.</w:t>
      </w:r>
    </w:p>
    <w:p w:rsidR="0007673D" w:rsidP="0007673D" w:rsidRDefault="00C31F32" w14:paraId="2EB43B7B" w14:textId="2D9D4E7F">
      <w:pPr>
        <w:pStyle w:val="TableFigureSource"/>
      </w:pPr>
      <w:r w:rsidRPr="537FA5AC">
        <w:t>Source: Evaluation team analysis</w:t>
      </w:r>
    </w:p>
    <w:p w:rsidR="0007673D" w:rsidP="0007673D" w:rsidRDefault="001B7A03" w14:paraId="1274E162" w14:textId="2A786068">
      <w:pPr>
        <w:pStyle w:val="BodyText"/>
      </w:pPr>
      <w:r>
        <w:fldChar w:fldCharType="begin"/>
      </w:r>
      <w:r>
        <w:instrText xml:space="preserve"> REF _Ref192579860 \h </w:instrText>
      </w:r>
      <w:r>
        <w:fldChar w:fldCharType="separate"/>
      </w:r>
      <w:r w:rsidR="008E7EAE">
        <w:t xml:space="preserve">Figure </w:t>
      </w:r>
      <w:r w:rsidR="008E7EAE">
        <w:rPr>
          <w:noProof/>
        </w:rPr>
        <w:t>2</w:t>
      </w:r>
      <w:r>
        <w:fldChar w:fldCharType="end"/>
      </w:r>
      <w:r>
        <w:t xml:space="preserve"> </w:t>
      </w:r>
      <w:r w:rsidR="0007673D">
        <w:t xml:space="preserve">shows the electric energy savings by measure end use. It includes measure efficiency savings, </w:t>
      </w:r>
      <w:r w:rsidRPr="004B16A6" w:rsidR="0007673D">
        <w:t>carryover</w:t>
      </w:r>
      <w:r w:rsidR="0007673D">
        <w:t xml:space="preserve"> kWh, </w:t>
      </w:r>
      <w:r w:rsidRPr="004B16A6" w:rsidR="0007673D">
        <w:t>secondary water kWh</w:t>
      </w:r>
      <w:r w:rsidR="0007673D">
        <w:t>, and</w:t>
      </w:r>
      <w:r w:rsidRPr="004B16A6" w:rsidR="0007673D">
        <w:t xml:space="preserve"> electrification</w:t>
      </w:r>
      <w:r w:rsidR="0007673D">
        <w:t xml:space="preserve"> </w:t>
      </w:r>
      <w:r w:rsidRPr="004B16A6" w:rsidR="0007673D">
        <w:t>savings. It</w:t>
      </w:r>
      <w:r w:rsidR="0007673D">
        <w:t xml:space="preserve"> does not </w:t>
      </w:r>
      <w:r w:rsidRPr="004B16A6" w:rsidR="0007673D">
        <w:t xml:space="preserve">include </w:t>
      </w:r>
      <w:r w:rsidR="0007673D">
        <w:t>other fuel</w:t>
      </w:r>
      <w:r w:rsidRPr="004B16A6" w:rsidR="0007673D">
        <w:t xml:space="preserve"> savings converted to kWh.</w:t>
      </w:r>
    </w:p>
    <w:p w:rsidR="003E1E3F" w:rsidP="003E1E3F" w:rsidRDefault="003E1E3F" w14:paraId="70F93486" w14:textId="57FD5CEA">
      <w:pPr>
        <w:pStyle w:val="Caption"/>
      </w:pPr>
      <w:bookmarkStart w:name="_Ref192579860" w:id="80"/>
      <w:bookmarkStart w:name="_Toc192581502" w:id="81"/>
      <w:r>
        <w:t xml:space="preserve">Figure </w:t>
      </w:r>
      <w:r>
        <w:fldChar w:fldCharType="begin"/>
      </w:r>
      <w:r>
        <w:instrText xml:space="preserve"> SEQ Figure \* ARABIC </w:instrText>
      </w:r>
      <w:r>
        <w:fldChar w:fldCharType="separate"/>
      </w:r>
      <w:r w:rsidR="00286CDB">
        <w:rPr>
          <w:noProof/>
        </w:rPr>
        <w:t>2</w:t>
      </w:r>
      <w:r>
        <w:fldChar w:fldCharType="end"/>
      </w:r>
      <w:bookmarkEnd w:id="80"/>
      <w:r>
        <w:t xml:space="preserve">. Public Housing Upgrades </w:t>
      </w:r>
      <w:r w:rsidRPr="2221D51B">
        <w:t>Verified Net Savings by Measure – Electric</w:t>
      </w:r>
      <w:bookmarkEnd w:id="81"/>
    </w:p>
    <w:p w:rsidR="0007673D" w:rsidP="00591137" w:rsidRDefault="0007673D" w14:paraId="2B881196" w14:textId="77777777">
      <w:pPr>
        <w:jc w:val="center"/>
      </w:pPr>
      <w:r>
        <w:rPr>
          <w:noProof/>
        </w:rPr>
        <w:drawing>
          <wp:inline distT="0" distB="0" distL="0" distR="0" wp14:anchorId="040EEAFB" wp14:editId="3C3666BD">
            <wp:extent cx="5943600" cy="2460291"/>
            <wp:effectExtent l="0" t="0" r="0" b="0"/>
            <wp:docPr id="704201527" name="Picture 70420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rotWithShape="1">
                    <a:blip r:embed="rId31" cstate="print"/>
                    <a:srcRect t="10311" b="1"/>
                    <a:stretch/>
                  </pic:blipFill>
                  <pic:spPr bwMode="auto">
                    <a:xfrm>
                      <a:off x="0" y="0"/>
                      <a:ext cx="82550" cy="34171"/>
                    </a:xfrm>
                    <a:prstGeom prst="rect">
                      <a:avLst/>
                    </a:prstGeom>
                    <a:noFill/>
                    <a:ln>
                      <a:noFill/>
                    </a:ln>
                    <a:extLst>
                      <a:ext uri="{53640926-AAD7-44D8-BBD7-CCE9431645EC}">
                        <a14:shadowObscured xmlns:a14="http://schemas.microsoft.com/office/drawing/2010/main"/>
                      </a:ext>
                    </a:extLst>
                  </pic:spPr>
                </pic:pic>
              </a:graphicData>
            </a:graphic>
          </wp:inline>
        </w:drawing>
      </w:r>
    </w:p>
    <w:p w:rsidR="0007673D" w:rsidP="0007673D" w:rsidRDefault="0007673D" w14:paraId="1E176F20" w14:textId="77777777">
      <w:pPr>
        <w:pStyle w:val="TableFigureSource"/>
      </w:pPr>
      <w:r w:rsidRPr="27A43C0E">
        <w:t>Source: Evaluation team analysis</w:t>
      </w:r>
    </w:p>
    <w:p w:rsidR="0039730A" w:rsidP="009832DB" w:rsidRDefault="0039730A" w14:paraId="72A2BEFF" w14:textId="77777777">
      <w:pPr>
        <w:pStyle w:val="BodyText"/>
      </w:pPr>
    </w:p>
    <w:p w:rsidR="0039730A" w:rsidP="009832DB" w:rsidRDefault="0039730A" w14:paraId="2349F66B" w14:textId="77777777">
      <w:pPr>
        <w:pStyle w:val="BodyText"/>
        <w:sectPr w:rsidR="0039730A" w:rsidSect="004D3EF5">
          <w:headerReference w:type="default" r:id="rId32"/>
          <w:footerReference w:type="default" r:id="rId33"/>
          <w:pgSz w:w="12240" w:h="15840" w:orient="portrait" w:code="1"/>
          <w:pgMar w:top="1440" w:right="1440" w:bottom="1440" w:left="1440" w:header="720" w:footer="720" w:gutter="0"/>
          <w:cols w:space="720"/>
          <w:docGrid w:linePitch="360"/>
        </w:sectPr>
      </w:pPr>
    </w:p>
    <w:p w:rsidRPr="006D4A66" w:rsidR="007E1990" w:rsidP="006D4A66" w:rsidRDefault="007E1990" w14:paraId="66CB06A3" w14:textId="77777777">
      <w:pPr>
        <w:pStyle w:val="Heading2"/>
        <w:rPr>
          <w:i w:val="0"/>
          <w:iCs w:val="0"/>
        </w:rPr>
      </w:pPr>
      <w:bookmarkStart w:name="_Toc192582257" w:id="82"/>
      <w:r w:rsidRPr="006D4A66">
        <w:rPr>
          <w:i w:val="0"/>
          <w:iCs w:val="0"/>
        </w:rPr>
        <w:t>Cumulative Persisting Annual Savings</w:t>
      </w:r>
      <w:bookmarkEnd w:id="82"/>
    </w:p>
    <w:p w:rsidR="007E1990" w:rsidP="007E1990" w:rsidRDefault="00914B3E" w14:paraId="14F07521" w14:textId="5E634B20">
      <w:pPr>
        <w:pStyle w:val="BodyText"/>
      </w:pPr>
      <w:r>
        <w:fldChar w:fldCharType="begin"/>
      </w:r>
      <w:r>
        <w:instrText xml:space="preserve"> REF _Ref192579921 \h </w:instrText>
      </w:r>
      <w:r>
        <w:fldChar w:fldCharType="separate"/>
      </w:r>
      <w:r>
        <w:t xml:space="preserve">Table </w:t>
      </w:r>
      <w:r>
        <w:rPr>
          <w:noProof/>
        </w:rPr>
        <w:t>8</w:t>
      </w:r>
      <w:r>
        <w:fldChar w:fldCharType="end"/>
      </w:r>
      <w:r w:rsidR="007059F0">
        <w:t xml:space="preserve"> </w:t>
      </w:r>
      <w:r w:rsidR="00607AC6">
        <w:t>to</w:t>
      </w:r>
      <w:r w:rsidR="00622176">
        <w:t xml:space="preserve"> </w:t>
      </w:r>
      <w:r w:rsidR="0042378B">
        <w:fldChar w:fldCharType="begin"/>
      </w:r>
      <w:r w:rsidR="0042378B">
        <w:instrText xml:space="preserve"> REF _Ref192580030 \h </w:instrText>
      </w:r>
      <w:r w:rsidR="0042378B">
        <w:fldChar w:fldCharType="separate"/>
      </w:r>
      <w:r w:rsidR="0042378B">
        <w:t xml:space="preserve">Table </w:t>
      </w:r>
      <w:r w:rsidR="0042378B">
        <w:rPr>
          <w:noProof/>
        </w:rPr>
        <w:t>10</w:t>
      </w:r>
      <w:r w:rsidR="0042378B">
        <w:fldChar w:fldCharType="end"/>
      </w:r>
      <w:r w:rsidR="0042378B">
        <w:t xml:space="preserve"> </w:t>
      </w:r>
      <w:r w:rsidR="007E1990">
        <w:t xml:space="preserve">show the </w:t>
      </w:r>
      <w:r w:rsidRPr="00B52A58" w:rsidR="007E1990">
        <w:t xml:space="preserve">cumulative </w:t>
      </w:r>
      <w:r w:rsidRPr="008419F0" w:rsidR="007E1990">
        <w:t xml:space="preserve">persisting annual savings (CPAS) for the measures installed in </w:t>
      </w:r>
      <w:r w:rsidR="007E1990">
        <w:t>CY2024.</w:t>
      </w:r>
      <w:r w:rsidRPr="008419F0" w:rsidR="007E1990">
        <w:t xml:space="preserve"> The electric CPAS across all measures installed in </w:t>
      </w:r>
      <w:r w:rsidR="007E1990">
        <w:t>CY2024</w:t>
      </w:r>
      <w:r w:rsidRPr="008419F0" w:rsidR="007E1990">
        <w:t xml:space="preserve"> is </w:t>
      </w:r>
      <w:r w:rsidR="007E1990">
        <w:t xml:space="preserve">shown in </w:t>
      </w:r>
      <w:r w:rsidR="007059F0">
        <w:fldChar w:fldCharType="begin"/>
      </w:r>
      <w:r w:rsidR="007059F0">
        <w:instrText xml:space="preserve"> REF _Ref192579921 \h </w:instrText>
      </w:r>
      <w:r w:rsidR="007059F0">
        <w:fldChar w:fldCharType="separate"/>
      </w:r>
      <w:r w:rsidR="007059F0">
        <w:t xml:space="preserve">Table </w:t>
      </w:r>
      <w:r w:rsidR="007059F0">
        <w:rPr>
          <w:noProof/>
        </w:rPr>
        <w:t>8</w:t>
      </w:r>
      <w:r w:rsidR="007059F0">
        <w:fldChar w:fldCharType="end"/>
      </w:r>
      <w:r w:rsidR="00607AC6">
        <w:t xml:space="preserve">. </w:t>
      </w:r>
      <w:r w:rsidRPr="00C752CF" w:rsidR="007E1990">
        <w:t xml:space="preserve">The gas </w:t>
      </w:r>
      <w:r w:rsidR="007E1990">
        <w:t xml:space="preserve">and other fuel </w:t>
      </w:r>
      <w:r w:rsidRPr="00C752CF" w:rsidR="007E1990">
        <w:t xml:space="preserve">contribution to CPAS (converted to equivalent electricity) </w:t>
      </w:r>
      <w:r w:rsidR="007E1990">
        <w:t>are</w:t>
      </w:r>
      <w:r w:rsidRPr="00C752CF" w:rsidR="007E1990">
        <w:t xml:space="preserve"> </w:t>
      </w:r>
      <w:r w:rsidR="007E1990">
        <w:t xml:space="preserve">shown in </w:t>
      </w:r>
      <w:r w:rsidR="007059F0">
        <w:fldChar w:fldCharType="begin"/>
      </w:r>
      <w:r w:rsidR="007059F0">
        <w:instrText xml:space="preserve"> REF _Ref192579964 \h </w:instrText>
      </w:r>
      <w:r w:rsidR="007059F0">
        <w:fldChar w:fldCharType="separate"/>
      </w:r>
      <w:r w:rsidR="007059F0">
        <w:t xml:space="preserve">Table </w:t>
      </w:r>
      <w:r w:rsidR="007059F0">
        <w:rPr>
          <w:noProof/>
        </w:rPr>
        <w:t>9</w:t>
      </w:r>
      <w:r w:rsidR="007059F0">
        <w:fldChar w:fldCharType="end"/>
      </w:r>
      <w:r w:rsidR="00895ADF">
        <w:t xml:space="preserve">. </w:t>
      </w:r>
      <w:r w:rsidR="007E1990">
        <w:t xml:space="preserve">The combined savings are shown in </w:t>
      </w:r>
      <w:r w:rsidR="0042378B">
        <w:fldChar w:fldCharType="begin"/>
      </w:r>
      <w:r w:rsidR="0042378B">
        <w:instrText xml:space="preserve"> REF _Ref192580030 \h </w:instrText>
      </w:r>
      <w:r w:rsidR="0042378B">
        <w:fldChar w:fldCharType="separate"/>
      </w:r>
      <w:r w:rsidR="0042378B">
        <w:t xml:space="preserve">Table </w:t>
      </w:r>
      <w:r w:rsidR="0042378B">
        <w:rPr>
          <w:noProof/>
        </w:rPr>
        <w:t>10</w:t>
      </w:r>
      <w:r w:rsidR="0042378B">
        <w:fldChar w:fldCharType="end"/>
      </w:r>
      <w:r w:rsidR="00895ADF">
        <w:t>.</w:t>
      </w:r>
    </w:p>
    <w:p w:rsidR="00914B3E" w:rsidP="00914B3E" w:rsidRDefault="00914B3E" w14:paraId="32595DB4" w14:textId="647C93B4">
      <w:pPr>
        <w:pStyle w:val="Caption"/>
      </w:pPr>
      <w:bookmarkStart w:name="_Ref192579921" w:id="83"/>
      <w:bookmarkStart w:name="_Toc192581530" w:id="84"/>
      <w:r>
        <w:t xml:space="preserve">Table </w:t>
      </w:r>
      <w:r>
        <w:fldChar w:fldCharType="begin"/>
      </w:r>
      <w:r>
        <w:instrText xml:space="preserve"> SEQ Table \* ARABIC </w:instrText>
      </w:r>
      <w:r>
        <w:fldChar w:fldCharType="separate"/>
      </w:r>
      <w:r w:rsidR="008B6B65">
        <w:rPr>
          <w:noProof/>
        </w:rPr>
        <w:t>8</w:t>
      </w:r>
      <w:r>
        <w:fldChar w:fldCharType="end"/>
      </w:r>
      <w:bookmarkEnd w:id="83"/>
      <w:r>
        <w:t>. Public Housing Upgrades CPAS – Electric</w:t>
      </w:r>
      <w:bookmarkEnd w:id="84"/>
    </w:p>
    <w:tbl>
      <w:tblPr>
        <w:tblW w:w="17280" w:type="dxa"/>
        <w:jc w:val="center"/>
        <w:tblLayout w:type="fixed"/>
        <w:tblLook w:val="0420" w:firstRow="1" w:lastRow="0" w:firstColumn="0" w:lastColumn="0" w:noHBand="0" w:noVBand="1"/>
      </w:tblPr>
      <w:tblGrid>
        <w:gridCol w:w="3168"/>
        <w:gridCol w:w="2016"/>
        <w:gridCol w:w="2016"/>
        <w:gridCol w:w="1008"/>
        <w:gridCol w:w="1008"/>
        <w:gridCol w:w="1008"/>
        <w:gridCol w:w="1008"/>
        <w:gridCol w:w="1008"/>
        <w:gridCol w:w="1008"/>
        <w:gridCol w:w="1008"/>
        <w:gridCol w:w="1008"/>
        <w:gridCol w:w="1008"/>
        <w:gridCol w:w="1008"/>
      </w:tblGrid>
      <w:tr w:rsidR="007E1990" w:rsidTr="00914B3E" w14:paraId="32624F19" w14:textId="77777777">
        <w:trPr>
          <w:tblHeader/>
          <w:jc w:val="center"/>
        </w:trPr>
        <w:tc>
          <w:tcPr>
            <w:tcW w:w="7200" w:type="dxa"/>
            <w:gridSpan w:val="3"/>
            <w:tcBorders>
              <w:top w:val="single" w:color="036479" w:sz="8" w:space="0"/>
              <w:left w:val="single" w:color="036479" w:sz="8" w:space="0"/>
              <w:bottom w:val="single" w:color="036479" w:sz="8" w:space="0"/>
              <w:right w:val="single" w:color="036479" w:sz="8" w:space="0"/>
            </w:tcBorders>
            <w:shd w:val="clear" w:color="auto" w:fill="036479"/>
            <w:tcMar>
              <w:top w:w="0" w:type="dxa"/>
              <w:left w:w="0" w:type="dxa"/>
              <w:bottom w:w="0" w:type="dxa"/>
              <w:right w:w="0" w:type="dxa"/>
            </w:tcMar>
            <w:vAlign w:val="bottom"/>
          </w:tcPr>
          <w:p w:rsidR="007E1990" w:rsidRDefault="007E1990" w14:paraId="6069BAB3"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p>
        </w:tc>
        <w:tc>
          <w:tcPr>
            <w:tcW w:w="4032" w:type="dxa"/>
            <w:gridSpan w:val="4"/>
            <w:tcBorders>
              <w:top w:val="single" w:color="036479" w:sz="8" w:space="0"/>
              <w:left w:val="single" w:color="036479" w:sz="8" w:space="0"/>
              <w:bottom w:val="single" w:color="036479" w:sz="8" w:space="0"/>
              <w:right w:val="single" w:color="036479" w:sz="8" w:space="0"/>
            </w:tcBorders>
            <w:shd w:val="clear" w:color="auto" w:fill="036479"/>
            <w:tcMar>
              <w:top w:w="0" w:type="dxa"/>
              <w:left w:w="0" w:type="dxa"/>
              <w:bottom w:w="0" w:type="dxa"/>
              <w:right w:w="0" w:type="dxa"/>
            </w:tcMar>
            <w:vAlign w:val="bottom"/>
          </w:tcPr>
          <w:p w:rsidR="007E1990" w:rsidRDefault="007E1990" w14:paraId="532C579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CPAS Verified Net kWh Savings</w:t>
            </w:r>
          </w:p>
        </w:tc>
        <w:tc>
          <w:tcPr>
            <w:tcW w:w="6048" w:type="dxa"/>
            <w:gridSpan w:val="6"/>
            <w:tcBorders>
              <w:top w:val="single" w:color="036479" w:sz="8" w:space="0"/>
              <w:left w:val="single" w:color="036479" w:sz="8" w:space="0"/>
              <w:bottom w:val="single" w:color="036479" w:sz="8" w:space="0"/>
              <w:right w:val="single" w:color="036479" w:sz="8" w:space="0"/>
            </w:tcBorders>
            <w:shd w:val="clear" w:color="auto" w:fill="036479"/>
            <w:tcMar>
              <w:top w:w="0" w:type="dxa"/>
              <w:left w:w="0" w:type="dxa"/>
              <w:bottom w:w="0" w:type="dxa"/>
              <w:right w:w="0" w:type="dxa"/>
            </w:tcMar>
            <w:vAlign w:val="bottom"/>
          </w:tcPr>
          <w:p w:rsidR="007E1990" w:rsidRDefault="007E1990" w14:paraId="672931A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p>
        </w:tc>
      </w:tr>
      <w:tr w:rsidR="007E1990" w:rsidTr="00914B3E" w14:paraId="44E644FB" w14:textId="77777777">
        <w:trPr>
          <w:tblHeader/>
          <w:jc w:val="center"/>
        </w:trPr>
        <w:tc>
          <w:tcPr>
            <w:tcW w:w="316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008148DA"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2016"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7AD493B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Verified Gross Savings (kWh)</w:t>
            </w:r>
          </w:p>
        </w:tc>
        <w:tc>
          <w:tcPr>
            <w:tcW w:w="2016"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48336FA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Lifetime Net Savings (kWh)</w:t>
            </w:r>
            <w:r>
              <w:rPr>
                <w:rFonts w:ascii="Arial" w:hAnsi="DejaVu Sans" w:eastAsia="DejaVu Sans" w:cs="DejaVu Sans"/>
                <w:color w:val="FFFFFF"/>
                <w:sz w:val="14"/>
                <w:szCs w:val="14"/>
              </w:rPr>
              <w:t>†</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784F4A6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2018</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14E76C5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2019</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0D338A7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2020</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0D54AB3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2021</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043818B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2022</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771A15B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2023</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3EC05F3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2024</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7511379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2025</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308F673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2026</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08767EA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2027</w:t>
            </w:r>
          </w:p>
        </w:tc>
      </w:tr>
      <w:tr w:rsidR="007E1990" w:rsidTr="00914B3E" w14:paraId="06F44BDF" w14:textId="77777777">
        <w:trPr>
          <w:trHeight w:val="216" w:hRule="exact"/>
          <w:jc w:val="center"/>
        </w:trPr>
        <w:tc>
          <w:tcPr>
            <w:tcW w:w="316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0F12960"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Contribution to CPAS</w:t>
            </w:r>
          </w:p>
        </w:tc>
        <w:tc>
          <w:tcPr>
            <w:tcW w:w="2016"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ECD19B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1,166,558</w:t>
            </w:r>
          </w:p>
        </w:tc>
        <w:tc>
          <w:tcPr>
            <w:tcW w:w="2016"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D5FA8F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19,906,172</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9E2DE4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F75567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383719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4AA987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FA6B2A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921038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290BE3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1,166,558</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5DD0C1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1,166,558</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C264B6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1,166,065</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426FE3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1,161,437</w:t>
            </w:r>
          </w:p>
        </w:tc>
      </w:tr>
      <w:tr w:rsidR="007E1990" w:rsidTr="00914B3E" w14:paraId="09703F09"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50F5817"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Total Contribution to CPAS</w:t>
            </w:r>
            <w:r>
              <w:rPr>
                <w:rFonts w:ascii="Arial" w:hAnsi="DejaVu Sans" w:eastAsia="DejaVu Sans" w:cs="DejaVu Sans"/>
                <w:color w:val="000000"/>
                <w:sz w:val="14"/>
                <w:szCs w:val="14"/>
              </w:rPr>
              <w:t>‡</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8B35F6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45F74E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41,185,524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D14287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2,472,099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9605A2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5,495,917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0707C7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6,679,860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663AE5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7,256,469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923C93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7,220,887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CEA669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8,285,125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76EB07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7,701,295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C7541A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6,353,759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964EE9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5,417,102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02152B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5,224,999</w:t>
            </w:r>
          </w:p>
        </w:tc>
      </w:tr>
      <w:tr w:rsidR="007E1990" w:rsidTr="00914B3E" w14:paraId="4AE7C6AE"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22EE0FC"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CPAS</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B79FD8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200506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52,223,843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1186A6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2,472,099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0B626F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5,495,917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700B04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6,679,860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076CEF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7,256,469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8EEF35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7,220,887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1FB5BA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8,285,125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P="00C22507" w:rsidRDefault="00C22507" w14:paraId="7F8337C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8,867,853</w:t>
            </w:r>
          </w:p>
          <w:p w:rsidR="00C22507" w:rsidP="00C22507" w:rsidRDefault="00C22507" w14:paraId="52F6FA57" w14:textId="6AC219B5">
            <w:pPr>
              <w:pBdr>
                <w:top w:val="none" w:color="000000" w:sz="0" w:space="0"/>
                <w:left w:val="none" w:color="000000" w:sz="0" w:space="0"/>
                <w:bottom w:val="none" w:color="000000" w:sz="0" w:space="0"/>
                <w:right w:val="none" w:color="000000" w:sz="0" w:space="0"/>
              </w:pBdr>
              <w:spacing w:before="3" w:after="3"/>
              <w:ind w:left="3" w:right="3"/>
              <w:jc w:val="center"/>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7EEC72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7,520,317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E5A099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6,583,167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F2DCB9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6,386,436</w:t>
            </w:r>
          </w:p>
        </w:tc>
      </w:tr>
      <w:tr w:rsidR="007E1990" w:rsidTr="00914B3E" w14:paraId="42DFEECE"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8BDD9DA"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Savings</w:t>
            </w:r>
            <w:r>
              <w:rPr>
                <w:rFonts w:ascii="Arial" w:hAnsi="DejaVu Sans" w:eastAsia="DejaVu Sans" w:cs="DejaVu Sans"/>
                <w:color w:val="000000"/>
                <w:sz w:val="14"/>
                <w:szCs w:val="14"/>
              </w:rPr>
              <w:t>§</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65B557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8EA84D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781,744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7F6A79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C88E96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B6F1D8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0CCFA0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2A159C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2FE02C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5BD842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284BB2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90D000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493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2C6776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4,628</w:t>
            </w:r>
          </w:p>
        </w:tc>
      </w:tr>
      <w:tr w:rsidR="007E1990" w:rsidTr="00914B3E" w14:paraId="2C72905D"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3D931D3"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Incremental Expiring Savings||</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E592F1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E704B1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7,701,295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4FE757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0EE5A6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310313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F3DADA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C3AC35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565CAE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D2522D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4B714D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1,347,536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EA7111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936,657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A474D7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192,103</w:t>
            </w:r>
          </w:p>
        </w:tc>
      </w:tr>
      <w:tr w:rsidR="007E1990" w:rsidTr="00914B3E" w14:paraId="3C353EDD" w14:textId="77777777">
        <w:trPr>
          <w:trHeight w:val="216" w:hRule="exact"/>
          <w:jc w:val="center"/>
        </w:trPr>
        <w:tc>
          <w:tcPr>
            <w:tcW w:w="316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42190EFC"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Incremental Expiring Savings#</w:t>
            </w:r>
          </w:p>
        </w:tc>
        <w:tc>
          <w:tcPr>
            <w:tcW w:w="2016"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5660B32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2016"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56C60F0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8,483,039</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073B3EF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06EA23E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5F71116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0FB5F2F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5235BC7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728B6AC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698B6C4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24C64E9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1,347,536</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66C1CC6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937,150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33CC35B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196,731</w:t>
            </w:r>
          </w:p>
        </w:tc>
      </w:tr>
    </w:tbl>
    <w:p w:rsidR="007E1990" w:rsidP="007E1990" w:rsidRDefault="007E1990" w14:paraId="61B98384" w14:textId="77777777">
      <w:pPr>
        <w:spacing w:before="0" w:after="0"/>
      </w:pPr>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7E1990" w14:paraId="5A0ECB7B" w14:textId="77777777">
        <w:trPr>
          <w:tblHeader/>
          <w:jc w:val="center"/>
        </w:trPr>
        <w:tc>
          <w:tcPr>
            <w:tcW w:w="316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24F759FD"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4043FC2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2028</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0B2C40D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2029</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3BBFB96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2030</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453809E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2031</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11E0647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2032</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687C087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2033</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795EB7F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2034</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41C56C8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2035</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4DE16E8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2036</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5C5B0C8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2037</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2BFDB50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2038</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3F16704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2039</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5ADF6B5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2040</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48254D2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2041</w:t>
            </w:r>
          </w:p>
        </w:tc>
      </w:tr>
      <w:tr w:rsidR="007E1990" w14:paraId="027CCDE7" w14:textId="77777777">
        <w:trPr>
          <w:trHeight w:val="216" w:hRule="exact"/>
          <w:jc w:val="center"/>
        </w:trPr>
        <w:tc>
          <w:tcPr>
            <w:tcW w:w="316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4A10B7F"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Contribution to CPAS</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142CA8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1,161,437</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A5F4F4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1,131,594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571ABF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1,054,040</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4DEF3A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996,251</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8362E1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906,648</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1936C8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884,321</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FB6F25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845,938</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87B22F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845,938</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6F9E64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534,964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C05001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534,964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6E2918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534,964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CF5FA6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427,094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3932B4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FEF82E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r>
      <w:tr w:rsidR="007E1990" w14:paraId="471B6A7C"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8F3DA6F"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Total Contribution to CPAS</w:t>
            </w:r>
            <w:r>
              <w:rPr>
                <w:rFonts w:ascii="Arial" w:hAnsi="DejaVu Sans" w:eastAsia="DejaVu Sans" w:cs="DejaVu Sans"/>
                <w:color w:val="000000"/>
                <w:sz w:val="14"/>
                <w:szCs w:val="14"/>
              </w:rPr>
              <w:t>‡</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E0F7AB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3,919,606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2E2A2C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3,235,143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B8B3F4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2,579,133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807C24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1,615,419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CB5F6E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1,095,804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BCE3AE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805,921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1B6D69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633,142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E52049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593,565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B86EA2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578,205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1D0B33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573,932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E789D9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189,989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442D52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180,597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2F7A8C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162,434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211FCC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125,631</w:t>
            </w:r>
          </w:p>
        </w:tc>
      </w:tr>
      <w:tr w:rsidR="007E1990" w14:paraId="0DE2B03C"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1D0EB1F"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CPAS</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6D8B01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5,081,043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1E86C8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4,366,737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C983F6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3,633,173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7C5FDE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2,611,670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1AA9EC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2,002,452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99AD91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1,690,242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4863CA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1,479,080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CD2174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1,439,503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2D3F09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1,113,169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7C2672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1,108,896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7FB9B3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724,953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A7F076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607,691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64B62D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547,248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51ABD7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510,445</w:t>
            </w:r>
          </w:p>
        </w:tc>
      </w:tr>
      <w:tr w:rsidR="007E1990" w14:paraId="077C987E"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C8F9DE7"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Savings</w:t>
            </w:r>
            <w:r>
              <w:rPr>
                <w:rFonts w:ascii="Arial" w:hAnsi="DejaVu Sans" w:eastAsia="DejaVu Sans" w:cs="DejaVu Sans"/>
                <w:color w:val="000000"/>
                <w:sz w:val="14"/>
                <w:szCs w:val="14"/>
              </w:rPr>
              <w:t>§</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CA971E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B843DC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29,843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B41F8D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77,554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CF4473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57,789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25DE80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89,602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79AE12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22,328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BBB9C9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38,383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773DC8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2E0B27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310,974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12B3D4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2DA693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002679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107,870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74C0C8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42,280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B8A661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7E1990" w14:paraId="66D556F6"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1F2DC89"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Incremental Expiring Savings||</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D03478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1,305,393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1DC55D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684,463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CD5274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656,010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8511F1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963,714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B22B40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519,615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D62833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289,883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750677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172,779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29EFB1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39,577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81311D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15,360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EA074A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4,273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CA89ED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383,943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BE3367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9,392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6AE27B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18,163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23643D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36,803</w:t>
            </w:r>
          </w:p>
        </w:tc>
      </w:tr>
      <w:tr w:rsidR="007E1990" w14:paraId="61BE3B0B" w14:textId="77777777">
        <w:trPr>
          <w:trHeight w:val="216" w:hRule="exact"/>
          <w:jc w:val="center"/>
        </w:trPr>
        <w:tc>
          <w:tcPr>
            <w:tcW w:w="316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2175FCA0"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Incremental Expiring Savings#</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4669571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1,305,393</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524027A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714,306</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023E71B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733,564</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309D1B8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1,021,503</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1634C2D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609,217</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012270B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312,211</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214AFD7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211,162</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54E98D2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39,577</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1ED9D46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326,334</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25B51A9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4,273</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2FC95FF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383,943</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5B73ED3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117,262</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095FFFF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60,443</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42EB8E4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36,803</w:t>
            </w:r>
          </w:p>
        </w:tc>
      </w:tr>
    </w:tbl>
    <w:p w:rsidRPr="00944D07" w:rsidR="007E1990" w:rsidP="007E1990" w:rsidRDefault="007E1990" w14:paraId="59EBFB7F" w14:textId="77777777">
      <w:pPr>
        <w:spacing w:before="0" w:after="0"/>
      </w:pPr>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7E1990" w14:paraId="114AADE3" w14:textId="77777777">
        <w:trPr>
          <w:tblHeader/>
          <w:jc w:val="center"/>
        </w:trPr>
        <w:tc>
          <w:tcPr>
            <w:tcW w:w="316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4D1C238F"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4B8CF86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2042</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7A23080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2043</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2CF892C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2044</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5723644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2045</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03CC154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2046</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4757F6F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2047</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14AA3CD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2048</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61ECFF8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2049</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5C1324A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2050</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6571C8E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2051</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5934FC2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2052</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60BAC49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2053</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78143C2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2054</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3B539A1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2055</w:t>
            </w:r>
          </w:p>
        </w:tc>
      </w:tr>
      <w:tr w:rsidR="007E1990" w14:paraId="088EFB26" w14:textId="77777777">
        <w:trPr>
          <w:trHeight w:val="216" w:hRule="exact"/>
          <w:jc w:val="center"/>
        </w:trPr>
        <w:tc>
          <w:tcPr>
            <w:tcW w:w="316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8FD8EEA"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Contribution to CPAS</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260A2B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04F1C2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5F6C2B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6984D6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BDD61D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6FF92F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5B6762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3DFC79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AF94E8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945E34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92C5BE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5CF842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50E1CC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9727F6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7E1990" w14:paraId="0938F259"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0459B05"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Total Contribution to CPAS</w:t>
            </w:r>
            <w:r>
              <w:rPr>
                <w:rFonts w:ascii="Arial" w:hAnsi="DejaVu Sans" w:eastAsia="DejaVu Sans" w:cs="DejaVu Sans"/>
                <w:color w:val="000000"/>
                <w:sz w:val="14"/>
                <w:szCs w:val="14"/>
              </w:rPr>
              <w:t>‡</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959143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125,631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9685B9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24,739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38D934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24,739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9570CB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24,739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B8EA13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9CC912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7EA5A7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49D6F6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6C6C88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3070F2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0DC07A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41F7BE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6DFF5C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8E58C0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r>
      <w:tr w:rsidR="007E1990" w14:paraId="517FE0D5"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8B5F258"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CPAS</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71F106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510,445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DC4BC9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409,553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F830AA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409,553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13B710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409,553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06B9EE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BBD3A0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567D41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B4157F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4D7989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E066D4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79AA65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2EB386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4DEE1F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58F9CD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7E1990" w14:paraId="70799BF7"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1E11C3A"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Savings</w:t>
            </w:r>
            <w:r>
              <w:rPr>
                <w:rFonts w:ascii="Arial" w:hAnsi="DejaVu Sans" w:eastAsia="DejaVu Sans" w:cs="DejaVu Sans"/>
                <w:color w:val="000000"/>
                <w:sz w:val="14"/>
                <w:szCs w:val="14"/>
              </w:rPr>
              <w:t>§</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404B68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3DB7AF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6091D5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6B8452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6412D2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D6DF80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ED1DE4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448C4D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6B4931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87CE16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9DF2D4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1D85A2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4084D5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D8B9FA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7E1990" w14:paraId="29661AB6"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4615722"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Incremental Expiring Savings||</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558655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B34274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100,892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AD3878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00299B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ECEBA6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24,739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BD19D2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3864FD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2B2866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5DB3BA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68CDA9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4AA0FD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B2FA90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E73D17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C37F2B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7E1990" w14:paraId="510515D0" w14:textId="77777777">
        <w:trPr>
          <w:trHeight w:val="216" w:hRule="exact"/>
          <w:jc w:val="center"/>
        </w:trPr>
        <w:tc>
          <w:tcPr>
            <w:tcW w:w="316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4D1B8A9D"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Incremental Expiring Savings#</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34A1825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33127DF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100,892</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6776C98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531D988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317263F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24,739</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0C72CA0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2ABD8F0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45254F5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4360CAB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734DA4B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04B529A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350C64A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377E4B3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031829B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bl>
    <w:p w:rsidRPr="00C34E77" w:rsidR="007E1990" w:rsidP="007E1990" w:rsidRDefault="007E1990" w14:paraId="4B22BF94" w14:textId="77777777">
      <w:pPr>
        <w:pStyle w:val="TableFigureNote"/>
      </w:pPr>
      <w:r w:rsidRPr="00C34E77">
        <w:rPr>
          <w:rFonts w:eastAsiaTheme="minorEastAsia"/>
        </w:rPr>
        <w:t>† Lifetime savings are the sum of CPAS savings through the EUL.</w:t>
      </w:r>
    </w:p>
    <w:p w:rsidR="007E1990" w:rsidP="007E1990" w:rsidRDefault="007E1990" w14:paraId="0F1C7AA5" w14:textId="77777777">
      <w:pPr>
        <w:pStyle w:val="TableFigureNote"/>
        <w:keepNext w:val="0"/>
        <w:rPr>
          <w:rFonts w:eastAsiaTheme="minorEastAsia"/>
        </w:rPr>
      </w:pPr>
      <w:r w:rsidRPr="00C34E77">
        <w:rPr>
          <w:rFonts w:eastAsiaTheme="minorEastAsia"/>
        </w:rPr>
        <w:t xml:space="preserve">‡ Historical savings go back to CY2018. </w:t>
      </w:r>
    </w:p>
    <w:p w:rsidRPr="00C34E77" w:rsidR="007E1990" w:rsidP="007E1990" w:rsidRDefault="007E1990" w14:paraId="5299B24E" w14:textId="77777777">
      <w:pPr>
        <w:pStyle w:val="TableFigureNote"/>
      </w:pPr>
      <w:r w:rsidRPr="00C34E77">
        <w:rPr>
          <w:rFonts w:eastAsiaTheme="minorEastAsia"/>
        </w:rPr>
        <w:t>§ Incremental expiring savings are equal to CPAS Yn-1 - CPAS Yn.</w:t>
      </w:r>
    </w:p>
    <w:p w:rsidRPr="00C34E77" w:rsidR="007E1990" w:rsidP="007E1990" w:rsidRDefault="007E1990" w14:paraId="6D5A342C" w14:textId="77777777">
      <w:pPr>
        <w:pStyle w:val="TableFigureNote"/>
      </w:pPr>
      <w:r w:rsidRPr="00C34E77">
        <w:rPr>
          <w:rFonts w:eastAsiaTheme="minorEastAsia"/>
        </w:rPr>
        <w:t>|| Historic incremental expiring savings are equal to Historic CPAS Yn-1 – Historic CPAS Yn.</w:t>
      </w:r>
    </w:p>
    <w:p w:rsidRPr="00C34E77" w:rsidR="007E1990" w:rsidP="007E1990" w:rsidRDefault="007E1990" w14:paraId="38907405" w14:textId="77777777">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rsidR="007E1990" w:rsidP="007E1990" w:rsidRDefault="007E1990" w14:paraId="18BFBD5C" w14:textId="77777777">
      <w:pPr>
        <w:pStyle w:val="TableFigureSource"/>
      </w:pPr>
      <w:r w:rsidRPr="00B361A6">
        <w:t>Source: Evaluation team analysis</w:t>
      </w:r>
    </w:p>
    <w:p w:rsidR="007059F0" w:rsidP="007059F0" w:rsidRDefault="007059F0" w14:paraId="1F8D79CE" w14:textId="268BD259">
      <w:pPr>
        <w:pStyle w:val="Caption"/>
      </w:pPr>
      <w:bookmarkStart w:name="_Ref192579964" w:id="85"/>
      <w:bookmarkStart w:name="_Toc192581531" w:id="86"/>
      <w:r>
        <w:t xml:space="preserve">Table </w:t>
      </w:r>
      <w:r>
        <w:fldChar w:fldCharType="begin"/>
      </w:r>
      <w:r>
        <w:instrText xml:space="preserve"> SEQ Table \* ARABIC </w:instrText>
      </w:r>
      <w:r>
        <w:fldChar w:fldCharType="separate"/>
      </w:r>
      <w:r w:rsidR="008B6B65">
        <w:rPr>
          <w:noProof/>
        </w:rPr>
        <w:t>9</w:t>
      </w:r>
      <w:r>
        <w:fldChar w:fldCharType="end"/>
      </w:r>
      <w:bookmarkEnd w:id="85"/>
      <w:r>
        <w:t xml:space="preserve">. Public Housing Upgrades </w:t>
      </w:r>
      <w:r w:rsidRPr="00F7087A">
        <w:t xml:space="preserve">CPAS – </w:t>
      </w:r>
      <w:r w:rsidRPr="00016EEF">
        <w:t>Other Fuel (Gas + Propane)</w:t>
      </w:r>
      <w:bookmarkEnd w:id="86"/>
    </w:p>
    <w:tbl>
      <w:tblPr>
        <w:tblW w:w="17280" w:type="dxa"/>
        <w:jc w:val="center"/>
        <w:tblLayout w:type="fixed"/>
        <w:tblLook w:val="0420" w:firstRow="1" w:lastRow="0" w:firstColumn="0" w:lastColumn="0" w:noHBand="0" w:noVBand="1"/>
      </w:tblPr>
      <w:tblGrid>
        <w:gridCol w:w="5112"/>
        <w:gridCol w:w="1044"/>
        <w:gridCol w:w="1044"/>
        <w:gridCol w:w="1008"/>
        <w:gridCol w:w="1008"/>
        <w:gridCol w:w="1008"/>
        <w:gridCol w:w="1008"/>
        <w:gridCol w:w="1008"/>
        <w:gridCol w:w="1008"/>
        <w:gridCol w:w="1008"/>
        <w:gridCol w:w="1008"/>
        <w:gridCol w:w="1008"/>
        <w:gridCol w:w="1008"/>
      </w:tblGrid>
      <w:tr w:rsidR="007E1990" w:rsidTr="007059F0" w14:paraId="5C9A0D08" w14:textId="77777777">
        <w:trPr>
          <w:tblHeader/>
          <w:jc w:val="center"/>
        </w:trPr>
        <w:tc>
          <w:tcPr>
            <w:tcW w:w="7200" w:type="dxa"/>
            <w:gridSpan w:val="3"/>
            <w:tcBorders>
              <w:top w:val="single" w:color="036479" w:sz="8" w:space="0"/>
              <w:left w:val="single" w:color="036479" w:sz="8" w:space="0"/>
              <w:bottom w:val="single" w:color="036479" w:sz="8" w:space="0"/>
              <w:right w:val="single" w:color="036479" w:sz="8" w:space="0"/>
            </w:tcBorders>
            <w:shd w:val="clear" w:color="auto" w:fill="036479"/>
            <w:tcMar>
              <w:top w:w="0" w:type="dxa"/>
              <w:left w:w="0" w:type="dxa"/>
              <w:bottom w:w="0" w:type="dxa"/>
              <w:right w:w="0" w:type="dxa"/>
            </w:tcMar>
            <w:vAlign w:val="bottom"/>
          </w:tcPr>
          <w:p w:rsidR="007E1990" w:rsidRDefault="007E1990" w14:paraId="425DEF12"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p>
        </w:tc>
        <w:tc>
          <w:tcPr>
            <w:tcW w:w="4032" w:type="dxa"/>
            <w:gridSpan w:val="4"/>
            <w:tcBorders>
              <w:top w:val="single" w:color="036479" w:sz="8" w:space="0"/>
              <w:left w:val="single" w:color="036479" w:sz="8" w:space="0"/>
              <w:bottom w:val="single" w:color="036479" w:sz="8" w:space="0"/>
              <w:right w:val="single" w:color="036479" w:sz="8" w:space="0"/>
            </w:tcBorders>
            <w:shd w:val="clear" w:color="auto" w:fill="036479"/>
            <w:tcMar>
              <w:top w:w="0" w:type="dxa"/>
              <w:left w:w="0" w:type="dxa"/>
              <w:bottom w:w="0" w:type="dxa"/>
              <w:right w:w="0" w:type="dxa"/>
            </w:tcMar>
            <w:vAlign w:val="bottom"/>
          </w:tcPr>
          <w:p w:rsidR="007E1990" w:rsidRDefault="007E1990" w14:paraId="28A95F6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CPAS Verified Net Therms Savings</w:t>
            </w:r>
          </w:p>
        </w:tc>
        <w:tc>
          <w:tcPr>
            <w:tcW w:w="6048" w:type="dxa"/>
            <w:gridSpan w:val="6"/>
            <w:tcBorders>
              <w:top w:val="single" w:color="036479" w:sz="8" w:space="0"/>
              <w:left w:val="single" w:color="036479" w:sz="8" w:space="0"/>
              <w:bottom w:val="single" w:color="036479" w:sz="8" w:space="0"/>
              <w:right w:val="single" w:color="036479" w:sz="8" w:space="0"/>
            </w:tcBorders>
            <w:shd w:val="clear" w:color="auto" w:fill="036479"/>
            <w:tcMar>
              <w:top w:w="0" w:type="dxa"/>
              <w:left w:w="0" w:type="dxa"/>
              <w:bottom w:w="0" w:type="dxa"/>
              <w:right w:w="0" w:type="dxa"/>
            </w:tcMar>
            <w:vAlign w:val="bottom"/>
          </w:tcPr>
          <w:p w:rsidR="007E1990" w:rsidRDefault="007E1990" w14:paraId="04BCDDE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p>
        </w:tc>
      </w:tr>
      <w:tr w:rsidR="007E1990" w:rsidTr="007059F0" w14:paraId="6BE4005E" w14:textId="77777777">
        <w:trPr>
          <w:tblHeader/>
          <w:jc w:val="center"/>
        </w:trPr>
        <w:tc>
          <w:tcPr>
            <w:tcW w:w="5112"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1CF2E07F"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1044"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2C9B33E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Verified Gross Savings (Therms)</w:t>
            </w:r>
          </w:p>
        </w:tc>
        <w:tc>
          <w:tcPr>
            <w:tcW w:w="1044"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59227DC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Lifetime Net Savings</w:t>
            </w:r>
            <w:r>
              <w:rPr>
                <w:rFonts w:ascii="Arial" w:hAnsi="DejaVu Sans" w:eastAsia="DejaVu Sans" w:cs="DejaVu Sans"/>
                <w:color w:val="FFFFFF"/>
                <w:sz w:val="14"/>
                <w:szCs w:val="14"/>
              </w:rPr>
              <w:t>†</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1B4128B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2018</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2DC3EF5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2019</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50C2986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2020</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545E7F0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2021</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483C7C9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2022</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5385BF5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2023</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4D0B70A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2024</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4AEDD25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2025</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20AC4B3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2026</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0CCE92D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2027</w:t>
            </w:r>
          </w:p>
        </w:tc>
      </w:tr>
      <w:tr w:rsidR="007E1990" w:rsidTr="007059F0" w14:paraId="5AC1B104" w14:textId="77777777">
        <w:trPr>
          <w:trHeight w:val="216" w:hRule="exact"/>
          <w:jc w:val="center"/>
        </w:trPr>
        <w:tc>
          <w:tcPr>
            <w:tcW w:w="5112"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4EF142E"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Other Fuel Contribution to CPAS (Therms)</w:t>
            </w:r>
          </w:p>
        </w:tc>
        <w:tc>
          <w:tcPr>
            <w:tcW w:w="1044"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2E5F04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44"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A3F4C7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964B94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82415E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B68512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BFDF4A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8A04A7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855AB3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996641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98A19D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20E77B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013982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7E1990" w:rsidTr="007059F0" w14:paraId="50AD4791"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3B0C8E8"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Other Fuel Contribution to CPAS (kWh Equivalent)</w:t>
            </w:r>
            <w:r>
              <w:rPr>
                <w:rFonts w:ascii="Arial" w:hAnsi="DejaVu Sans" w:eastAsia="DejaVu Sans" w:cs="DejaVu Sans"/>
                <w:color w:val="000000"/>
                <w:sz w:val="14"/>
                <w:szCs w:val="14"/>
              </w:rPr>
              <w:t>‡</w:t>
            </w:r>
          </w:p>
        </w:tc>
        <w:tc>
          <w:tcPr>
            <w:tcW w:w="1044"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018600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44"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229783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BF49C6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220385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91F33A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D0E2D9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3F8E1F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E01730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8A5E8F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FE84D3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DE7E56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4580B1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7E1990" w:rsidTr="007059F0" w14:paraId="6DDD4D8E"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29F6EF4"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Total Other Fuel Contribution to CPAS (kWh Equivalent)</w:t>
            </w:r>
            <w:r>
              <w:rPr>
                <w:rFonts w:ascii="Arial" w:hAnsi="DejaVu Sans" w:eastAsia="DejaVu Sans" w:cs="DejaVu Sans"/>
                <w:color w:val="000000"/>
                <w:sz w:val="14"/>
                <w:szCs w:val="14"/>
              </w:rPr>
              <w:t>§</w:t>
            </w:r>
          </w:p>
        </w:tc>
        <w:tc>
          <w:tcPr>
            <w:tcW w:w="1044"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97041F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44"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2A034F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71DC2F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BCCB37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70E28F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5453BF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1,714,544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C19E56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1,777,096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88220C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2,022,238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330E21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1,897,982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55D633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1,897,982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AB51CC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1,675,776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11E2E2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281,748</w:t>
            </w:r>
          </w:p>
        </w:tc>
      </w:tr>
      <w:tr w:rsidR="007E1990" w:rsidTr="007059F0" w14:paraId="4C950B7E"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DF5340D"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Other Fuel CPAS (kWh Equivalent)</w:t>
            </w:r>
          </w:p>
        </w:tc>
        <w:tc>
          <w:tcPr>
            <w:tcW w:w="1044"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2DAAD1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44"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A301BE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2AC76F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D5CC51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B01B14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AFB249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1,714,544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FB8BF3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1,777,096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D8C06C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2,022,238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FEC044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1,897,982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C6D4D1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1,897,982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834679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1,675,776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D77EB9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281,748</w:t>
            </w:r>
          </w:p>
        </w:tc>
      </w:tr>
      <w:tr w:rsidR="007E1990" w:rsidTr="007059F0" w14:paraId="1A0C31BE"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CE6B73E"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Other Fuel Savings (Therms)</w:t>
            </w:r>
          </w:p>
        </w:tc>
        <w:tc>
          <w:tcPr>
            <w:tcW w:w="1044"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A10908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44"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8855E1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F766F8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DA1F84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9BE41B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2EBCA5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ABF5D8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A73D4A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8B268A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F66BCC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364981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52AE7D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7E1990" w:rsidTr="007059F0" w14:paraId="02E49729"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0DD0051"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Other Fuel Savings (kWh Equivalent)||</w:t>
            </w:r>
          </w:p>
        </w:tc>
        <w:tc>
          <w:tcPr>
            <w:tcW w:w="1044"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962096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44"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10F966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E0A9D8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84B0EC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282B8F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BFFB3C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BA19CE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20D5D8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5C9D79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B6083A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0A6DE8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CB2D00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7E1990" w:rsidTr="007059F0" w14:paraId="296ADCF1"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687ACDB"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Incremental Expiring Other Fuel Savings (kWh Equivalent)#</w:t>
            </w:r>
          </w:p>
        </w:tc>
        <w:tc>
          <w:tcPr>
            <w:tcW w:w="1044"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DFF006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44"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AC09FF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AC62B2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F73A37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252A33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74D059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0DB848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078551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364F43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124,256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2FB0B2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3E6966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222,206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023D33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1,394,028</w:t>
            </w:r>
          </w:p>
        </w:tc>
      </w:tr>
      <w:tr w:rsidR="007E1990" w:rsidTr="007059F0" w14:paraId="3D839569" w14:textId="77777777">
        <w:trPr>
          <w:trHeight w:val="216" w:hRule="exact"/>
          <w:jc w:val="center"/>
        </w:trPr>
        <w:tc>
          <w:tcPr>
            <w:tcW w:w="5112"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03AADC0D"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Incremental Expiring Other Fuel Savings (kWh Equivalent)*</w:t>
            </w:r>
            <w:r>
              <w:rPr>
                <w:rFonts w:ascii="Arial" w:hAnsi="DejaVu Sans" w:eastAsia="DejaVu Sans" w:cs="DejaVu Sans"/>
                <w:color w:val="000000"/>
                <w:sz w:val="14"/>
                <w:szCs w:val="14"/>
              </w:rPr>
              <w:t>†</w:t>
            </w:r>
          </w:p>
        </w:tc>
        <w:tc>
          <w:tcPr>
            <w:tcW w:w="1044"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4CC891A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44"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4589611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425F18A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5542BD2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7C604BC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1546EDE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5D207E3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42970E0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3800DFC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124,256</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1496B87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752F131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222,206</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29FBD76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1,394,028</w:t>
            </w:r>
          </w:p>
        </w:tc>
      </w:tr>
    </w:tbl>
    <w:p w:rsidR="007E1990" w:rsidP="007E1990" w:rsidRDefault="007E1990" w14:paraId="7C07B4CF" w14:textId="77777777">
      <w:pPr>
        <w:spacing w:before="0" w:after="0"/>
      </w:pPr>
    </w:p>
    <w:tbl>
      <w:tblPr>
        <w:tblW w:w="0" w:type="auto"/>
        <w:jc w:val="center"/>
        <w:tblLayout w:type="fixed"/>
        <w:tblLook w:val="0420" w:firstRow="1" w:lastRow="0" w:firstColumn="0" w:lastColumn="0" w:noHBand="0" w:noVBand="1"/>
      </w:tblPr>
      <w:tblGrid>
        <w:gridCol w:w="5112"/>
        <w:gridCol w:w="869"/>
        <w:gridCol w:w="869"/>
        <w:gridCol w:w="869"/>
        <w:gridCol w:w="869"/>
        <w:gridCol w:w="869"/>
        <w:gridCol w:w="869"/>
        <w:gridCol w:w="869"/>
        <w:gridCol w:w="869"/>
        <w:gridCol w:w="869"/>
        <w:gridCol w:w="869"/>
        <w:gridCol w:w="869"/>
        <w:gridCol w:w="869"/>
        <w:gridCol w:w="869"/>
        <w:gridCol w:w="869"/>
      </w:tblGrid>
      <w:tr w:rsidR="007E1990" w14:paraId="05DA7A19" w14:textId="77777777">
        <w:trPr>
          <w:tblHeader/>
          <w:jc w:val="center"/>
        </w:trPr>
        <w:tc>
          <w:tcPr>
            <w:tcW w:w="5112"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4EB056F8"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5E0545F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2028</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0B5A788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2029</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28CE1AA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2030</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05E0283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2031</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0373B9C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2032</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09A9A03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2033</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4B7430E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2034</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4385D0D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2035</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7FAA5CD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2036</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45B7900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2037</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2E1DF93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2038</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4EEDCF0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2039</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142C0D8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2040</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79106AB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2041</w:t>
            </w:r>
          </w:p>
        </w:tc>
      </w:tr>
      <w:tr w:rsidR="007E1990" w14:paraId="1B96201A" w14:textId="77777777">
        <w:trPr>
          <w:trHeight w:val="216" w:hRule="exact"/>
          <w:jc w:val="center"/>
        </w:trPr>
        <w:tc>
          <w:tcPr>
            <w:tcW w:w="5112"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98ACA8E"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Other Fuel Contribution to CPAS (Therms)</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C89694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E988B6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D28DA9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3579DF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353D9E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2DB769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86077F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7E7DA2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4AA338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087EF4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9F34ED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6242BA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4AA88B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D4AD9E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7E1990" w14:paraId="527793E2"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95A4D39"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Other Fuel Contribution to CPAS (kWh Equivalent)</w:t>
            </w:r>
            <w:r>
              <w:rPr>
                <w:rFonts w:ascii="Arial" w:hAnsi="DejaVu Sans" w:eastAsia="DejaVu Sans" w:cs="DejaVu Sans"/>
                <w:color w:val="000000"/>
                <w:sz w:val="14"/>
                <w:szCs w:val="14"/>
              </w:rPr>
              <w: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851845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A4F928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9B59F2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7A7B87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85BAB0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FBC2B0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0CC0B2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ED3CB6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E2FF7A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13CA09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DEA131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7EBC08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A45230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95CA6C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7E1990" w14:paraId="2BC82BD1"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07132A5"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Total Other Fuel Contribution to CPAS (kWh Equivalent)</w:t>
            </w:r>
            <w:r>
              <w:rPr>
                <w:rFonts w:ascii="Arial" w:hAnsi="DejaVu Sans" w:eastAsia="DejaVu Sans" w:cs="DejaVu Sans"/>
                <w:color w:val="000000"/>
                <w:sz w:val="14"/>
                <w:szCs w:val="14"/>
              </w:rPr>
              <w: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1B0D33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282,827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7A38E5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288,536</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89883A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288,580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DFECA8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277,842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2AB52A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277,842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18F062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266,078</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6EB90B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265,770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61C5E3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265,770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95786F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254,944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DE0F4D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239,046</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A1CB5E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239,046</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A7BB0A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239,046</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6346D3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239,046</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44F284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222,552</w:t>
            </w:r>
          </w:p>
        </w:tc>
      </w:tr>
      <w:tr w:rsidR="007E1990" w14:paraId="6279A5DF"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945C179"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Other Fuel CPAS (kWh Equivalent)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41C22E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282,827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6742A5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288,536</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188784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288,580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B7B62F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277,842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790341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277,842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22A023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266,078</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0A4890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265,770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3295AC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265,770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48BAB6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254,944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D3C6FE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239,046</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29ED68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239,046</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299B7F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239,046</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E324E6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239,046</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AF7761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222,552</w:t>
            </w:r>
          </w:p>
        </w:tc>
      </w:tr>
      <w:tr w:rsidR="007E1990" w14:paraId="239F8CF5"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FDD3639"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Other Fuel Savings (Therms)</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4761D3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24BD89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2C009B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C429A6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22A869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47919A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4DAFA1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FB9CC2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5DAC98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572A24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9C7596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FBD8A5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5707E0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A6A82A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p w:rsidRPr="004D3EF5" w:rsidR="004D3EF5" w:rsidP="004D3EF5" w:rsidRDefault="004D3EF5" w14:paraId="0EDDB1F6" w14:textId="77777777">
            <w:pPr>
              <w:rPr>
                <w:rFonts w:ascii="Arial" w:hAnsi="DejaVu Sans" w:eastAsia="DejaVu Sans" w:cs="DejaVu Sans"/>
                <w:sz w:val="14"/>
                <w:szCs w:val="14"/>
              </w:rPr>
            </w:pPr>
          </w:p>
          <w:p w:rsidRPr="004D3EF5" w:rsidR="004D3EF5" w:rsidP="004D3EF5" w:rsidRDefault="004D3EF5" w14:paraId="37A081C7" w14:textId="77777777">
            <w:pPr>
              <w:rPr>
                <w:rFonts w:ascii="Arial" w:hAnsi="DejaVu Sans" w:eastAsia="DejaVu Sans" w:cs="DejaVu Sans"/>
                <w:sz w:val="14"/>
                <w:szCs w:val="14"/>
              </w:rPr>
            </w:pPr>
          </w:p>
        </w:tc>
      </w:tr>
      <w:tr w:rsidR="007E1990" w14:paraId="4042DF2F"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AEF486E"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Other Fuel Savings (kWh Equivalent)||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8BA6AF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2A7739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D0AD94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43E35D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1A5143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504320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D011AE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E71E54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27510E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0167EC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A09903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BEED0F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3D29F8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23E6F5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7E1990" w14:paraId="15ABCA9F"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078E1D8"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Incremental Expiring Other Fuel Savings (kWh Equivalent)#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87CF82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-1,079</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D48E47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-5,709</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07132B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1B4A5D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10,738</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A4B553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711019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11,764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276B2D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308</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EB758F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ADCCF6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10,826</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40E5E5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15,898</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6451B7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43BC6D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4476CC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325369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16,494</w:t>
            </w:r>
          </w:p>
        </w:tc>
      </w:tr>
      <w:tr w:rsidR="007E1990" w14:paraId="5C8056A4" w14:textId="77777777">
        <w:trPr>
          <w:trHeight w:val="216" w:hRule="exact"/>
          <w:jc w:val="center"/>
        </w:trPr>
        <w:tc>
          <w:tcPr>
            <w:tcW w:w="5112"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7A88FD17"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Incremental Expiring Other Fuel Savings (kWh Equivalent)*</w:t>
            </w:r>
            <w:r>
              <w:rPr>
                <w:rFonts w:ascii="Arial" w:hAnsi="DejaVu Sans" w:eastAsia="DejaVu Sans" w:cs="DejaVu Sans"/>
                <w:color w:val="000000"/>
                <w:sz w:val="14"/>
                <w:szCs w:val="14"/>
              </w:rPr>
              <w:t>†</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7462588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-1,079</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7BEC53D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-5,709</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345A577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-44</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08DA7F1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10,738</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414B8AA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0A12D99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11,764</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10328D8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308</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7E6BA6A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02E4C96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10,826</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1E10518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15,898</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7313CC2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598CFD6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10E1C8C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40DF95B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16,494</w:t>
            </w:r>
          </w:p>
        </w:tc>
      </w:tr>
    </w:tbl>
    <w:p w:rsidRPr="00944D07" w:rsidR="007E1990" w:rsidP="007E1990" w:rsidRDefault="007E1990" w14:paraId="4288A965" w14:textId="77777777">
      <w:pPr>
        <w:spacing w:before="0" w:after="0"/>
      </w:pPr>
    </w:p>
    <w:tbl>
      <w:tblPr>
        <w:tblW w:w="0" w:type="auto"/>
        <w:jc w:val="center"/>
        <w:tblLayout w:type="fixed"/>
        <w:tblLook w:val="0420" w:firstRow="1" w:lastRow="0" w:firstColumn="0" w:lastColumn="0" w:noHBand="0" w:noVBand="1"/>
      </w:tblPr>
      <w:tblGrid>
        <w:gridCol w:w="5112"/>
        <w:gridCol w:w="869"/>
        <w:gridCol w:w="869"/>
        <w:gridCol w:w="869"/>
        <w:gridCol w:w="869"/>
        <w:gridCol w:w="869"/>
        <w:gridCol w:w="869"/>
        <w:gridCol w:w="869"/>
        <w:gridCol w:w="869"/>
        <w:gridCol w:w="869"/>
        <w:gridCol w:w="869"/>
        <w:gridCol w:w="869"/>
        <w:gridCol w:w="869"/>
        <w:gridCol w:w="869"/>
        <w:gridCol w:w="869"/>
      </w:tblGrid>
      <w:tr w:rsidR="007E1990" w14:paraId="1D58F26C" w14:textId="77777777">
        <w:trPr>
          <w:tblHeader/>
          <w:jc w:val="center"/>
        </w:trPr>
        <w:tc>
          <w:tcPr>
            <w:tcW w:w="5112"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0FD75D0A"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5418F7D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2042</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5CE8B73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2043</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66C9971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2044</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5EB62C9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2045</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0DD9718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2046</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69E5054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2047</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12079E2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2048</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494BFF1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2049</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0385C79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2050</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3E45874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2051</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0C6274F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2052</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382E3C5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2053</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60CCAA5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2054</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26AEDCC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2055</w:t>
            </w:r>
          </w:p>
        </w:tc>
      </w:tr>
      <w:tr w:rsidR="007E1990" w14:paraId="72ADCD40" w14:textId="77777777">
        <w:trPr>
          <w:trHeight w:val="216" w:hRule="exact"/>
          <w:jc w:val="center"/>
        </w:trPr>
        <w:tc>
          <w:tcPr>
            <w:tcW w:w="5112"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858E62F"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Other Fuel Contribution to CPAS (Therms)</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58387D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1FE48C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339AFD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71B868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6049E1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A31C94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303520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16DC69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B6904C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6E8D8F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DD7C4E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9A8ED7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0A9CBB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CF8DFC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r>
      <w:tr w:rsidR="007E1990" w14:paraId="123AF810"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0A8091D"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Other Fuel Contribution to CPAS (kWh Equivalent)</w:t>
            </w:r>
            <w:r>
              <w:rPr>
                <w:rFonts w:ascii="Arial" w:hAnsi="DejaVu Sans" w:eastAsia="DejaVu Sans" w:cs="DejaVu Sans"/>
                <w:color w:val="000000"/>
                <w:sz w:val="14"/>
                <w:szCs w:val="14"/>
              </w:rPr>
              <w: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972509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189728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0FBE3E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A62477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75B9AE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053976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1E4C07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FB91C0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B743B1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50C9ED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035F5F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12910F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F7CBB9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F35138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r>
      <w:tr w:rsidR="007E1990" w14:paraId="64B30B0F"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B4B455E"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Total Other Fuel Contribution to CPAS (kWh Equivalent)</w:t>
            </w:r>
            <w:r>
              <w:rPr>
                <w:rFonts w:ascii="Arial" w:hAnsi="DejaVu Sans" w:eastAsia="DejaVu Sans" w:cs="DejaVu Sans"/>
                <w:color w:val="000000"/>
                <w:sz w:val="14"/>
                <w:szCs w:val="14"/>
              </w:rPr>
              <w: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1B112E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222,552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12EBCD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90EB82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4BA9CC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61D99D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8A3D09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F869BA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A0F461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700BF1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2AEB96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40C8B0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03E4BC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0ED1E9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3BAEA1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r>
      <w:tr w:rsidR="007E1990" w14:paraId="2FE5DB47"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3BC19C9"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Other Fuel CPAS (kWh Equivalent)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2361DF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222,552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12886C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AC7C91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D7ABC7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89E03A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0FE8A9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01683F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AD06EE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93C1A5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1CA735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EB68E7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C84533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B79DCC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D173F5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r>
      <w:tr w:rsidR="007E1990" w14:paraId="15F00E36"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019F136"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Other Fuel Savings (Therms)</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E4763D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3CEAE1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AF9608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BF9E3E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CA8F73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9212B8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88FFAE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699BC2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2D4C3D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7690EF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47075C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963D8F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6867A7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0158DD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r>
      <w:tr w:rsidR="007E1990" w14:paraId="147886F9"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55DE690"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Other Fuel Savings (kWh Equivalent)||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E62FDF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6B532B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068400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A6CE4F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E98E02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9DCEF4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BD40A8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0A3A19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07A4C6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ED220F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E47DF9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658FE2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F1B837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D8EA5B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r>
      <w:tr w:rsidR="007E1990" w14:paraId="4A232417"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EDEAD23"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Incremental Expiring Other Fuel Savings (kWh Equivalent)#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FA4F7C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6C23BA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222,552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478201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F7497D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6F2838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0AD8DA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D1FA91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2A7A3E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44719F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6BB5AF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C9E996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B705AD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05AA49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068A8D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r>
      <w:tr w:rsidR="007E1990" w14:paraId="00769D61" w14:textId="77777777">
        <w:trPr>
          <w:trHeight w:val="216" w:hRule="exact"/>
          <w:jc w:val="center"/>
        </w:trPr>
        <w:tc>
          <w:tcPr>
            <w:tcW w:w="5112"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412C5F39"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Incremental Expiring Other Fuel Savings (kWh Equivalent)*</w:t>
            </w:r>
            <w:r>
              <w:rPr>
                <w:rFonts w:ascii="Arial" w:hAnsi="DejaVu Sans" w:eastAsia="DejaVu Sans" w:cs="DejaVu Sans"/>
                <w:color w:val="000000"/>
                <w:sz w:val="14"/>
                <w:szCs w:val="14"/>
              </w:rPr>
              <w:t>†</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5E4DDFE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6C9384B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222,552</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725784F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22942CB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2984BC4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6438C2E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709A8F4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7476A14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06170E5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3D8F0EA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3432FD9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233704D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10C1591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6482940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r>
    </w:tbl>
    <w:p w:rsidRPr="00C329CB" w:rsidR="007E1990" w:rsidP="007E1990" w:rsidRDefault="007E1990" w14:paraId="61803FDE" w14:textId="77777777">
      <w:pPr>
        <w:pStyle w:val="TableFigureNote"/>
        <w:rPr>
          <w:rFonts w:eastAsiaTheme="minorEastAsia"/>
        </w:rPr>
      </w:pPr>
      <w:r w:rsidRPr="00C329CB">
        <w:rPr>
          <w:rFonts w:eastAsiaTheme="minorEastAsia"/>
        </w:rPr>
        <w:t>† Lifetime savings are the sum of CPAS savings through the EUL.</w:t>
      </w:r>
    </w:p>
    <w:p w:rsidRPr="00C329CB" w:rsidR="007E1990" w:rsidP="007E1990" w:rsidRDefault="007E1990" w14:paraId="101F193F" w14:textId="77777777">
      <w:pPr>
        <w:pStyle w:val="TableFigureNote"/>
        <w:rPr>
          <w:rFonts w:eastAsiaTheme="minorEastAsia"/>
        </w:rPr>
      </w:pPr>
      <w:r w:rsidRPr="00C329CB">
        <w:rPr>
          <w:rFonts w:eastAsiaTheme="minorEastAsia"/>
        </w:rPr>
        <w:t xml:space="preserve">‡ </w:t>
      </w:r>
      <w:r>
        <w:rPr>
          <w:rFonts w:eastAsiaTheme="minorEastAsia"/>
        </w:rPr>
        <w:t xml:space="preserve">Fossil fuel savings (from natural gas, propane, etc.) are reported in therms. </w:t>
      </w:r>
      <w:r w:rsidRPr="00C329CB">
        <w:rPr>
          <w:rFonts w:eastAsiaTheme="minorEastAsia"/>
        </w:rPr>
        <w:t>kWh equivalent savings are calculated by multiplying therms savings by 29.31.</w:t>
      </w:r>
    </w:p>
    <w:p w:rsidR="007E1990" w:rsidP="007E1990" w:rsidRDefault="007E1990" w14:paraId="14182C8D" w14:textId="77777777">
      <w:pPr>
        <w:pStyle w:val="TableFigureNote"/>
        <w:rPr>
          <w:rFonts w:eastAsiaTheme="minorEastAsia"/>
        </w:rPr>
      </w:pPr>
      <w:r w:rsidRPr="00C329CB">
        <w:rPr>
          <w:rFonts w:eastAsiaTheme="minorEastAsia"/>
        </w:rPr>
        <w:t>§ Historical savings go back to CY2018.</w:t>
      </w:r>
    </w:p>
    <w:p w:rsidRPr="00C329CB" w:rsidR="007E1990" w:rsidP="007E1990" w:rsidRDefault="007E1990" w14:paraId="7E71EC91" w14:textId="77777777">
      <w:pPr>
        <w:pStyle w:val="TableFigureNote"/>
        <w:rPr>
          <w:rFonts w:eastAsiaTheme="minorEastAsia"/>
        </w:rPr>
      </w:pPr>
      <w:r w:rsidRPr="00C329CB">
        <w:rPr>
          <w:rFonts w:eastAsiaTheme="minorEastAsia"/>
        </w:rPr>
        <w:t>|| Incremental expiring savings are equal to CPAS Yn-1 - CPAS Yn.</w:t>
      </w:r>
    </w:p>
    <w:p w:rsidRPr="00C329CB" w:rsidR="007E1990" w:rsidP="007E1990" w:rsidRDefault="007E1990" w14:paraId="738D8496" w14:textId="77777777">
      <w:pPr>
        <w:pStyle w:val="TableFigureNote"/>
        <w:rPr>
          <w:rFonts w:eastAsiaTheme="minorEastAsia"/>
        </w:rPr>
      </w:pPr>
      <w:r w:rsidRPr="00C329CB">
        <w:rPr>
          <w:rFonts w:eastAsiaTheme="minorEastAsia"/>
        </w:rPr>
        <w:t># Historic incremental expiring savings are equal to Historic CPAS Yn-1 – Historic CPAS Yn.</w:t>
      </w:r>
    </w:p>
    <w:p w:rsidR="007E1990" w:rsidP="007E1990" w:rsidRDefault="007E1990" w14:paraId="17246FE5" w14:textId="77777777">
      <w:pPr>
        <w:pStyle w:val="TableFigureNote"/>
        <w:rPr>
          <w:rFonts w:eastAsiaTheme="minorEastAsia"/>
        </w:rPr>
      </w:pPr>
      <w:r w:rsidRPr="00C329CB">
        <w:rPr>
          <w:rFonts w:eastAsiaTheme="minorEastAsia"/>
        </w:rPr>
        <w:t xml:space="preserve">*† </w:t>
      </w:r>
      <w:r>
        <w:rPr>
          <w:rFonts w:eastAsiaTheme="minorEastAsia"/>
        </w:rPr>
        <w:t>Program</w:t>
      </w:r>
      <w:r w:rsidRPr="00C34E77">
        <w:rPr>
          <w:rFonts w:eastAsiaTheme="minorEastAsia"/>
        </w:rPr>
        <w:t xml:space="preserve"> </w:t>
      </w:r>
      <w:r w:rsidRPr="00C329CB">
        <w:rPr>
          <w:rFonts w:eastAsiaTheme="minorEastAsia"/>
        </w:rPr>
        <w:t xml:space="preserve">total incremental expiring savings are equal to current year total incremental expiring savings plus historic total incremental expiring savings. </w:t>
      </w:r>
    </w:p>
    <w:p w:rsidR="007E1990" w:rsidP="007E1990" w:rsidRDefault="007E1990" w14:paraId="6BE57257" w14:textId="77777777">
      <w:pPr>
        <w:pStyle w:val="TableFigureSource"/>
      </w:pPr>
      <w:r>
        <w:t>Source: Evaluation team analysis</w:t>
      </w:r>
    </w:p>
    <w:p w:rsidR="007059F0" w:rsidP="007059F0" w:rsidRDefault="007059F0" w14:paraId="4D863B79" w14:textId="626E63B7">
      <w:pPr>
        <w:pStyle w:val="Caption"/>
      </w:pPr>
      <w:bookmarkStart w:name="_Ref192580030" w:id="87"/>
      <w:bookmarkStart w:name="_Toc192581532" w:id="88"/>
      <w:r>
        <w:t xml:space="preserve">Table </w:t>
      </w:r>
      <w:r>
        <w:fldChar w:fldCharType="begin"/>
      </w:r>
      <w:r>
        <w:instrText xml:space="preserve"> SEQ Table \* ARABIC </w:instrText>
      </w:r>
      <w:r>
        <w:fldChar w:fldCharType="separate"/>
      </w:r>
      <w:r w:rsidR="008B6B65">
        <w:rPr>
          <w:noProof/>
        </w:rPr>
        <w:t>10</w:t>
      </w:r>
      <w:r>
        <w:fldChar w:fldCharType="end"/>
      </w:r>
      <w:bookmarkEnd w:id="87"/>
      <w:r>
        <w:t>. Public Housing Upgrades CPAS – Total</w:t>
      </w:r>
      <w:bookmarkEnd w:id="88"/>
    </w:p>
    <w:tbl>
      <w:tblPr>
        <w:tblW w:w="17280" w:type="dxa"/>
        <w:jc w:val="center"/>
        <w:tblLayout w:type="fixed"/>
        <w:tblLook w:val="0420" w:firstRow="1" w:lastRow="0" w:firstColumn="0" w:lastColumn="0" w:noHBand="0" w:noVBand="1"/>
      </w:tblPr>
      <w:tblGrid>
        <w:gridCol w:w="3168"/>
        <w:gridCol w:w="2016"/>
        <w:gridCol w:w="2016"/>
        <w:gridCol w:w="1008"/>
        <w:gridCol w:w="1008"/>
        <w:gridCol w:w="1008"/>
        <w:gridCol w:w="1008"/>
        <w:gridCol w:w="1008"/>
        <w:gridCol w:w="1008"/>
        <w:gridCol w:w="1008"/>
        <w:gridCol w:w="1008"/>
        <w:gridCol w:w="1008"/>
        <w:gridCol w:w="1008"/>
      </w:tblGrid>
      <w:tr w:rsidR="007E1990" w:rsidTr="007059F0" w14:paraId="6EF72152" w14:textId="77777777">
        <w:trPr>
          <w:tblHeader/>
          <w:jc w:val="center"/>
        </w:trPr>
        <w:tc>
          <w:tcPr>
            <w:tcW w:w="7200" w:type="dxa"/>
            <w:gridSpan w:val="3"/>
            <w:tcBorders>
              <w:top w:val="single" w:color="036479" w:sz="8" w:space="0"/>
              <w:left w:val="single" w:color="036479" w:sz="8" w:space="0"/>
              <w:bottom w:val="single" w:color="036479" w:sz="8" w:space="0"/>
              <w:right w:val="single" w:color="036479" w:sz="8" w:space="0"/>
            </w:tcBorders>
            <w:shd w:val="clear" w:color="auto" w:fill="036479"/>
            <w:tcMar>
              <w:top w:w="0" w:type="dxa"/>
              <w:left w:w="0" w:type="dxa"/>
              <w:bottom w:w="0" w:type="dxa"/>
              <w:right w:w="0" w:type="dxa"/>
            </w:tcMar>
            <w:vAlign w:val="bottom"/>
          </w:tcPr>
          <w:p w:rsidR="007E1990" w:rsidRDefault="007E1990" w14:paraId="7A3BD1DD"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p>
        </w:tc>
        <w:tc>
          <w:tcPr>
            <w:tcW w:w="4032" w:type="dxa"/>
            <w:gridSpan w:val="4"/>
            <w:tcBorders>
              <w:top w:val="single" w:color="036479" w:sz="8" w:space="0"/>
              <w:left w:val="single" w:color="036479" w:sz="8" w:space="0"/>
              <w:bottom w:val="single" w:color="036479" w:sz="8" w:space="0"/>
              <w:right w:val="single" w:color="036479" w:sz="8" w:space="0"/>
            </w:tcBorders>
            <w:shd w:val="clear" w:color="auto" w:fill="036479"/>
            <w:tcMar>
              <w:top w:w="0" w:type="dxa"/>
              <w:left w:w="0" w:type="dxa"/>
              <w:bottom w:w="0" w:type="dxa"/>
              <w:right w:w="0" w:type="dxa"/>
            </w:tcMar>
            <w:vAlign w:val="bottom"/>
          </w:tcPr>
          <w:p w:rsidR="007E1990" w:rsidRDefault="007E1990" w14:paraId="63EF019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CPAS Verified Net kWh Savings</w:t>
            </w:r>
          </w:p>
        </w:tc>
        <w:tc>
          <w:tcPr>
            <w:tcW w:w="6048" w:type="dxa"/>
            <w:gridSpan w:val="6"/>
            <w:tcBorders>
              <w:top w:val="single" w:color="036479" w:sz="8" w:space="0"/>
              <w:left w:val="single" w:color="036479" w:sz="8" w:space="0"/>
              <w:bottom w:val="single" w:color="036479" w:sz="8" w:space="0"/>
              <w:right w:val="single" w:color="036479" w:sz="8" w:space="0"/>
            </w:tcBorders>
            <w:shd w:val="clear" w:color="auto" w:fill="036479"/>
            <w:tcMar>
              <w:top w:w="0" w:type="dxa"/>
              <w:left w:w="0" w:type="dxa"/>
              <w:bottom w:w="0" w:type="dxa"/>
              <w:right w:w="0" w:type="dxa"/>
            </w:tcMar>
            <w:vAlign w:val="bottom"/>
          </w:tcPr>
          <w:p w:rsidR="007E1990" w:rsidRDefault="007E1990" w14:paraId="631D1D3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p>
        </w:tc>
      </w:tr>
      <w:tr w:rsidR="007E1990" w:rsidTr="007059F0" w14:paraId="43C49A9E" w14:textId="77777777">
        <w:trPr>
          <w:tblHeader/>
          <w:jc w:val="center"/>
        </w:trPr>
        <w:tc>
          <w:tcPr>
            <w:tcW w:w="316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19C62C2B"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2016"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62993E5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Verified Gross Savings (kWh)</w:t>
            </w:r>
          </w:p>
        </w:tc>
        <w:tc>
          <w:tcPr>
            <w:tcW w:w="2016"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2BF89B5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Lifetime Net Savings (kWh)</w:t>
            </w:r>
            <w:r>
              <w:rPr>
                <w:rFonts w:ascii="Arial" w:hAnsi="DejaVu Sans" w:eastAsia="DejaVu Sans" w:cs="DejaVu Sans"/>
                <w:color w:val="FFFFFF"/>
                <w:sz w:val="14"/>
                <w:szCs w:val="14"/>
              </w:rPr>
              <w:t>†</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7B6B4FD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2018</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5EE3982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2019</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5C517D2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2020</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3D3BA26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2021</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33D223B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2022</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1FB0ABE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2023</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57BE710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2024</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40035D1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2025</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5C17B1C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2026</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140CA28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2027</w:t>
            </w:r>
          </w:p>
        </w:tc>
      </w:tr>
      <w:tr w:rsidR="007E1990" w:rsidTr="007059F0" w14:paraId="081E53E0" w14:textId="77777777">
        <w:trPr>
          <w:trHeight w:val="216" w:hRule="exact"/>
          <w:jc w:val="center"/>
        </w:trPr>
        <w:tc>
          <w:tcPr>
            <w:tcW w:w="316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86C7D5B"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Contribution to CPAS</w:t>
            </w:r>
          </w:p>
        </w:tc>
        <w:tc>
          <w:tcPr>
            <w:tcW w:w="2016"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51203B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1,166,558</w:t>
            </w:r>
          </w:p>
        </w:tc>
        <w:tc>
          <w:tcPr>
            <w:tcW w:w="2016"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F2586C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19,906,166</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DAF7CF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05919C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53F5E5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B12B7C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820F90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3FF448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2F5FDD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1,166,558</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216E29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1,166,558</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2FE8B8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1,166,065</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A3B830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1,161,437</w:t>
            </w:r>
          </w:p>
        </w:tc>
      </w:tr>
      <w:tr w:rsidR="007E1990" w:rsidTr="007059F0" w14:paraId="369E5B34"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E8471EC"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Total Contribution to CPAS</w:t>
            </w:r>
            <w:r>
              <w:rPr>
                <w:rFonts w:ascii="Arial" w:hAnsi="DejaVu Sans" w:eastAsia="DejaVu Sans" w:cs="DejaVu Sans"/>
                <w:color w:val="000000"/>
                <w:sz w:val="14"/>
                <w:szCs w:val="14"/>
              </w:rPr>
              <w:t>‡</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A13316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D5AAE2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AD9074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2,472,099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2F9369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5,495,917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DAF114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6,679,860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0357D0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8,971,013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F0B030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8,997,983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4813E2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10,307,364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D3A20A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9,599,276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A029EB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8,251,741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190F28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7,092,877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0B6246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5,506,747</w:t>
            </w:r>
          </w:p>
        </w:tc>
      </w:tr>
      <w:tr w:rsidR="007E1990" w:rsidTr="007059F0" w14:paraId="094725C4"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41DBC0B"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CPAS</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3C3F04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1,166,558</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EE4A3A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19,906,166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4667CA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2,472,099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AC8133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5,495,917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895FFF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6,679,860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D88AE0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8,971,013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F88DE1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8,997,983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0BDF8B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10,307,364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2FC74A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10,765,834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A15010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9,418,299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2D4CD1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8,258,942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8CC1B7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6,668,184</w:t>
            </w:r>
          </w:p>
        </w:tc>
      </w:tr>
      <w:tr w:rsidR="007E1990" w:rsidTr="007059F0" w14:paraId="2873D9EB"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9807FC9"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Savings</w:t>
            </w:r>
            <w:r>
              <w:rPr>
                <w:rFonts w:ascii="Arial" w:hAnsi="DejaVu Sans" w:eastAsia="DejaVu Sans" w:cs="DejaVu Sans"/>
                <w:color w:val="000000"/>
                <w:sz w:val="14"/>
                <w:szCs w:val="14"/>
              </w:rPr>
              <w:t>§</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1B3029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B77E42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179737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B4F129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3880E0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58F1C1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E34F69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0E4079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7033F4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29FA5C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1A8212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493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A0CCF2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4,628</w:t>
            </w:r>
          </w:p>
        </w:tc>
      </w:tr>
      <w:tr w:rsidR="007E1990" w:rsidTr="007059F0" w14:paraId="513EDD2F"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F7BE289"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Incremental Expiring Savings||</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EAE9DA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BE1E6B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45C709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9582B9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68D3EC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3AE735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68AE38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946E07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F1D56A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708,087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392D57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1,347,536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314B72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1,158,863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CC373D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1,586,130</w:t>
            </w:r>
          </w:p>
        </w:tc>
      </w:tr>
      <w:tr w:rsidR="007E1990" w:rsidTr="007059F0" w14:paraId="16F87BB9" w14:textId="77777777">
        <w:trPr>
          <w:trHeight w:val="216" w:hRule="exact"/>
          <w:jc w:val="center"/>
        </w:trPr>
        <w:tc>
          <w:tcPr>
            <w:tcW w:w="316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73B8401E"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Incremental Expiring Savings#</w:t>
            </w:r>
          </w:p>
        </w:tc>
        <w:tc>
          <w:tcPr>
            <w:tcW w:w="2016"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7E80BC4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2016"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2BC2DF1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6DF5F26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0F60A92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0A468B0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4F4F313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2C1F663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4BA0388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5CA5348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708,087</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48DD4D0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1,347,536</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6CE0D68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1,159,356</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0893538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1,590,758</w:t>
            </w:r>
          </w:p>
        </w:tc>
      </w:tr>
    </w:tbl>
    <w:p w:rsidR="007E1990" w:rsidP="007E1990" w:rsidRDefault="007E1990" w14:paraId="55AF3096" w14:textId="77777777">
      <w:pPr>
        <w:spacing w:before="0" w:after="0"/>
      </w:pPr>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7E1990" w14:paraId="272FE902" w14:textId="77777777">
        <w:trPr>
          <w:tblHeader/>
          <w:jc w:val="center"/>
        </w:trPr>
        <w:tc>
          <w:tcPr>
            <w:tcW w:w="316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3CE7D62A"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250FE3C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2028</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6DA1E69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2029</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7718098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2030</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7032051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2031</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49F9173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2032</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73FD9D0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2033</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637E313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2034</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7B3402B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2035</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155A307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2036</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4001AEA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2037</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1B97093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2038</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0C48C80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2039</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5F2DF6C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2040</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0161FCE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2041</w:t>
            </w:r>
          </w:p>
        </w:tc>
      </w:tr>
      <w:tr w:rsidR="007E1990" w14:paraId="63526244" w14:textId="77777777">
        <w:trPr>
          <w:trHeight w:val="216" w:hRule="exact"/>
          <w:jc w:val="center"/>
        </w:trPr>
        <w:tc>
          <w:tcPr>
            <w:tcW w:w="316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40AC951"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Contribution to CPAS</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CDA1AB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1,161,437</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640423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1,131,594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A38058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1,054,040</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237E61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996,251</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5825A4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906,648</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4CEBE9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884,321</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A72B4C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845,938</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D8DC47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845,938</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2B67CA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534,964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DD88BF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534,964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77FAF7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534,964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87B75E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427,094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367A4B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A26F35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r>
      <w:tr w:rsidR="007E1990" w14:paraId="21C2A513"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A90A8BC"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Total Contribution to CPAS</w:t>
            </w:r>
            <w:r>
              <w:rPr>
                <w:rFonts w:ascii="Arial" w:hAnsi="DejaVu Sans" w:eastAsia="DejaVu Sans" w:cs="DejaVu Sans"/>
                <w:color w:val="000000"/>
                <w:sz w:val="14"/>
                <w:szCs w:val="14"/>
              </w:rPr>
              <w:t>‡</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AA632E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4,202,434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4FC86E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3,523,679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6CF95A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2,867,713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4ADADD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1,893,261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5F3007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1,373,646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665127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1,071,999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E82658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898,912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B7CCC8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859,335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DBEEF2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833,149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0EA313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812,978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36E063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429,035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EF0FE3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419,643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E54621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401,480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644356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348,183</w:t>
            </w:r>
          </w:p>
        </w:tc>
      </w:tr>
      <w:tr w:rsidR="007E1990" w14:paraId="2C7E24AE"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3439F82"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CPAS</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44B190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5,363,871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00B043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4,655,273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1ACBAE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3,921,752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A8BB18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2,889,512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C26279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2,280,294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EC9916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1,956,319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5DB726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1,744,850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EBFF75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1,705,273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58080F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1,368,113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DE19FE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1,347,942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3C08F5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963,999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D48442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846,737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86AE7C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786,294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849A65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732,997</w:t>
            </w:r>
          </w:p>
        </w:tc>
      </w:tr>
      <w:tr w:rsidR="007E1990" w14:paraId="2FD313F5"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E51E3F9"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Savings</w:t>
            </w:r>
            <w:r>
              <w:rPr>
                <w:rFonts w:ascii="Arial" w:hAnsi="DejaVu Sans" w:eastAsia="DejaVu Sans" w:cs="DejaVu Sans"/>
                <w:color w:val="000000"/>
                <w:sz w:val="14"/>
                <w:szCs w:val="14"/>
              </w:rPr>
              <w:t>§</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6A3D39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5F87BA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29,843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8AC99E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77,554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099CE1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57,789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783727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89,602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8CBF94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22,328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426164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38,383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4311ED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B7A27B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310,974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852046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D7EA48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E79A33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107,870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B77FB6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42,280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4F3962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7E1990" w14:paraId="6E24178F"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FB158AC"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Incremental Expiring Savings||</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1A3A0F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1,304,314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D620AF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678,754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54AFE7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655,967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911148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974,452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F4DCEE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519,615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706FC3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301,647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20769D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173,087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174CB2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39,577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8A273C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26,186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B40869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20,171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5790F6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383,944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050984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9,392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EEF3FB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18,163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B6C8B2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53,298</w:t>
            </w:r>
          </w:p>
        </w:tc>
      </w:tr>
      <w:tr w:rsidR="007E1990" w14:paraId="0DFDA1CA" w14:textId="77777777">
        <w:trPr>
          <w:trHeight w:val="216" w:hRule="exact"/>
          <w:jc w:val="center"/>
        </w:trPr>
        <w:tc>
          <w:tcPr>
            <w:tcW w:w="316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79A8BD76"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Incremental Expiring Savings#</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5979431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1,304,314</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1C0FA08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708,598</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1E8D0B7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733,521</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23FEB51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1,032,241</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7D75344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609,217</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14635F3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323,975</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434959B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211,470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7004727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39,577</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75A7172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337,160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2630966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20,171</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3107AA4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383,944</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0E1CB8C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117,262</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7EEA0A6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60,443</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739DF64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53,298</w:t>
            </w:r>
          </w:p>
        </w:tc>
      </w:tr>
    </w:tbl>
    <w:p w:rsidRPr="00944D07" w:rsidR="007E1990" w:rsidP="007E1990" w:rsidRDefault="007E1990" w14:paraId="56348B70" w14:textId="77777777">
      <w:pPr>
        <w:spacing w:before="0" w:after="0"/>
      </w:pPr>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7E1990" w14:paraId="3E839221" w14:textId="77777777">
        <w:trPr>
          <w:tblHeader/>
          <w:jc w:val="center"/>
        </w:trPr>
        <w:tc>
          <w:tcPr>
            <w:tcW w:w="316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38D62559"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0A63A31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2042</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2B75A34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2043</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5B06559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2044</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1D0DE6B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2045</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3959773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2046</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383F464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2047</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6E79098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2048</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34708A0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2049</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5C6B97F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2050</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26B2AB4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2051</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2F6107D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2052</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3876055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2053</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22B8A73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2054</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7E1990" w:rsidRDefault="007E1990" w14:paraId="20F3A81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2055</w:t>
            </w:r>
          </w:p>
        </w:tc>
      </w:tr>
      <w:tr w:rsidR="007E1990" w14:paraId="2BCC783F" w14:textId="77777777">
        <w:trPr>
          <w:trHeight w:val="216" w:hRule="exact"/>
          <w:jc w:val="center"/>
        </w:trPr>
        <w:tc>
          <w:tcPr>
            <w:tcW w:w="316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889E2CA"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Contribution to CPAS</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CCE415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FAC836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83A3BD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D15B79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531D11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32F04A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DD2FF7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2A069C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F06E27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629D92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E7C675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594401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36C0FB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3A2E8D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7E1990" w14:paraId="4BBB439E"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E2DDC6E"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Total Contribution to CPAS</w:t>
            </w:r>
            <w:r>
              <w:rPr>
                <w:rFonts w:ascii="Arial" w:hAnsi="DejaVu Sans" w:eastAsia="DejaVu Sans" w:cs="DejaVu Sans"/>
                <w:color w:val="000000"/>
                <w:sz w:val="14"/>
                <w:szCs w:val="14"/>
              </w:rPr>
              <w:t>‡</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06E561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348,183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3EA241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24,739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877A83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24,739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17C938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24,739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3357F0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6583F9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28C2ED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6EEB82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F1C01F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084515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F319D6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D70124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F79AE2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A1B7DF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r>
      <w:tr w:rsidR="007E1990" w14:paraId="489951CE"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A1DDFA9"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CPAS</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71A396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732,997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417EFB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409,553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5532EA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409,553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331458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409,553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44476B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18A8F2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BA210F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3710EF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35748F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696C03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057BB7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0BFAFC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384,814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4C64BB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652913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7E1990" w14:paraId="4E8198DC"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CE4247A"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Savings</w:t>
            </w:r>
            <w:r>
              <w:rPr>
                <w:rFonts w:ascii="Arial" w:hAnsi="DejaVu Sans" w:eastAsia="DejaVu Sans" w:cs="DejaVu Sans"/>
                <w:color w:val="000000"/>
                <w:sz w:val="14"/>
                <w:szCs w:val="14"/>
              </w:rPr>
              <w:t>§</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758319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D733C7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8E31CB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BD2360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A6FB3A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A4C43D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AD2989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C33E53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DEE4AF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09BE147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C22BD1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BBD023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D0B7A5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1C60F41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7E1990" w14:paraId="29D2361D"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CD1FCB9"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Incremental Expiring Savings||</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7ED9260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B94350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323,444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FC2413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A4C39A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94C029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24,739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40B8B8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9F3C65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80D598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432FE93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01352D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205D530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3747F0D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5DF031A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7E1990" w:rsidRDefault="007E1990" w14:paraId="62AD34D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7E1990" w14:paraId="6213A590" w14:textId="77777777">
        <w:trPr>
          <w:trHeight w:val="216" w:hRule="exact"/>
          <w:jc w:val="center"/>
        </w:trPr>
        <w:tc>
          <w:tcPr>
            <w:tcW w:w="316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0072CDFB"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Incremental Expiring Savings#</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4F54C8A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02A3CBC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323,444</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60CC527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1983ED7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753A612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24,739</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5BADC3F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3444FBB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5579221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231D0C2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2C67A7B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1F9A84E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05EA69B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0CE56CD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7E1990" w:rsidRDefault="007E1990" w14:paraId="588E31A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bl>
    <w:p w:rsidRPr="00C34E77" w:rsidR="007E1990" w:rsidP="007E1990" w:rsidRDefault="007E1990" w14:paraId="26C3739C" w14:textId="77777777">
      <w:pPr>
        <w:pStyle w:val="TableFigureNote"/>
      </w:pPr>
      <w:r w:rsidRPr="00C34E77">
        <w:rPr>
          <w:rFonts w:eastAsiaTheme="minorEastAsia"/>
        </w:rPr>
        <w:t>† Lifetime savings are the sum of CPAS savings through the EUL.</w:t>
      </w:r>
    </w:p>
    <w:p w:rsidRPr="00C34E77" w:rsidR="007E1990" w:rsidP="007E1990" w:rsidRDefault="007E1990" w14:paraId="3336E989" w14:textId="77777777">
      <w:pPr>
        <w:pStyle w:val="TableFigureNote"/>
      </w:pPr>
      <w:r w:rsidRPr="00C34E77">
        <w:rPr>
          <w:rFonts w:eastAsiaTheme="minorEastAsia"/>
        </w:rPr>
        <w:t xml:space="preserve">‡ Historical savings go back to CY2018. </w:t>
      </w:r>
    </w:p>
    <w:p w:rsidRPr="00C34E77" w:rsidR="007E1990" w:rsidP="007E1990" w:rsidRDefault="007E1990" w14:paraId="5CA9F9A5" w14:textId="77777777">
      <w:pPr>
        <w:pStyle w:val="TableFigureNote"/>
      </w:pPr>
      <w:r w:rsidRPr="00C34E77">
        <w:rPr>
          <w:rFonts w:eastAsiaTheme="minorEastAsia"/>
        </w:rPr>
        <w:t>§ Incremental expiring savings are equal to CPAS Yn-1 - CPAS Yn.</w:t>
      </w:r>
    </w:p>
    <w:p w:rsidRPr="00C34E77" w:rsidR="007E1990" w:rsidP="007E1990" w:rsidRDefault="007E1990" w14:paraId="7FDB16B7" w14:textId="77777777">
      <w:pPr>
        <w:pStyle w:val="TableFigureNote"/>
      </w:pPr>
      <w:r w:rsidRPr="00C34E77">
        <w:rPr>
          <w:rFonts w:eastAsiaTheme="minorEastAsia"/>
        </w:rPr>
        <w:t>|| Historic incremental expiring savings are equal to Historic CPAS Yn-1 – Historic CPAS Yn.</w:t>
      </w:r>
    </w:p>
    <w:p w:rsidRPr="00C34E77" w:rsidR="007E1990" w:rsidP="007E1990" w:rsidRDefault="007E1990" w14:paraId="13035A47" w14:textId="77777777">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rsidR="007E1990" w:rsidP="007E1990" w:rsidRDefault="007E1990" w14:paraId="02AB0993" w14:textId="77777777">
      <w:pPr>
        <w:pStyle w:val="TableFigureSource"/>
      </w:pPr>
      <w:r>
        <w:t>Source: Evaluation team analysis</w:t>
      </w:r>
    </w:p>
    <w:p w:rsidR="00A4165D" w:rsidP="00A4165D" w:rsidRDefault="00A4165D" w14:paraId="12F56EDE" w14:textId="77777777">
      <w:pPr>
        <w:pStyle w:val="BodyText"/>
      </w:pPr>
    </w:p>
    <w:p w:rsidR="00A4165D" w:rsidP="00A4165D" w:rsidRDefault="00A4165D" w14:paraId="495ECA38" w14:textId="77777777">
      <w:pPr>
        <w:pStyle w:val="BodyText"/>
        <w:sectPr w:rsidR="00A4165D" w:rsidSect="004D3EF5">
          <w:headerReference w:type="default" r:id="rId34"/>
          <w:footerReference w:type="default" r:id="rId35"/>
          <w:pgSz w:w="20160" w:h="16560" w:orient="landscape" w:code="1"/>
          <w:pgMar w:top="1440" w:right="1440" w:bottom="1440" w:left="1440" w:header="720" w:footer="720" w:gutter="0"/>
          <w:cols w:space="720"/>
          <w:docGrid w:linePitch="360"/>
        </w:sectPr>
      </w:pPr>
    </w:p>
    <w:p w:rsidRPr="00A42EA9" w:rsidR="006444CE" w:rsidP="006444CE" w:rsidRDefault="006444CE" w14:paraId="3BCFF665" w14:textId="0AF00A45">
      <w:pPr>
        <w:pStyle w:val="Heading10"/>
        <w:spacing w:after="240"/>
      </w:pPr>
      <w:bookmarkStart w:name="_Toc192582258" w:id="89"/>
      <w:r>
        <w:t>Multifamily Upgrades Program</w:t>
      </w:r>
      <w:r w:rsidR="001342AD">
        <w:t xml:space="preserve"> Excluding Public Housing Upgrades Program</w:t>
      </w:r>
      <w:bookmarkEnd w:id="89"/>
    </w:p>
    <w:p w:rsidRPr="006D4A66" w:rsidR="006444CE" w:rsidP="006D4A66" w:rsidRDefault="006444CE" w14:paraId="342C43AE" w14:textId="77777777">
      <w:pPr>
        <w:pStyle w:val="Heading2"/>
        <w:rPr>
          <w:i w:val="0"/>
          <w:iCs w:val="0"/>
        </w:rPr>
      </w:pPr>
      <w:bookmarkStart w:name="_Toc192582259" w:id="90"/>
      <w:r w:rsidRPr="006D4A66">
        <w:rPr>
          <w:i w:val="0"/>
          <w:iCs w:val="0"/>
        </w:rPr>
        <w:t>Introduction</w:t>
      </w:r>
      <w:bookmarkEnd w:id="90"/>
    </w:p>
    <w:p w:rsidRPr="00C609AB" w:rsidR="006444CE" w:rsidP="006444CE" w:rsidRDefault="006444CE" w14:paraId="212D37FD" w14:textId="61A761E9">
      <w:pPr>
        <w:pStyle w:val="BodyText"/>
      </w:pPr>
      <w:r w:rsidR="006444CE">
        <w:rPr/>
        <w:t>This</w:t>
      </w:r>
      <w:r w:rsidR="006444CE">
        <w:rPr/>
        <w:t xml:space="preserve"> section</w:t>
      </w:r>
      <w:r w:rsidR="006444CE">
        <w:rPr/>
        <w:t xml:space="preserve"> presents the results of the impact evaluation of the Multifamily Upgrades program</w:t>
      </w:r>
      <w:r w:rsidR="001342AD">
        <w:rPr/>
        <w:t>,</w:t>
      </w:r>
      <w:r w:rsidR="001A732D">
        <w:rPr/>
        <w:t xml:space="preserve"> excluding any savings achieved through the PH </w:t>
      </w:r>
      <w:r w:rsidR="001A732D">
        <w:rPr/>
        <w:t>component</w:t>
      </w:r>
      <w:r w:rsidR="001A732D">
        <w:rPr/>
        <w:t>,</w:t>
      </w:r>
      <w:r w:rsidR="006444CE">
        <w:rPr/>
        <w:t xml:space="preserve"> from the program year from January 1 to December 31, 2024 (</w:t>
      </w:r>
      <w:r w:rsidR="006444CE">
        <w:rPr/>
        <w:t>CY2024</w:t>
      </w:r>
      <w:r w:rsidR="006444CE">
        <w:rPr/>
        <w:t>).</w:t>
      </w:r>
      <w:r w:rsidR="0082013F">
        <w:rPr/>
        <w:t xml:space="preserve"> This includes</w:t>
      </w:r>
      <w:r w:rsidR="00C6143C">
        <w:rPr/>
        <w:t xml:space="preserve"> Market Rate Multifamily, Income Eligible Multifamily (</w:t>
      </w:r>
      <w:r w:rsidR="001352C5">
        <w:rPr/>
        <w:t>including IEMF and the Illinois Home Weatherization Program)</w:t>
      </w:r>
      <w:r w:rsidR="00FE0D07">
        <w:rPr/>
        <w:t xml:space="preserve">, and </w:t>
      </w:r>
      <w:r w:rsidR="00FE0D07">
        <w:rPr/>
        <w:t>Strategic Energy Management (also known as Operational Excellence,</w:t>
      </w:r>
      <w:r w:rsidR="007F6AE4">
        <w:rPr/>
        <w:t xml:space="preserve"> or</w:t>
      </w:r>
      <w:r w:rsidR="00FE0D07">
        <w:rPr/>
        <w:t xml:space="preserve"> OE)</w:t>
      </w:r>
      <w:r w:rsidR="00FE0D07">
        <w:rPr/>
        <w:t>.</w:t>
      </w:r>
      <w:r w:rsidR="006444CE">
        <w:rPr/>
        <w:t xml:space="preserve"> </w:t>
      </w:r>
      <w:r w:rsidR="00295B2A">
        <w:rPr/>
        <w:t>The program components are designed to provide rebates and free energy-savings products for energy efficiency upgrades to privately owned income-eligible and market rate multifamily buildings.</w:t>
      </w:r>
      <w:r w:rsidR="00312E44">
        <w:rPr/>
        <w:t xml:space="preserve"> </w:t>
      </w:r>
    </w:p>
    <w:p w:rsidR="006444CE" w:rsidP="006444CE" w:rsidRDefault="006444CE" w14:paraId="5EC9AD37" w14:textId="77777777">
      <w:pPr>
        <w:pStyle w:val="BodyText"/>
        <w:rPr>
          <w:sz w:val="20"/>
        </w:rPr>
      </w:pPr>
      <w:r w:rsidRPr="00FD762A">
        <w:rPr>
          <w:szCs w:val="22"/>
        </w:rPr>
        <w:t>The program is offered jointly to customers served by ComEd, Nicor Gas, Peoples Gas, and North Shore Gas. The results for the gas utilities will be in separate report</w:t>
      </w:r>
      <w:r>
        <w:rPr>
          <w:szCs w:val="22"/>
        </w:rPr>
        <w:t>s</w:t>
      </w:r>
      <w:r w:rsidRPr="00FD762A">
        <w:rPr>
          <w:szCs w:val="22"/>
        </w:rPr>
        <w:t>.</w:t>
      </w:r>
    </w:p>
    <w:p w:rsidRPr="006D4A66" w:rsidR="006444CE" w:rsidP="006D4A66" w:rsidRDefault="006444CE" w14:paraId="7A06FBAE" w14:textId="77777777">
      <w:pPr>
        <w:pStyle w:val="Heading2"/>
        <w:rPr>
          <w:i w:val="0"/>
          <w:iCs w:val="0"/>
        </w:rPr>
      </w:pPr>
      <w:bookmarkStart w:name="_Toc192582260" w:id="93"/>
      <w:r w:rsidRPr="006D4A66">
        <w:rPr>
          <w:i w:val="0"/>
          <w:iCs w:val="0"/>
        </w:rPr>
        <w:t>Program Savings Detail</w:t>
      </w:r>
      <w:bookmarkEnd w:id="93"/>
    </w:p>
    <w:p w:rsidR="006444CE" w:rsidP="006444CE" w:rsidRDefault="00800D2C" w14:paraId="78F24735" w14:textId="27727F4F">
      <w:pPr>
        <w:pStyle w:val="BodyText"/>
      </w:pPr>
      <w:r>
        <w:fldChar w:fldCharType="begin"/>
      </w:r>
      <w:r>
        <w:instrText xml:space="preserve"> REF _Ref192580291 \h </w:instrText>
      </w:r>
      <w:r>
        <w:fldChar w:fldCharType="separate"/>
      </w:r>
      <w:r>
        <w:t xml:space="preserve">Table </w:t>
      </w:r>
      <w:r>
        <w:rPr>
          <w:noProof/>
        </w:rPr>
        <w:t>11</w:t>
      </w:r>
      <w:r>
        <w:fldChar w:fldCharType="end"/>
      </w:r>
      <w:r>
        <w:t xml:space="preserve"> </w:t>
      </w:r>
      <w:r w:rsidRPr="008E2DD7" w:rsidR="006444CE">
        <w:t xml:space="preserve">summarizes the incremental energy and demand savings the </w:t>
      </w:r>
      <w:r w:rsidR="006444CE">
        <w:t xml:space="preserve">Multifamily Upgrades </w:t>
      </w:r>
      <w:r w:rsidRPr="008E2DD7" w:rsidR="006444CE">
        <w:t>Program achieved in CY202</w:t>
      </w:r>
      <w:r w:rsidR="006444CE">
        <w:t>4</w:t>
      </w:r>
      <w:r w:rsidRPr="008E2DD7" w:rsidR="006444CE">
        <w:t>. The gas or other fuel savings are only those that ComEd may be able to claim, which excludes savings the gas utilities claim, either via joint or non-joint programs.</w:t>
      </w:r>
      <w:r w:rsidRPr="008E2DD7" w:rsidR="006444CE">
        <w:rPr>
          <w:rStyle w:val="FootnoteReference"/>
        </w:rPr>
        <w:footnoteReference w:id="6"/>
      </w:r>
      <w:r w:rsidRPr="008E2DD7" w:rsidR="006444CE">
        <w:t xml:space="preserve"> </w:t>
      </w:r>
      <w:r w:rsidR="00CF4BF1">
        <w:fldChar w:fldCharType="begin"/>
      </w:r>
      <w:r w:rsidR="00CF4BF1">
        <w:instrText xml:space="preserve"> REF _Ref192580346 \h </w:instrText>
      </w:r>
      <w:r w:rsidR="00CF4BF1">
        <w:fldChar w:fldCharType="separate"/>
      </w:r>
      <w:r w:rsidR="00CF4BF1">
        <w:t xml:space="preserve">Table </w:t>
      </w:r>
      <w:r w:rsidR="00CF4BF1">
        <w:rPr>
          <w:noProof/>
        </w:rPr>
        <w:t>12</w:t>
      </w:r>
      <w:r w:rsidR="00CF4BF1">
        <w:fldChar w:fldCharType="end"/>
      </w:r>
      <w:r w:rsidR="005B376D">
        <w:t xml:space="preserve"> </w:t>
      </w:r>
      <w:r w:rsidRPr="008E2DD7" w:rsidR="006444CE">
        <w:t xml:space="preserve">summarizes the savings achieved from income eligible participants and </w:t>
      </w:r>
      <w:r w:rsidR="00201F7E">
        <w:fldChar w:fldCharType="begin"/>
      </w:r>
      <w:r w:rsidR="00201F7E">
        <w:instrText xml:space="preserve"> REF _Ref192580436 \h </w:instrText>
      </w:r>
      <w:r w:rsidR="00201F7E">
        <w:fldChar w:fldCharType="separate"/>
      </w:r>
      <w:r w:rsidR="00201F7E">
        <w:t xml:space="preserve">Table </w:t>
      </w:r>
      <w:r w:rsidR="00201F7E">
        <w:rPr>
          <w:noProof/>
        </w:rPr>
        <w:t>13</w:t>
      </w:r>
      <w:r w:rsidR="00201F7E">
        <w:fldChar w:fldCharType="end"/>
      </w:r>
      <w:r w:rsidR="00201F7E">
        <w:t xml:space="preserve"> </w:t>
      </w:r>
      <w:r w:rsidRPr="008E2DD7" w:rsidR="006444CE">
        <w:t>summarizes savings from non-income eligible participants</w:t>
      </w:r>
      <w:r w:rsidR="006444CE">
        <w:t>.</w:t>
      </w:r>
      <w:r w:rsidRPr="008E2DD7" w:rsidR="006444CE">
        <w:t xml:space="preserve"> </w:t>
      </w:r>
      <w:r w:rsidR="006444CE">
        <w:t>T</w:t>
      </w:r>
      <w:r w:rsidRPr="008E2DD7" w:rsidR="006444CE">
        <w:t xml:space="preserve">ogether they make up the total shown in </w:t>
      </w:r>
      <w:r w:rsidR="00201F7E">
        <w:fldChar w:fldCharType="begin"/>
      </w:r>
      <w:r w:rsidR="00201F7E">
        <w:instrText xml:space="preserve"> REF _Ref192580291 \h </w:instrText>
      </w:r>
      <w:r w:rsidR="00201F7E">
        <w:fldChar w:fldCharType="separate"/>
      </w:r>
      <w:r w:rsidR="00201F7E">
        <w:t xml:space="preserve">Table </w:t>
      </w:r>
      <w:r w:rsidR="00201F7E">
        <w:rPr>
          <w:noProof/>
        </w:rPr>
        <w:t>11</w:t>
      </w:r>
      <w:r w:rsidR="00201F7E">
        <w:fldChar w:fldCharType="end"/>
      </w:r>
      <w:r w:rsidR="003129C4">
        <w:t>.</w:t>
      </w:r>
    </w:p>
    <w:p w:rsidR="0042378B" w:rsidP="0042378B" w:rsidRDefault="0042378B" w14:paraId="410C2E0C" w14:textId="6D582856">
      <w:pPr>
        <w:pStyle w:val="Caption"/>
      </w:pPr>
      <w:bookmarkStart w:name="_Ref192580291" w:id="94"/>
      <w:bookmarkStart w:name="_Toc192581533" w:id="95"/>
      <w:r>
        <w:t xml:space="preserve">Table </w:t>
      </w:r>
      <w:r>
        <w:fldChar w:fldCharType="begin"/>
      </w:r>
      <w:r>
        <w:instrText xml:space="preserve"> SEQ Table \* ARABIC </w:instrText>
      </w:r>
      <w:r>
        <w:fldChar w:fldCharType="separate"/>
      </w:r>
      <w:r w:rsidR="008B6B65">
        <w:rPr>
          <w:noProof/>
        </w:rPr>
        <w:t>11</w:t>
      </w:r>
      <w:r>
        <w:fldChar w:fldCharType="end"/>
      </w:r>
      <w:bookmarkEnd w:id="94"/>
      <w:r>
        <w:t xml:space="preserve">. </w:t>
      </w:r>
      <w:r w:rsidR="001841D3">
        <w:t>Multifamily Upgrades Excluding Public Housing</w:t>
      </w:r>
      <w:r w:rsidR="00800D2C">
        <w:t xml:space="preserve"> </w:t>
      </w:r>
      <w:r w:rsidRPr="00F7087A">
        <w:t>Total Annual Incremen</w:t>
      </w:r>
      <w:r>
        <w:t>t</w:t>
      </w:r>
      <w:r w:rsidRPr="00F7087A">
        <w:t>al Electric Savings</w:t>
      </w:r>
      <w:r>
        <w:t xml:space="preserve"> - Total</w:t>
      </w:r>
      <w:bookmarkEnd w:id="95"/>
    </w:p>
    <w:tbl>
      <w:tblPr>
        <w:tblW w:w="5000" w:type="pct"/>
        <w:jc w:val="center"/>
        <w:tblLook w:val="0420" w:firstRow="1" w:lastRow="0" w:firstColumn="0" w:lastColumn="0" w:noHBand="0" w:noVBand="1"/>
      </w:tblPr>
      <w:tblGrid>
        <w:gridCol w:w="2064"/>
        <w:gridCol w:w="325"/>
        <w:gridCol w:w="945"/>
        <w:gridCol w:w="1097"/>
        <w:gridCol w:w="941"/>
        <w:gridCol w:w="1035"/>
        <w:gridCol w:w="1024"/>
        <w:gridCol w:w="1024"/>
        <w:gridCol w:w="905"/>
      </w:tblGrid>
      <w:tr w:rsidR="00534856" w:rsidTr="007A0065" w14:paraId="5B02B3F7" w14:textId="77777777">
        <w:trPr>
          <w:tblHeader/>
          <w:jc w:val="center"/>
        </w:trPr>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534856" w:rsidRDefault="00534856" w14:paraId="28AE94CB"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534856" w:rsidRDefault="00534856" w14:paraId="4C8F0098"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Units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534856" w:rsidRDefault="00534856" w14:paraId="2516A0A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Ex Ante Gross Savings*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534856" w:rsidRDefault="00534856" w14:paraId="701F2EC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Program Gross Realization Rate</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534856" w:rsidRDefault="00534856" w14:paraId="7752033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Verified Gross Savings*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534856" w:rsidRDefault="00534856" w14:paraId="205187E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Program Net-to-Gross Ratio (NTG)</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534856" w:rsidRDefault="00534856" w14:paraId="72D6A02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CY2022 Net Carryover Savings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534856" w:rsidRDefault="00534856" w14:paraId="2ECBA53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CY2023 Net Carryover Savings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534856" w:rsidRDefault="00534856" w14:paraId="558E9BF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Verified Net Savings</w:t>
            </w:r>
            <w:r>
              <w:rPr>
                <w:rFonts w:ascii="Arial" w:hAnsi="DejaVu Sans" w:eastAsia="DejaVu Sans" w:cs="DejaVu Sans"/>
                <w:color w:val="FFFFFF"/>
                <w:sz w:val="14"/>
                <w:szCs w:val="14"/>
              </w:rPr>
              <w:t>†</w:t>
            </w:r>
          </w:p>
        </w:tc>
      </w:tr>
      <w:tr w:rsidR="00534856" w:rsidTr="007A0065" w14:paraId="48FD2A8F" w14:textId="77777777">
        <w:trPr>
          <w:jc w:val="center"/>
        </w:trPr>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11BEE506"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Electric Energy Savings - Direct</w:t>
            </w:r>
            <w:r>
              <w:rPr>
                <w:rFonts w:ascii="Arial" w:hAnsi="DejaVu Sans" w:eastAsia="DejaVu Sans" w:cs="DejaVu Sans"/>
                <w:color w:val="000000"/>
                <w:sz w:val="14"/>
                <w:szCs w:val="14"/>
              </w:rPr>
              <w:t>‡</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6364C5EF"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2C0A48D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35,012,984</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2199A3AC" w14:textId="6E8AD483">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0.8</w:t>
            </w:r>
            <w:r w:rsidR="00E46E87">
              <w:rPr>
                <w:rFonts w:ascii="Arial" w:hAnsi="DejaVu Sans" w:eastAsia="DejaVu Sans" w:cs="DejaVu Sans"/>
                <w:color w:val="000000"/>
                <w:sz w:val="14"/>
                <w:szCs w:val="14"/>
              </w:rPr>
              <w:t>8</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1E28B41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30,782,530</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1E2522" w14:paraId="1A92599C" w14:textId="5F07851F">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0.98</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7B847B6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248008E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5EE3172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30,080,326</w:t>
            </w:r>
          </w:p>
        </w:tc>
      </w:tr>
      <w:tr w:rsidR="00534856" w:rsidTr="007A0065" w14:paraId="44F38923"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33568A8A"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 xml:space="preserve">Electric Energy Savings -  </w:t>
            </w:r>
            <w:r>
              <w:rPr>
                <w:rFonts w:ascii="Arial" w:hAnsi="DejaVu Sans" w:eastAsia="DejaVu Sans" w:cs="DejaVu Sans"/>
                <w:color w:val="000000"/>
                <w:sz w:val="14"/>
                <w:szCs w:val="14"/>
              </w:rPr>
              <w:br/>
            </w:r>
            <w:r>
              <w:rPr>
                <w:rFonts w:ascii="Arial" w:hAnsi="DejaVu Sans" w:eastAsia="DejaVu Sans" w:cs="DejaVu Sans"/>
                <w:color w:val="000000"/>
                <w:sz w:val="14"/>
                <w:szCs w:val="14"/>
              </w:rPr>
              <w:t>Converted from Other Fuel</w:t>
            </w:r>
            <w:r>
              <w:rPr>
                <w:rFonts w:ascii="Arial" w:hAnsi="DejaVu Sans" w:eastAsia="DejaVu Sans" w:cs="DejaVu Sans"/>
                <w:color w:val="000000"/>
                <w:sz w:val="14"/>
                <w:szCs w:val="14"/>
              </w:rPr>
              <w:t>§</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1A0D9AC4"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16F7016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17,916,108</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1CFCDE9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1.07</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2BF37C4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19,135,665</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36F47A1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5BFC1E8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722B923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0C94D67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19,135,665</w:t>
            </w:r>
          </w:p>
        </w:tc>
      </w:tr>
      <w:tr w:rsidR="00534856" w:rsidTr="007A0065" w14:paraId="55814C51"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4DE0E69F" w14:textId="3E8AE6E1">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Electric Energy Savings - Indirect from</w:t>
            </w:r>
            <w:r w:rsidDel="00F6332D">
              <w:rPr>
                <w:rFonts w:ascii="Arial" w:hAnsi="DejaVu Sans" w:eastAsia="DejaVu Sans" w:cs="DejaVu Sans"/>
                <w:color w:val="000000"/>
                <w:sz w:val="14"/>
                <w:szCs w:val="14"/>
              </w:rPr>
              <w:t xml:space="preserve"> </w:t>
            </w:r>
            <w:r>
              <w:rPr>
                <w:rFonts w:ascii="Arial" w:hAnsi="DejaVu Sans" w:eastAsia="DejaVu Sans" w:cs="DejaVu Sans"/>
                <w:color w:val="000000"/>
                <w:sz w:val="14"/>
                <w:szCs w:val="14"/>
              </w:rPr>
              <w:t>Electrification (electrification baseline)||</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47FC329C"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312E642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5BC467E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18D31D4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7616F92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6A60DDC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2129E7E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5FB2480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r>
      <w:tr w:rsidR="00534856" w:rsidTr="007A0065" w14:paraId="577D44E6"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5C59A63A" w14:textId="71C81FCD">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Electric Energy Savings - Indirect from</w:t>
            </w:r>
            <w:r w:rsidDel="00F6332D">
              <w:rPr>
                <w:rFonts w:ascii="Arial" w:hAnsi="DejaVu Sans" w:eastAsia="DejaVu Sans" w:cs="DejaVu Sans"/>
                <w:color w:val="000000"/>
                <w:sz w:val="14"/>
                <w:szCs w:val="14"/>
              </w:rPr>
              <w:t xml:space="preserve"> </w:t>
            </w:r>
            <w:r>
              <w:rPr>
                <w:rFonts w:ascii="Arial" w:hAnsi="DejaVu Sans" w:eastAsia="DejaVu Sans" w:cs="DejaVu Sans"/>
                <w:color w:val="000000"/>
                <w:sz w:val="14"/>
                <w:szCs w:val="14"/>
              </w:rPr>
              <w:t>Electrification (efficiency baseline)||</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764AE100"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31A6A65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61488D2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375C15C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62BCD38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010CBB0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606F466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27ED590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r>
      <w:tr w:rsidR="00534856" w:rsidTr="007A0065" w14:paraId="4F4E3DB4"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7BC8FFD8"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Total Electric Energy Savings#</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690C0EEE"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0EA5BE4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52,929,092</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07810F92" w14:textId="2578E20D">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0.9</w:t>
            </w:r>
            <w:r w:rsidR="00E46E87">
              <w:rPr>
                <w:rFonts w:ascii="Arial" w:hAnsi="DejaVu Sans" w:eastAsia="DejaVu Sans" w:cs="DejaVu Sans"/>
                <w:color w:val="000000"/>
                <w:sz w:val="14"/>
                <w:szCs w:val="14"/>
              </w:rPr>
              <w:t>4</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7D3F17D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49,918,194</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1E2522" w14:paraId="7882C86E" w14:textId="2984D9D3">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0.99</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4C5013A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370FCD7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7449D3C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49,215,991</w:t>
            </w:r>
          </w:p>
        </w:tc>
      </w:tr>
      <w:tr w:rsidR="00534856" w:rsidTr="007A0065" w14:paraId="02D60991"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07A1F617"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 xml:space="preserve">Total Electric Energy Savings  </w:t>
            </w:r>
            <w:r>
              <w:rPr>
                <w:rFonts w:ascii="Arial" w:hAnsi="DejaVu Sans" w:eastAsia="DejaVu Sans" w:cs="DejaVu Sans"/>
                <w:color w:val="000000"/>
                <w:sz w:val="14"/>
                <w:szCs w:val="14"/>
              </w:rPr>
              <w:br/>
            </w:r>
            <w:r>
              <w:rPr>
                <w:rFonts w:ascii="Arial" w:hAnsi="DejaVu Sans" w:eastAsia="DejaVu Sans" w:cs="DejaVu Sans"/>
                <w:color w:val="000000"/>
                <w:sz w:val="14"/>
                <w:szCs w:val="14"/>
              </w:rPr>
              <w:t>Including Carryover#</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6B6A7FB5"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6FB23B2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52,929,092</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23949034" w14:textId="68A549F8">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0.9</w:t>
            </w:r>
            <w:r w:rsidR="00E46E87">
              <w:rPr>
                <w:rFonts w:ascii="Arial" w:hAnsi="DejaVu Sans" w:eastAsia="DejaVu Sans" w:cs="DejaVu Sans"/>
                <w:color w:val="000000"/>
                <w:sz w:val="14"/>
                <w:szCs w:val="14"/>
              </w:rPr>
              <w:t>4</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156CDB8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49,918,194</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1E2522" w14:paraId="0C2FA710" w14:textId="28139286">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0.99</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1B28C77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0677D72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3E84AC6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49,215,991</w:t>
            </w:r>
          </w:p>
        </w:tc>
      </w:tr>
      <w:tr w:rsidR="00534856" w:rsidTr="007A0065" w14:paraId="1F8247EB"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6839AA9C"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Summer Peak*</w:t>
            </w:r>
            <w:r>
              <w:rPr>
                <w:rFonts w:ascii="Arial" w:hAnsi="DejaVu Sans" w:eastAsia="DejaVu Sans" w:cs="DejaVu Sans"/>
                <w:color w:val="000000"/>
                <w:sz w:val="14"/>
                <w:szCs w:val="14"/>
              </w:rPr>
              <w:t>†</w:t>
            </w:r>
            <w:r>
              <w:rPr>
                <w:rFonts w:ascii="Arial" w:hAnsi="DejaVu Sans" w:eastAsia="DejaVu Sans" w:cs="DejaVu Sans"/>
                <w:color w:val="000000"/>
                <w:sz w:val="14"/>
                <w:szCs w:val="14"/>
              </w:rPr>
              <w:t xml:space="preserve"> Demand Savings</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0752FF97"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kW</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1623F0F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5,204</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7BDFF48A" w14:textId="11E8F9F2">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0.8</w:t>
            </w:r>
            <w:r w:rsidR="002F03F8">
              <w:rPr>
                <w:rFonts w:ascii="Arial" w:hAnsi="DejaVu Sans" w:eastAsia="DejaVu Sans" w:cs="DejaVu Sans"/>
                <w:color w:val="000000"/>
                <w:sz w:val="14"/>
                <w:szCs w:val="14"/>
              </w:rPr>
              <w:t>5</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59B556E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4,446</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1E2522" w14:paraId="1CD3D707" w14:textId="31C97588">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0.9</w:t>
            </w:r>
            <w:r w:rsidR="00983C22">
              <w:rPr>
                <w:rFonts w:ascii="Arial" w:hAnsi="DejaVu Sans" w:eastAsia="DejaVu Sans" w:cs="DejaVu Sans"/>
                <w:color w:val="000000"/>
                <w:sz w:val="14"/>
                <w:szCs w:val="14"/>
              </w:rPr>
              <w:t>8</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05ECEBB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6D1C23A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534856" w:rsidRDefault="00534856" w14:paraId="6B90726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4,364</w:t>
            </w:r>
          </w:p>
        </w:tc>
      </w:tr>
      <w:tr w:rsidR="00534856" w:rsidTr="007A0065" w14:paraId="32ABEB9B" w14:textId="77777777">
        <w:trPr>
          <w:jc w:val="center"/>
        </w:trPr>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534856" w:rsidRDefault="00534856" w14:paraId="640DBC24" w14:textId="18AEBA3A">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Summer Peak*</w:t>
            </w:r>
            <w:r>
              <w:rPr>
                <w:rFonts w:ascii="Arial" w:hAnsi="DejaVu Sans" w:eastAsia="DejaVu Sans" w:cs="DejaVu Sans"/>
                <w:color w:val="000000"/>
                <w:sz w:val="14"/>
                <w:szCs w:val="14"/>
              </w:rPr>
              <w:t>†</w:t>
            </w:r>
            <w:r>
              <w:rPr>
                <w:rFonts w:ascii="Arial" w:hAnsi="DejaVu Sans" w:eastAsia="DejaVu Sans" w:cs="DejaVu Sans"/>
                <w:color w:val="000000"/>
                <w:sz w:val="14"/>
                <w:szCs w:val="14"/>
              </w:rPr>
              <w:t xml:space="preserve"> Demand Savings Including Carryover</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534856" w:rsidRDefault="00534856" w14:paraId="7DF78CA3"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kW</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534856" w:rsidRDefault="00534856" w14:paraId="1CDB481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5,204</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534856" w:rsidRDefault="00534856" w14:paraId="2368A1F3" w14:textId="022AF20E">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0.8</w:t>
            </w:r>
            <w:r w:rsidR="002F03F8">
              <w:rPr>
                <w:rFonts w:ascii="Arial" w:hAnsi="DejaVu Sans" w:eastAsia="DejaVu Sans" w:cs="DejaVu Sans"/>
                <w:color w:val="000000"/>
                <w:sz w:val="14"/>
                <w:szCs w:val="14"/>
              </w:rPr>
              <w:t>5</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534856" w:rsidRDefault="00534856" w14:paraId="00199EB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4,446</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534856" w:rsidRDefault="00BB3B35" w14:paraId="71EB08EE" w14:textId="4494B24A">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0.98</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534856" w:rsidRDefault="00534856" w14:paraId="60C2779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534856" w:rsidRDefault="00534856" w14:paraId="1F73B1E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534856" w:rsidRDefault="00534856" w14:paraId="347CCC0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4,364</w:t>
            </w:r>
          </w:p>
        </w:tc>
      </w:tr>
    </w:tbl>
    <w:p w:rsidRPr="004B16A6" w:rsidR="007A0065" w:rsidP="007A0065" w:rsidRDefault="007A0065" w14:paraId="45BB8E0A" w14:textId="77777777">
      <w:pPr>
        <w:pStyle w:val="TableFigureNote"/>
      </w:pPr>
      <w:r w:rsidRPr="004B16A6">
        <w:t xml:space="preserve">Footnotes are defined similarly as found in </w:t>
      </w:r>
      <w:r w:rsidRPr="004B16A6">
        <w:fldChar w:fldCharType="begin"/>
      </w:r>
      <w:r w:rsidRPr="004B16A6">
        <w:instrText xml:space="preserve"> REF _Ref482008337 \h </w:instrText>
      </w:r>
      <w:r>
        <w:instrText xml:space="preserve"> \* MERGEFORMAT </w:instrText>
      </w:r>
      <w:r w:rsidRPr="004B16A6">
        <w:fldChar w:fldCharType="separate"/>
      </w:r>
      <w:r>
        <w:t>Table 1</w:t>
      </w:r>
      <w:r w:rsidRPr="004B16A6">
        <w:fldChar w:fldCharType="end"/>
      </w:r>
      <w:r>
        <w:t>.</w:t>
      </w:r>
    </w:p>
    <w:p w:rsidR="007A0065" w:rsidP="007A0065" w:rsidRDefault="007A0065" w14:paraId="4744FB76" w14:textId="77777777">
      <w:pPr>
        <w:pStyle w:val="TableFigureSource"/>
      </w:pPr>
      <w:r w:rsidRPr="537FA5AC">
        <w:t>Source: Evaluation team analysis</w:t>
      </w:r>
    </w:p>
    <w:p w:rsidRPr="00A4165D" w:rsidR="00A4165D" w:rsidP="00A4165D" w:rsidRDefault="00A4165D" w14:paraId="460E91CF" w14:textId="501B2046">
      <w:pPr>
        <w:pStyle w:val="BodyText"/>
      </w:pPr>
    </w:p>
    <w:p w:rsidR="00800D2C" w:rsidP="00800D2C" w:rsidRDefault="00800D2C" w14:paraId="33153129" w14:textId="5A3BB32D">
      <w:pPr>
        <w:pStyle w:val="Caption"/>
      </w:pPr>
      <w:bookmarkStart w:name="_Ref192580346" w:id="96"/>
      <w:bookmarkStart w:name="_Toc192581534" w:id="97"/>
      <w:r>
        <w:t xml:space="preserve">Table </w:t>
      </w:r>
      <w:r>
        <w:fldChar w:fldCharType="begin"/>
      </w:r>
      <w:r>
        <w:instrText xml:space="preserve"> SEQ Table \* ARABIC </w:instrText>
      </w:r>
      <w:r>
        <w:fldChar w:fldCharType="separate"/>
      </w:r>
      <w:r w:rsidR="008B6B65">
        <w:rPr>
          <w:noProof/>
        </w:rPr>
        <w:t>12</w:t>
      </w:r>
      <w:r>
        <w:fldChar w:fldCharType="end"/>
      </w:r>
      <w:bookmarkEnd w:id="96"/>
      <w:r>
        <w:t>. Multifamily Upgrades Excluding Public Housing</w:t>
      </w:r>
      <w:r w:rsidR="002C5E17">
        <w:t xml:space="preserve"> Total Annual</w:t>
      </w:r>
      <w:r>
        <w:t xml:space="preserve"> </w:t>
      </w:r>
      <w:r w:rsidRPr="00F7087A">
        <w:t>Incremental Electric Savings</w:t>
      </w:r>
      <w:r>
        <w:t xml:space="preserve"> – Income Eligible</w:t>
      </w:r>
      <w:bookmarkEnd w:id="97"/>
    </w:p>
    <w:tbl>
      <w:tblPr>
        <w:tblW w:w="5000" w:type="pct"/>
        <w:jc w:val="center"/>
        <w:tblLook w:val="0420" w:firstRow="1" w:lastRow="0" w:firstColumn="0" w:lastColumn="0" w:noHBand="0" w:noVBand="1"/>
      </w:tblPr>
      <w:tblGrid>
        <w:gridCol w:w="2052"/>
        <w:gridCol w:w="331"/>
        <w:gridCol w:w="948"/>
        <w:gridCol w:w="1097"/>
        <w:gridCol w:w="943"/>
        <w:gridCol w:w="1033"/>
        <w:gridCol w:w="1024"/>
        <w:gridCol w:w="1024"/>
        <w:gridCol w:w="908"/>
      </w:tblGrid>
      <w:tr w:rsidR="00DB20F0" w:rsidTr="00800D2C" w14:paraId="1F6F5A64" w14:textId="77777777">
        <w:trPr>
          <w:tblHeader/>
          <w:jc w:val="center"/>
        </w:trPr>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DB20F0" w:rsidRDefault="00DB20F0" w14:paraId="7DF2BCCD"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DB20F0" w:rsidRDefault="00DB20F0" w14:paraId="6441FF0E"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FFFFFF"/>
                <w:sz w:val="14"/>
                <w:szCs w:val="14"/>
              </w:rPr>
            </w:pPr>
            <w:r>
              <w:rPr>
                <w:rFonts w:ascii="Arial" w:hAnsi="DejaVu Sans" w:eastAsia="DejaVu Sans" w:cs="DejaVu Sans"/>
                <w:color w:val="FFFFFF"/>
                <w:sz w:val="14"/>
                <w:szCs w:val="14"/>
              </w:rPr>
              <w:t>Units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DB20F0" w:rsidRDefault="00DB20F0" w14:paraId="52E29C38"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FFFFFF"/>
                <w:sz w:val="14"/>
                <w:szCs w:val="14"/>
              </w:rPr>
            </w:pPr>
            <w:r>
              <w:rPr>
                <w:rFonts w:ascii="Arial" w:hAnsi="DejaVu Sans" w:eastAsia="DejaVu Sans" w:cs="DejaVu Sans"/>
                <w:color w:val="FFFFFF"/>
                <w:sz w:val="14"/>
                <w:szCs w:val="14"/>
              </w:rPr>
              <w:t>Ex Ante Gross Savings*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DB20F0" w:rsidRDefault="00DB20F0" w14:paraId="5A8FEBE8"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FFFFFF"/>
                <w:sz w:val="14"/>
                <w:szCs w:val="14"/>
              </w:rPr>
            </w:pPr>
            <w:r>
              <w:rPr>
                <w:rFonts w:ascii="Arial" w:hAnsi="DejaVu Sans" w:eastAsia="DejaVu Sans" w:cs="DejaVu Sans"/>
                <w:color w:val="FFFFFF"/>
                <w:sz w:val="14"/>
                <w:szCs w:val="14"/>
              </w:rPr>
              <w:t>Program Gross Realization Rate</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DB20F0" w:rsidRDefault="00DB20F0" w14:paraId="5E59FBC5"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FFFFFF"/>
                <w:sz w:val="14"/>
                <w:szCs w:val="14"/>
              </w:rPr>
            </w:pPr>
            <w:r>
              <w:rPr>
                <w:rFonts w:ascii="Arial" w:hAnsi="DejaVu Sans" w:eastAsia="DejaVu Sans" w:cs="DejaVu Sans"/>
                <w:color w:val="FFFFFF"/>
                <w:sz w:val="14"/>
                <w:szCs w:val="14"/>
              </w:rPr>
              <w:t>Verified Gross Savings*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DB20F0" w:rsidRDefault="00DB20F0" w14:paraId="3D1CA243"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FFFFFF"/>
                <w:sz w:val="14"/>
                <w:szCs w:val="14"/>
              </w:rPr>
            </w:pPr>
            <w:r>
              <w:rPr>
                <w:rFonts w:ascii="Arial" w:hAnsi="DejaVu Sans" w:eastAsia="DejaVu Sans" w:cs="DejaVu Sans"/>
                <w:color w:val="FFFFFF"/>
                <w:sz w:val="14"/>
                <w:szCs w:val="14"/>
              </w:rPr>
              <w:t>Program Net-to-Gross Ratio (NTG)</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DB20F0" w:rsidRDefault="00DB20F0" w14:paraId="0E89BB2F"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FFFFFF"/>
                <w:sz w:val="14"/>
                <w:szCs w:val="14"/>
              </w:rPr>
            </w:pPr>
            <w:r>
              <w:rPr>
                <w:rFonts w:ascii="Arial" w:hAnsi="DejaVu Sans" w:eastAsia="DejaVu Sans" w:cs="DejaVu Sans"/>
                <w:color w:val="FFFFFF"/>
                <w:sz w:val="14"/>
                <w:szCs w:val="14"/>
              </w:rPr>
              <w:t>CY2022 Net Carryover Savings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DB20F0" w:rsidRDefault="00DB20F0" w14:paraId="54DEC18E"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FFFFFF"/>
                <w:sz w:val="14"/>
                <w:szCs w:val="14"/>
              </w:rPr>
            </w:pPr>
            <w:r>
              <w:rPr>
                <w:rFonts w:ascii="Arial" w:hAnsi="DejaVu Sans" w:eastAsia="DejaVu Sans" w:cs="DejaVu Sans"/>
                <w:color w:val="FFFFFF"/>
                <w:sz w:val="14"/>
                <w:szCs w:val="14"/>
              </w:rPr>
              <w:t>CY2023 Net Carryover Savings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DB20F0" w:rsidRDefault="00DB20F0" w14:paraId="00B4495E"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FFFFFF"/>
                <w:sz w:val="14"/>
                <w:szCs w:val="14"/>
              </w:rPr>
            </w:pPr>
            <w:r>
              <w:rPr>
                <w:rFonts w:ascii="Arial" w:hAnsi="DejaVu Sans" w:eastAsia="DejaVu Sans" w:cs="DejaVu Sans"/>
                <w:color w:val="FFFFFF"/>
                <w:sz w:val="14"/>
                <w:szCs w:val="14"/>
              </w:rPr>
              <w:t>Verified Net Savings</w:t>
            </w:r>
            <w:r>
              <w:rPr>
                <w:rFonts w:ascii="Arial" w:hAnsi="DejaVu Sans" w:eastAsia="DejaVu Sans" w:cs="DejaVu Sans"/>
                <w:color w:val="FFFFFF"/>
                <w:sz w:val="14"/>
                <w:szCs w:val="14"/>
              </w:rPr>
              <w:t>†</w:t>
            </w:r>
          </w:p>
        </w:tc>
      </w:tr>
      <w:tr w:rsidR="00DB20F0" w:rsidTr="00800D2C" w14:paraId="79ED88CF" w14:textId="77777777">
        <w:trPr>
          <w:jc w:val="center"/>
        </w:trPr>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0DEB6D7F"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Electric Energy Savings - Direct</w:t>
            </w:r>
            <w:r>
              <w:rPr>
                <w:rFonts w:ascii="Arial" w:hAnsi="DejaVu Sans" w:eastAsia="DejaVu Sans" w:cs="DejaVu Sans"/>
                <w:color w:val="000000"/>
                <w:sz w:val="14"/>
                <w:szCs w:val="14"/>
              </w:rPr>
              <w:t>‡</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1BD464D6"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3E2D30B5"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28,337,824</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66B27278"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0.84</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66DE5E87"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23,905,724</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7BDD4153"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721FF6A6"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4F4634EA"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5368E387"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23,905,724</w:t>
            </w:r>
          </w:p>
        </w:tc>
      </w:tr>
      <w:tr w:rsidR="00DB20F0" w:rsidTr="00800D2C" w14:paraId="482CD514"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28A65414"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 xml:space="preserve">Electric Energy Savings -  </w:t>
            </w:r>
            <w:r>
              <w:rPr>
                <w:rFonts w:ascii="Arial" w:hAnsi="DejaVu Sans" w:eastAsia="DejaVu Sans" w:cs="DejaVu Sans"/>
                <w:color w:val="000000"/>
                <w:sz w:val="14"/>
                <w:szCs w:val="14"/>
              </w:rPr>
              <w:br/>
            </w:r>
            <w:r>
              <w:rPr>
                <w:rFonts w:ascii="Arial" w:hAnsi="DejaVu Sans" w:eastAsia="DejaVu Sans" w:cs="DejaVu Sans"/>
                <w:color w:val="000000"/>
                <w:sz w:val="14"/>
                <w:szCs w:val="14"/>
              </w:rPr>
              <w:t>Converted from Other Fuel</w:t>
            </w:r>
            <w:r>
              <w:rPr>
                <w:rFonts w:ascii="Arial" w:hAnsi="DejaVu Sans" w:eastAsia="DejaVu Sans" w:cs="DejaVu Sans"/>
                <w:color w:val="000000"/>
                <w:sz w:val="14"/>
                <w:szCs w:val="14"/>
              </w:rPr>
              <w:t>§</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0FF445E1"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29298E93"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17,916,108</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3A4F5BF8"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1.07</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11880646"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19,135,665</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2A65625B"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0E7AF602"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1E3C6001"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0D3BBF76"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19,135,665</w:t>
            </w:r>
          </w:p>
        </w:tc>
      </w:tr>
      <w:tr w:rsidR="00DB20F0" w:rsidTr="00800D2C" w14:paraId="78D9142A"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7AF7377B" w14:textId="1D1C51E8">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Electric Energy Savings - Indirect from Electrification (electrification baseline)||</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79185401"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355BA0FA"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173B5EFB"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5BB77396"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27DA285F"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774B870C"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2788BC97"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43B7AF9E"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r>
      <w:tr w:rsidR="00DB20F0" w:rsidTr="00800D2C" w14:paraId="61ECB128"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3AE7924F" w14:textId="69F25B22">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Electric Energy Savings - Indirect from Electrification (efficiency baseline)||</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60E4AEB3"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400EE63D"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16A38A81"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1B053043"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31193310"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2EC8B38C"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649CC751"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6D9756E0"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r>
      <w:tr w:rsidR="00DB20F0" w:rsidTr="00800D2C" w14:paraId="7AC33CBB"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50552705"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Total Electric Energy Savings#</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6DC6BC56"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7C34210E"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46,253,932</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76E512FD"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0.93</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4D166C52"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43,041,389</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70465BBB"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5639FBE2"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0980FD1F"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347B56F1"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43,041,389</w:t>
            </w:r>
          </w:p>
        </w:tc>
      </w:tr>
      <w:tr w:rsidR="00DB20F0" w:rsidTr="00800D2C" w14:paraId="336A2F75"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2EFDC254"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 xml:space="preserve">Total Electric Energy Savings  </w:t>
            </w:r>
            <w:r>
              <w:rPr>
                <w:rFonts w:ascii="Arial" w:hAnsi="DejaVu Sans" w:eastAsia="DejaVu Sans" w:cs="DejaVu Sans"/>
                <w:color w:val="000000"/>
                <w:sz w:val="14"/>
                <w:szCs w:val="14"/>
              </w:rPr>
              <w:br/>
            </w:r>
            <w:r>
              <w:rPr>
                <w:rFonts w:ascii="Arial" w:hAnsi="DejaVu Sans" w:eastAsia="DejaVu Sans" w:cs="DejaVu Sans"/>
                <w:color w:val="000000"/>
                <w:sz w:val="14"/>
                <w:szCs w:val="14"/>
              </w:rPr>
              <w:t>Including Carryover#</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5814D5AC"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32561A6D"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46,253,932</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2C409380"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0.93</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44676F6A"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43,041,389</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4F2A0E26"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1B6D9D13"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572FB080"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5B930D18"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43,041,389</w:t>
            </w:r>
          </w:p>
        </w:tc>
      </w:tr>
      <w:tr w:rsidR="00DB20F0" w:rsidTr="00800D2C" w14:paraId="46DDF9CF"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0BAB57E6"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Summer Peak*</w:t>
            </w:r>
            <w:r>
              <w:rPr>
                <w:rFonts w:ascii="Arial" w:hAnsi="DejaVu Sans" w:eastAsia="DejaVu Sans" w:cs="DejaVu Sans"/>
                <w:color w:val="000000"/>
                <w:sz w:val="14"/>
                <w:szCs w:val="14"/>
              </w:rPr>
              <w:t>†</w:t>
            </w:r>
            <w:r>
              <w:rPr>
                <w:rFonts w:ascii="Arial" w:hAnsi="DejaVu Sans" w:eastAsia="DejaVu Sans" w:cs="DejaVu Sans"/>
                <w:color w:val="000000"/>
                <w:sz w:val="14"/>
                <w:szCs w:val="14"/>
              </w:rPr>
              <w:t xml:space="preserve"> Demand Savings</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4757D577"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kW</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0FA517F1"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4,542</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4B9426A2"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0.83</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0D9AE388"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3,772</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0A17813F"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42C60123"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41267ED8"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7CDD0A38"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3,772</w:t>
            </w:r>
          </w:p>
        </w:tc>
      </w:tr>
      <w:tr w:rsidR="00DB20F0" w:rsidTr="00800D2C" w14:paraId="42F503E2" w14:textId="77777777">
        <w:trPr>
          <w:jc w:val="center"/>
        </w:trPr>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DB20F0" w:rsidRDefault="00DB20F0" w14:paraId="4CC55097" w14:textId="1788AB5C">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Summer Peak*</w:t>
            </w:r>
            <w:r>
              <w:rPr>
                <w:rFonts w:ascii="Arial" w:hAnsi="DejaVu Sans" w:eastAsia="DejaVu Sans" w:cs="DejaVu Sans"/>
                <w:color w:val="000000"/>
                <w:sz w:val="14"/>
                <w:szCs w:val="14"/>
              </w:rPr>
              <w:t>†</w:t>
            </w:r>
            <w:r>
              <w:rPr>
                <w:rFonts w:ascii="Arial" w:hAnsi="DejaVu Sans" w:eastAsia="DejaVu Sans" w:cs="DejaVu Sans"/>
                <w:color w:val="000000"/>
                <w:sz w:val="14"/>
                <w:szCs w:val="14"/>
              </w:rPr>
              <w:t xml:space="preserve"> Demand Savings Including Carryover</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DB20F0" w:rsidRDefault="00DB20F0" w14:paraId="48B19B41" w14:textId="77777777">
            <w:pPr>
              <w:pBdr>
                <w:top w:val="none" w:color="000000" w:sz="0" w:space="0"/>
                <w:left w:val="none" w:color="000000" w:sz="0" w:space="0"/>
                <w:bottom w:val="none" w:color="000000" w:sz="0" w:space="0"/>
                <w:right w:val="none" w:color="000000" w:sz="0" w:space="0"/>
              </w:pBdr>
              <w:spacing w:before="6" w:after="6"/>
              <w:ind w:left="6" w:right="6"/>
              <w:rPr>
                <w:rFonts w:ascii="Arial" w:hAnsi="DejaVu Sans" w:eastAsia="DejaVu Sans" w:cs="DejaVu Sans"/>
                <w:color w:val="000000"/>
                <w:sz w:val="14"/>
                <w:szCs w:val="14"/>
              </w:rPr>
            </w:pPr>
            <w:r>
              <w:rPr>
                <w:rFonts w:ascii="Arial" w:hAnsi="DejaVu Sans" w:eastAsia="DejaVu Sans" w:cs="DejaVu Sans"/>
                <w:color w:val="000000"/>
                <w:sz w:val="14"/>
                <w:szCs w:val="14"/>
              </w:rPr>
              <w:t>kW</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DB20F0" w:rsidRDefault="00DB20F0" w14:paraId="609DE3C1"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4,542</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DB20F0" w:rsidRDefault="00DB20F0" w14:paraId="24374678"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0.83</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DB20F0" w:rsidRDefault="00DB20F0" w14:paraId="77973DE3"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3,772</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DB20F0" w:rsidRDefault="00DB20F0" w14:paraId="002E1492"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DB20F0" w:rsidRDefault="00DB20F0" w14:paraId="02D7D61F"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DB20F0" w:rsidRDefault="00DB20F0" w14:paraId="2D3E15C4"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DB20F0" w:rsidRDefault="00DB20F0" w14:paraId="41D5D263" w14:textId="77777777">
            <w:pPr>
              <w:pBdr>
                <w:top w:val="none" w:color="000000" w:sz="0" w:space="0"/>
                <w:left w:val="none" w:color="000000" w:sz="0" w:space="0"/>
                <w:bottom w:val="none" w:color="000000" w:sz="0" w:space="0"/>
                <w:right w:val="none" w:color="000000" w:sz="0" w:space="0"/>
              </w:pBdr>
              <w:spacing w:before="6" w:after="6"/>
              <w:ind w:left="6" w:right="6"/>
              <w:jc w:val="right"/>
              <w:rPr>
                <w:rFonts w:ascii="Arial" w:hAnsi="DejaVu Sans" w:eastAsia="DejaVu Sans" w:cs="DejaVu Sans"/>
                <w:color w:val="000000"/>
                <w:sz w:val="14"/>
                <w:szCs w:val="14"/>
              </w:rPr>
            </w:pPr>
            <w:r>
              <w:rPr>
                <w:rFonts w:ascii="Arial" w:hAnsi="DejaVu Sans" w:eastAsia="DejaVu Sans" w:cs="DejaVu Sans"/>
                <w:color w:val="000000"/>
                <w:sz w:val="14"/>
                <w:szCs w:val="14"/>
              </w:rPr>
              <w:t>3,772</w:t>
            </w:r>
          </w:p>
        </w:tc>
      </w:tr>
    </w:tbl>
    <w:p w:rsidRPr="004B16A6" w:rsidR="00DB20F0" w:rsidP="00DB20F0" w:rsidRDefault="00DB20F0" w14:paraId="4CA2C413" w14:textId="77777777">
      <w:pPr>
        <w:pStyle w:val="TableFigureNote"/>
      </w:pPr>
      <w:r w:rsidRPr="004B16A6">
        <w:t xml:space="preserve">Footnotes are defined similarly as found in </w:t>
      </w:r>
      <w:r w:rsidRPr="004B16A6">
        <w:fldChar w:fldCharType="begin"/>
      </w:r>
      <w:r w:rsidRPr="004B16A6">
        <w:instrText xml:space="preserve"> REF _Ref482008337 \h </w:instrText>
      </w:r>
      <w:r>
        <w:instrText xml:space="preserve"> \* MERGEFORMAT </w:instrText>
      </w:r>
      <w:r w:rsidRPr="004B16A6">
        <w:fldChar w:fldCharType="separate"/>
      </w:r>
      <w:r>
        <w:t>Table 1</w:t>
      </w:r>
      <w:r w:rsidRPr="004B16A6">
        <w:fldChar w:fldCharType="end"/>
      </w:r>
      <w:r>
        <w:t>.</w:t>
      </w:r>
    </w:p>
    <w:p w:rsidR="00DB20F0" w:rsidP="00DB20F0" w:rsidRDefault="00DB20F0" w14:paraId="1B48F7FA" w14:textId="77777777">
      <w:pPr>
        <w:pStyle w:val="TableFigureSource"/>
      </w:pPr>
      <w:r w:rsidRPr="537FA5AC">
        <w:rPr>
          <w:rFonts w:eastAsia="Arial" w:cs="Arial"/>
        </w:rPr>
        <w:t>Source: Evaluation team analysis</w:t>
      </w:r>
    </w:p>
    <w:p w:rsidR="00201F7E" w:rsidP="00201F7E" w:rsidRDefault="00201F7E" w14:paraId="50C2BA0F" w14:textId="07DEC839">
      <w:pPr>
        <w:pStyle w:val="Caption"/>
      </w:pPr>
      <w:bookmarkStart w:name="_Ref192580436" w:id="98"/>
      <w:bookmarkStart w:name="_Toc192581535" w:id="99"/>
      <w:r>
        <w:t xml:space="preserve">Table </w:t>
      </w:r>
      <w:r>
        <w:fldChar w:fldCharType="begin"/>
      </w:r>
      <w:r>
        <w:instrText xml:space="preserve"> SEQ Table \* ARABIC </w:instrText>
      </w:r>
      <w:r>
        <w:fldChar w:fldCharType="separate"/>
      </w:r>
      <w:r w:rsidR="008B6B65">
        <w:rPr>
          <w:noProof/>
        </w:rPr>
        <w:t>13</w:t>
      </w:r>
      <w:r>
        <w:fldChar w:fldCharType="end"/>
      </w:r>
      <w:bookmarkEnd w:id="98"/>
      <w:r>
        <w:t xml:space="preserve">. Multifamily Upgrades Excluding Public Housing </w:t>
      </w:r>
      <w:r w:rsidRPr="00F7087A">
        <w:t>Total Annual Incremental Electric Savings</w:t>
      </w:r>
      <w:r>
        <w:t xml:space="preserve"> – Non-Income Eligible</w:t>
      </w:r>
      <w:bookmarkEnd w:id="99"/>
    </w:p>
    <w:tbl>
      <w:tblPr>
        <w:tblW w:w="5000" w:type="pct"/>
        <w:jc w:val="center"/>
        <w:tblLook w:val="0420" w:firstRow="1" w:lastRow="0" w:firstColumn="0" w:lastColumn="0" w:noHBand="0" w:noVBand="1"/>
      </w:tblPr>
      <w:tblGrid>
        <w:gridCol w:w="2124"/>
        <w:gridCol w:w="322"/>
        <w:gridCol w:w="902"/>
        <w:gridCol w:w="1115"/>
        <w:gridCol w:w="897"/>
        <w:gridCol w:w="1057"/>
        <w:gridCol w:w="1042"/>
        <w:gridCol w:w="1042"/>
        <w:gridCol w:w="859"/>
      </w:tblGrid>
      <w:tr w:rsidR="00DB20F0" w:rsidTr="00201F7E" w14:paraId="657D9630" w14:textId="77777777">
        <w:trPr>
          <w:tblHeader/>
          <w:jc w:val="center"/>
        </w:trPr>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DB20F0" w:rsidRDefault="00DB20F0" w14:paraId="057120E9"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DB20F0" w:rsidRDefault="00DB20F0" w14:paraId="60083BF2"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FFFFFF"/>
                <w:sz w:val="14"/>
                <w:szCs w:val="14"/>
              </w:rPr>
            </w:pPr>
            <w:r>
              <w:rPr>
                <w:rFonts w:ascii="Arial" w:hAnsi="DejaVu Sans" w:eastAsia="DejaVu Sans" w:cs="DejaVu Sans"/>
                <w:color w:val="FFFFFF"/>
                <w:sz w:val="14"/>
                <w:szCs w:val="14"/>
              </w:rPr>
              <w:t>Units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DB20F0" w:rsidRDefault="00DB20F0" w14:paraId="36F0A0AF"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FFFFFF"/>
                <w:sz w:val="14"/>
                <w:szCs w:val="14"/>
              </w:rPr>
            </w:pPr>
            <w:r>
              <w:rPr>
                <w:rFonts w:ascii="Arial" w:hAnsi="DejaVu Sans" w:eastAsia="DejaVu Sans" w:cs="DejaVu Sans"/>
                <w:color w:val="FFFFFF"/>
                <w:sz w:val="14"/>
                <w:szCs w:val="14"/>
              </w:rPr>
              <w:t>Ex Ante Gross Savings*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DB20F0" w:rsidRDefault="00DB20F0" w14:paraId="48513762"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FFFFFF"/>
                <w:sz w:val="14"/>
                <w:szCs w:val="14"/>
              </w:rPr>
            </w:pPr>
            <w:r>
              <w:rPr>
                <w:rFonts w:ascii="Arial" w:hAnsi="DejaVu Sans" w:eastAsia="DejaVu Sans" w:cs="DejaVu Sans"/>
                <w:color w:val="FFFFFF"/>
                <w:sz w:val="14"/>
                <w:szCs w:val="14"/>
              </w:rPr>
              <w:t>Program Gross Realization Rate</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DB20F0" w:rsidRDefault="00DB20F0" w14:paraId="6EC69453"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FFFFFF"/>
                <w:sz w:val="14"/>
                <w:szCs w:val="14"/>
              </w:rPr>
            </w:pPr>
            <w:r>
              <w:rPr>
                <w:rFonts w:ascii="Arial" w:hAnsi="DejaVu Sans" w:eastAsia="DejaVu Sans" w:cs="DejaVu Sans"/>
                <w:color w:val="FFFFFF"/>
                <w:sz w:val="14"/>
                <w:szCs w:val="14"/>
              </w:rPr>
              <w:t>Verified Gross Savings*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DB20F0" w:rsidRDefault="00DB20F0" w14:paraId="5335194E"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FFFFFF"/>
                <w:sz w:val="14"/>
                <w:szCs w:val="14"/>
              </w:rPr>
            </w:pPr>
            <w:r>
              <w:rPr>
                <w:rFonts w:ascii="Arial" w:hAnsi="DejaVu Sans" w:eastAsia="DejaVu Sans" w:cs="DejaVu Sans"/>
                <w:color w:val="FFFFFF"/>
                <w:sz w:val="14"/>
                <w:szCs w:val="14"/>
              </w:rPr>
              <w:t>Program Net-to-Gross Ratio (NTG)</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DB20F0" w:rsidRDefault="00DB20F0" w14:paraId="3718A791"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FFFFFF"/>
                <w:sz w:val="14"/>
                <w:szCs w:val="14"/>
              </w:rPr>
            </w:pPr>
            <w:r>
              <w:rPr>
                <w:rFonts w:ascii="Arial" w:hAnsi="DejaVu Sans" w:eastAsia="DejaVu Sans" w:cs="DejaVu Sans"/>
                <w:color w:val="FFFFFF"/>
                <w:sz w:val="14"/>
                <w:szCs w:val="14"/>
              </w:rPr>
              <w:t>CY2022 Net Carryover Savings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DB20F0" w:rsidRDefault="00DB20F0" w14:paraId="47E14489"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FFFFFF"/>
                <w:sz w:val="14"/>
                <w:szCs w:val="14"/>
              </w:rPr>
            </w:pPr>
            <w:r>
              <w:rPr>
                <w:rFonts w:ascii="Arial" w:hAnsi="DejaVu Sans" w:eastAsia="DejaVu Sans" w:cs="DejaVu Sans"/>
                <w:color w:val="FFFFFF"/>
                <w:sz w:val="14"/>
                <w:szCs w:val="14"/>
              </w:rPr>
              <w:t>CY2023 Net Carryover Savings</w:t>
            </w:r>
          </w:p>
        </w:tc>
        <w:tc>
          <w:tcPr>
            <w:tcW w:w="0" w:type="auto"/>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center"/>
          </w:tcPr>
          <w:p w:rsidR="00DB20F0" w:rsidRDefault="00DB20F0" w14:paraId="280F13F6"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FFFFFF"/>
                <w:sz w:val="14"/>
                <w:szCs w:val="14"/>
              </w:rPr>
            </w:pPr>
            <w:r>
              <w:rPr>
                <w:rFonts w:ascii="Arial" w:hAnsi="DejaVu Sans" w:eastAsia="DejaVu Sans" w:cs="DejaVu Sans"/>
                <w:color w:val="FFFFFF"/>
                <w:sz w:val="14"/>
                <w:szCs w:val="14"/>
              </w:rPr>
              <w:t>Verified Net Savings</w:t>
            </w:r>
            <w:r>
              <w:rPr>
                <w:rFonts w:ascii="Arial" w:hAnsi="DejaVu Sans" w:eastAsia="DejaVu Sans" w:cs="DejaVu Sans"/>
                <w:color w:val="FFFFFF"/>
                <w:sz w:val="14"/>
                <w:szCs w:val="14"/>
              </w:rPr>
              <w:t>†</w:t>
            </w:r>
          </w:p>
        </w:tc>
      </w:tr>
      <w:tr w:rsidR="00DB20F0" w:rsidTr="00201F7E" w14:paraId="2A5749FF" w14:textId="77777777">
        <w:trPr>
          <w:jc w:val="center"/>
        </w:trPr>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1DF796C4"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Electric Energy Savings - Direct</w:t>
            </w:r>
            <w:r>
              <w:rPr>
                <w:rFonts w:ascii="Arial" w:hAnsi="DejaVu Sans" w:eastAsia="DejaVu Sans" w:cs="DejaVu Sans"/>
                <w:color w:val="000000"/>
                <w:sz w:val="14"/>
                <w:szCs w:val="14"/>
              </w:rPr>
              <w:t>‡</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3E5FA330"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760434F0"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6,675,160</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2272C6" w14:paraId="1A6FC67D" w14:textId="7122B72B">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1.03</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4D1E6115"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6,876,806</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217F3AE6"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w:t>
            </w: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29033BFC"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7C20EF63"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168C95B0"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6,174,602</w:t>
            </w:r>
          </w:p>
        </w:tc>
      </w:tr>
      <w:tr w:rsidR="00DB20F0" w:rsidTr="00201F7E" w14:paraId="518D0E60"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71BE72EE"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 xml:space="preserve">Electric Energy Savings -  </w:t>
            </w:r>
            <w:r>
              <w:rPr>
                <w:rFonts w:ascii="Arial" w:hAnsi="DejaVu Sans" w:eastAsia="DejaVu Sans" w:cs="DejaVu Sans"/>
                <w:color w:val="000000"/>
                <w:sz w:val="14"/>
                <w:szCs w:val="14"/>
              </w:rPr>
              <w:br/>
            </w:r>
            <w:r>
              <w:rPr>
                <w:rFonts w:ascii="Arial" w:hAnsi="DejaVu Sans" w:eastAsia="DejaVu Sans" w:cs="DejaVu Sans"/>
                <w:color w:val="000000"/>
                <w:sz w:val="14"/>
                <w:szCs w:val="14"/>
              </w:rPr>
              <w:t>Converted from Other Fuel</w:t>
            </w:r>
            <w:r>
              <w:rPr>
                <w:rFonts w:ascii="Arial" w:hAnsi="DejaVu Sans" w:eastAsia="DejaVu Sans" w:cs="DejaVu Sans"/>
                <w:color w:val="000000"/>
                <w:sz w:val="14"/>
                <w:szCs w:val="14"/>
              </w:rPr>
              <w:t>§</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324C169D"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2C0C4C25"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6ED1E960" w14:textId="5BD9E92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05F30216"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56A3C35B"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638A7131"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51255DA9"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2186F5B6"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DB20F0" w:rsidTr="00201F7E" w14:paraId="721ADEE4"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2B6D48C0" w14:textId="2E38D5D9">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Electric Energy Savings - Indirect from Electrification (electrification baseline)||</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1A8CB95B"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23AF961A"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221E2635"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79AC9305"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6C9129DD"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17FFF7A7"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51CC7897"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2C3B182A"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r>
      <w:tr w:rsidR="00DB20F0" w:rsidTr="00201F7E" w14:paraId="2CE8D8D6"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0BE5D6A7" w14:textId="19D78B89">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Electric Energy Savings - Indirect from Electrification (efficiency baseline)||</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0B688808"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443759B2"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1A78E3BF"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2AC5E750"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0547A223"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2823C36D"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7F0CF49A"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2F10A724"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r>
      <w:tr w:rsidR="00DB20F0" w:rsidTr="00201F7E" w14:paraId="77B348AE"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7BD34B87"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Total Electric Energy Savings#</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74056650"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0E32F70A"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6,675,160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E07C5D" w14:paraId="543BE45E" w14:textId="51D252CF">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w:t>
            </w:r>
            <w:r w:rsidR="00DB20F0">
              <w:rPr>
                <w:rFonts w:ascii="Arial" w:hAnsi="DejaVu Sans" w:eastAsia="DejaVu Sans" w:cs="DejaVu Sans"/>
                <w:color w:val="000000"/>
                <w:sz w:val="14"/>
                <w:szCs w:val="14"/>
              </w:rPr>
              <w:t>3</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18B4CAA9"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6,876,806</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6ACF6712"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31B207CA"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15E199BE"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0AD3BAD6"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6,174,602</w:t>
            </w:r>
          </w:p>
        </w:tc>
      </w:tr>
      <w:tr w:rsidR="00DB20F0" w:rsidTr="00201F7E" w14:paraId="4D52C59D"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33F82A1B"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 xml:space="preserve">Total Electric Energy Savings  </w:t>
            </w:r>
            <w:r>
              <w:rPr>
                <w:rFonts w:ascii="Arial" w:hAnsi="DejaVu Sans" w:eastAsia="DejaVu Sans" w:cs="DejaVu Sans"/>
                <w:color w:val="000000"/>
                <w:sz w:val="14"/>
                <w:szCs w:val="14"/>
              </w:rPr>
              <w:br/>
            </w:r>
            <w:r>
              <w:rPr>
                <w:rFonts w:ascii="Arial" w:hAnsi="DejaVu Sans" w:eastAsia="DejaVu Sans" w:cs="DejaVu Sans"/>
                <w:color w:val="000000"/>
                <w:sz w:val="14"/>
                <w:szCs w:val="14"/>
              </w:rPr>
              <w:t>Including Carryover#</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5274210E"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kWh</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4C24E85B"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6,675,160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685E0E" w14:paraId="3EF2D5D5" w14:textId="0CBFC0A5">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w:t>
            </w:r>
            <w:r w:rsidR="00DB20F0">
              <w:rPr>
                <w:rFonts w:ascii="Arial" w:hAnsi="DejaVu Sans" w:eastAsia="DejaVu Sans" w:cs="DejaVu Sans"/>
                <w:color w:val="000000"/>
                <w:sz w:val="14"/>
                <w:szCs w:val="14"/>
              </w:rPr>
              <w:t>3</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05022001"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6,876,806</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3D926EC0"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35AF91EB"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2B7DB9DE"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115036CB"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6,174,602</w:t>
            </w:r>
          </w:p>
        </w:tc>
      </w:tr>
      <w:tr w:rsidR="00DB20F0" w:rsidTr="00201F7E" w14:paraId="278E9FE7" w14:textId="77777777">
        <w:trPr>
          <w:jc w:val="center"/>
        </w:trPr>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7B73F6E4"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Summer Peak*</w:t>
            </w:r>
            <w:r>
              <w:rPr>
                <w:rFonts w:ascii="Arial" w:hAnsi="DejaVu Sans" w:eastAsia="DejaVu Sans" w:cs="DejaVu Sans"/>
                <w:color w:val="000000"/>
                <w:sz w:val="14"/>
                <w:szCs w:val="14"/>
              </w:rPr>
              <w:t>†</w:t>
            </w:r>
            <w:r>
              <w:rPr>
                <w:rFonts w:ascii="Arial" w:hAnsi="DejaVu Sans" w:eastAsia="DejaVu Sans" w:cs="DejaVu Sans"/>
                <w:color w:val="000000"/>
                <w:sz w:val="14"/>
                <w:szCs w:val="14"/>
              </w:rPr>
              <w:t xml:space="preserve"> Demand Savings</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2AD38762"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kW</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0FFD8C80"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662</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685E0E" w14:paraId="0D03D26F" w14:textId="5936F348">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1.02</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66ACAE2F"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674</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09A33451"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w:t>
            </w: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551AC8D6"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7F97A988"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DB20F0" w:rsidRDefault="00DB20F0" w14:paraId="784FC6E8"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592</w:t>
            </w:r>
          </w:p>
        </w:tc>
      </w:tr>
      <w:tr w:rsidR="00DB20F0" w:rsidTr="00201F7E" w14:paraId="19BE139D" w14:textId="77777777">
        <w:trPr>
          <w:jc w:val="center"/>
        </w:trPr>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DB20F0" w:rsidRDefault="00DB20F0" w14:paraId="259930DE" w14:textId="2C2008AB">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Summer Peak*</w:t>
            </w:r>
            <w:r>
              <w:rPr>
                <w:rFonts w:ascii="Arial" w:hAnsi="DejaVu Sans" w:eastAsia="DejaVu Sans" w:cs="DejaVu Sans"/>
                <w:color w:val="000000"/>
                <w:sz w:val="14"/>
                <w:szCs w:val="14"/>
              </w:rPr>
              <w:t>†</w:t>
            </w:r>
            <w:r>
              <w:rPr>
                <w:rFonts w:ascii="Arial" w:hAnsi="DejaVu Sans" w:eastAsia="DejaVu Sans" w:cs="DejaVu Sans"/>
                <w:color w:val="000000"/>
                <w:sz w:val="14"/>
                <w:szCs w:val="14"/>
              </w:rPr>
              <w:t xml:space="preserve"> Demand Savings Including Carryover</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DB20F0" w:rsidRDefault="00DB20F0" w14:paraId="00F48739" w14:textId="77777777">
            <w:pPr>
              <w:pBdr>
                <w:top w:val="none" w:color="000000" w:sz="0" w:space="0"/>
                <w:left w:val="none" w:color="000000" w:sz="0" w:space="0"/>
                <w:bottom w:val="none" w:color="000000" w:sz="0" w:space="0"/>
                <w:right w:val="none" w:color="000000" w:sz="0" w:space="0"/>
              </w:pBdr>
              <w:spacing w:before="0" w:after="0"/>
              <w:ind w:left="3"/>
              <w:rPr>
                <w:rFonts w:ascii="Arial" w:hAnsi="DejaVu Sans" w:eastAsia="DejaVu Sans" w:cs="DejaVu Sans"/>
                <w:color w:val="000000"/>
                <w:sz w:val="14"/>
                <w:szCs w:val="14"/>
              </w:rPr>
            </w:pPr>
            <w:r>
              <w:rPr>
                <w:rFonts w:ascii="Arial" w:hAnsi="DejaVu Sans" w:eastAsia="DejaVu Sans" w:cs="DejaVu Sans"/>
                <w:color w:val="000000"/>
                <w:sz w:val="14"/>
                <w:szCs w:val="14"/>
              </w:rPr>
              <w:t>kW</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DB20F0" w:rsidRDefault="00DB20F0" w14:paraId="3FF44FA0"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662</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DB20F0" w:rsidRDefault="00685E0E" w14:paraId="1A9F96A1" w14:textId="63F95718">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1.02</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DB20F0" w:rsidRDefault="00DB20F0" w14:paraId="776253D6"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674</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DB20F0" w:rsidRDefault="00DB20F0" w14:paraId="12371F2C"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w:t>
            </w: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DB20F0" w:rsidRDefault="00DB20F0" w14:paraId="67B39A26"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DB20F0" w:rsidRDefault="00DB20F0" w14:paraId="702D825D"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p>
        </w:tc>
        <w:tc>
          <w:tcPr>
            <w:tcW w:w="0" w:type="auto"/>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DB20F0" w:rsidRDefault="00DB20F0" w14:paraId="1CEF0C78" w14:textId="77777777">
            <w:pPr>
              <w:pBdr>
                <w:top w:val="none" w:color="000000" w:sz="0" w:space="0"/>
                <w:left w:val="none" w:color="000000" w:sz="0" w:space="0"/>
                <w:bottom w:val="none" w:color="000000" w:sz="0" w:space="0"/>
                <w:right w:val="none" w:color="000000" w:sz="0" w:space="0"/>
              </w:pBdr>
              <w:spacing w:before="0" w:after="0"/>
              <w:ind w:lef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592</w:t>
            </w:r>
          </w:p>
        </w:tc>
      </w:tr>
    </w:tbl>
    <w:p w:rsidRPr="004B16A6" w:rsidR="00DB20F0" w:rsidP="00DB20F0" w:rsidRDefault="00DB20F0" w14:paraId="2C033478" w14:textId="77777777">
      <w:pPr>
        <w:pStyle w:val="TableFigureNote"/>
      </w:pPr>
      <w:r w:rsidRPr="004B16A6">
        <w:t xml:space="preserve">Footnotes are defined similarly as found in </w:t>
      </w:r>
      <w:r w:rsidRPr="004B16A6">
        <w:fldChar w:fldCharType="begin"/>
      </w:r>
      <w:r w:rsidRPr="004B16A6">
        <w:instrText xml:space="preserve"> REF _Ref482008337 \h </w:instrText>
      </w:r>
      <w:r>
        <w:instrText xml:space="preserve"> \* MERGEFORMAT </w:instrText>
      </w:r>
      <w:r w:rsidRPr="004B16A6">
        <w:fldChar w:fldCharType="separate"/>
      </w:r>
      <w:r>
        <w:t>Table 1</w:t>
      </w:r>
      <w:r w:rsidRPr="004B16A6">
        <w:fldChar w:fldCharType="end"/>
      </w:r>
      <w:r>
        <w:t>.</w:t>
      </w:r>
    </w:p>
    <w:p w:rsidR="007E1990" w:rsidP="006F6B54" w:rsidRDefault="00DB20F0" w14:paraId="769AED38" w14:textId="166F4B6C">
      <w:pPr>
        <w:pStyle w:val="TableFigureSource"/>
      </w:pPr>
      <w:r w:rsidRPr="537FA5AC">
        <w:t>Source: Evaluation team analysis</w:t>
      </w:r>
    </w:p>
    <w:p w:rsidR="006F6B54" w:rsidP="006F6B54" w:rsidRDefault="008210D4" w14:paraId="0619B059" w14:textId="77376AC6">
      <w:pPr>
        <w:pStyle w:val="BodyText"/>
      </w:pPr>
      <w:r>
        <w:fldChar w:fldCharType="begin"/>
      </w:r>
      <w:r>
        <w:instrText xml:space="preserve"> REF _Ref192580553 \h </w:instrText>
      </w:r>
      <w:r>
        <w:fldChar w:fldCharType="separate"/>
      </w:r>
      <w:r>
        <w:t xml:space="preserve">Figure </w:t>
      </w:r>
      <w:r>
        <w:rPr>
          <w:noProof/>
        </w:rPr>
        <w:t>3</w:t>
      </w:r>
      <w:r>
        <w:fldChar w:fldCharType="end"/>
      </w:r>
      <w:r>
        <w:t xml:space="preserve"> </w:t>
      </w:r>
      <w:r w:rsidR="006F6B54">
        <w:t xml:space="preserve">shows the electric energy savings by measure end use. It includes measure efficiency savings, </w:t>
      </w:r>
      <w:r w:rsidRPr="004B16A6" w:rsidR="006F6B54">
        <w:t>carryover</w:t>
      </w:r>
      <w:r w:rsidR="006F6B54">
        <w:t xml:space="preserve"> kWh, </w:t>
      </w:r>
      <w:r w:rsidRPr="004B16A6" w:rsidR="006F6B54">
        <w:t>secondary water kWh</w:t>
      </w:r>
      <w:r w:rsidR="006F6B54">
        <w:t>, and</w:t>
      </w:r>
      <w:r w:rsidRPr="004B16A6" w:rsidR="006F6B54">
        <w:t xml:space="preserve"> electrification</w:t>
      </w:r>
      <w:r w:rsidR="006F6B54">
        <w:t xml:space="preserve"> </w:t>
      </w:r>
      <w:r w:rsidRPr="004B16A6" w:rsidR="006F6B54">
        <w:t>savings. It</w:t>
      </w:r>
      <w:r w:rsidR="006F6B54">
        <w:t xml:space="preserve"> does not </w:t>
      </w:r>
      <w:r w:rsidRPr="004B16A6" w:rsidR="006F6B54">
        <w:t xml:space="preserve">include </w:t>
      </w:r>
      <w:r w:rsidR="006F6B54">
        <w:t>other fuel</w:t>
      </w:r>
      <w:r w:rsidRPr="004B16A6" w:rsidR="006F6B54">
        <w:t xml:space="preserve"> savings converted to kWh.</w:t>
      </w:r>
    </w:p>
    <w:p w:rsidR="00F6330E" w:rsidP="006F6B54" w:rsidRDefault="00F6330E" w14:paraId="004547B2" w14:textId="77777777">
      <w:pPr>
        <w:pStyle w:val="BodyText"/>
      </w:pPr>
    </w:p>
    <w:p w:rsidR="00286CDB" w:rsidP="00286CDB" w:rsidRDefault="00286CDB" w14:paraId="5E4D7E3C" w14:textId="2553671F">
      <w:pPr>
        <w:pStyle w:val="Caption"/>
      </w:pPr>
      <w:bookmarkStart w:name="_Ref192580553" w:id="100"/>
      <w:bookmarkStart w:name="_Toc192581503" w:id="101"/>
      <w:r>
        <w:t xml:space="preserve">Figure </w:t>
      </w:r>
      <w:r>
        <w:fldChar w:fldCharType="begin"/>
      </w:r>
      <w:r>
        <w:instrText xml:space="preserve"> SEQ Figure \* ARABIC </w:instrText>
      </w:r>
      <w:r>
        <w:fldChar w:fldCharType="separate"/>
      </w:r>
      <w:r>
        <w:rPr>
          <w:noProof/>
        </w:rPr>
        <w:t>3</w:t>
      </w:r>
      <w:r>
        <w:fldChar w:fldCharType="end"/>
      </w:r>
      <w:bookmarkEnd w:id="100"/>
      <w:r>
        <w:t xml:space="preserve">. </w:t>
      </w:r>
      <w:r w:rsidRPr="0076060B" w:rsidR="0076060B">
        <w:t xml:space="preserve">Multifamily Upgrades Excluding Public Housing </w:t>
      </w:r>
      <w:r w:rsidRPr="2221D51B">
        <w:t>Verified Net Savings by Measure – Electric</w:t>
      </w:r>
      <w:bookmarkEnd w:id="101"/>
    </w:p>
    <w:p w:rsidR="001D7722" w:rsidP="00591137" w:rsidRDefault="001D7722" w14:paraId="069DD050" w14:textId="77777777">
      <w:pPr>
        <w:jc w:val="center"/>
      </w:pPr>
      <w:r>
        <w:rPr>
          <w:noProof/>
        </w:rPr>
        <w:drawing>
          <wp:inline distT="0" distB="0" distL="0" distR="0" wp14:anchorId="04833F59" wp14:editId="3A21EDDC">
            <wp:extent cx="5943600" cy="2743200"/>
            <wp:effectExtent l="0" t="0" r="0" b="0"/>
            <wp:docPr id="794461917" name="Picture 794461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36" cstate="print"/>
                    <a:stretch>
                      <a:fillRect/>
                    </a:stretch>
                  </pic:blipFill>
                  <pic:spPr bwMode="auto">
                    <a:xfrm>
                      <a:off x="0" y="0"/>
                      <a:ext cx="82550" cy="38100"/>
                    </a:xfrm>
                    <a:prstGeom prst="rect">
                      <a:avLst/>
                    </a:prstGeom>
                    <a:noFill/>
                  </pic:spPr>
                </pic:pic>
              </a:graphicData>
            </a:graphic>
          </wp:inline>
        </w:drawing>
      </w:r>
    </w:p>
    <w:p w:rsidR="001D7722" w:rsidP="001D7722" w:rsidRDefault="001D7722" w14:paraId="6F4D5358" w14:textId="77777777">
      <w:pPr>
        <w:pStyle w:val="TableFigureSource"/>
      </w:pPr>
      <w:r w:rsidRPr="27A43C0E">
        <w:t>Source: Evaluation team analysis</w:t>
      </w:r>
    </w:p>
    <w:p w:rsidR="001D7722" w:rsidP="009832DB" w:rsidRDefault="001D7722" w14:paraId="0EFA8DCC" w14:textId="77777777">
      <w:pPr>
        <w:pStyle w:val="BodyText"/>
      </w:pPr>
    </w:p>
    <w:p w:rsidR="001D7722" w:rsidP="009832DB" w:rsidRDefault="001D7722" w14:paraId="08A95583" w14:textId="77777777">
      <w:pPr>
        <w:pStyle w:val="BodyText"/>
        <w:sectPr w:rsidR="001D7722" w:rsidSect="004D3EF5">
          <w:headerReference w:type="default" r:id="rId37"/>
          <w:footerReference w:type="default" r:id="rId38"/>
          <w:pgSz w:w="12240" w:h="15840" w:orient="portrait" w:code="1"/>
          <w:pgMar w:top="1440" w:right="1440" w:bottom="1440" w:left="1440" w:header="720" w:footer="720" w:gutter="0"/>
          <w:cols w:space="720"/>
          <w:docGrid w:linePitch="360"/>
        </w:sectPr>
      </w:pPr>
    </w:p>
    <w:p w:rsidRPr="006D4A66" w:rsidR="00024815" w:rsidP="006D4A66" w:rsidRDefault="00024815" w14:paraId="598C4FAF" w14:textId="77777777">
      <w:pPr>
        <w:pStyle w:val="Heading2"/>
        <w:rPr>
          <w:i w:val="0"/>
          <w:iCs w:val="0"/>
        </w:rPr>
      </w:pPr>
      <w:bookmarkStart w:name="_Toc192582261" w:id="102"/>
      <w:r w:rsidRPr="006D4A66">
        <w:rPr>
          <w:i w:val="0"/>
          <w:iCs w:val="0"/>
        </w:rPr>
        <w:t>Cumulative Persisting Annual Savings</w:t>
      </w:r>
      <w:bookmarkEnd w:id="102"/>
    </w:p>
    <w:p w:rsidR="00024815" w:rsidP="00024815" w:rsidRDefault="008B6B65" w14:paraId="20382D29" w14:textId="5A1B8524">
      <w:pPr>
        <w:pStyle w:val="BodyText"/>
      </w:pPr>
      <w:r>
        <w:fldChar w:fldCharType="begin"/>
      </w:r>
      <w:r>
        <w:instrText xml:space="preserve"> REF _Ref192580624 \h </w:instrText>
      </w:r>
      <w:r>
        <w:fldChar w:fldCharType="separate"/>
      </w:r>
      <w:r>
        <w:t xml:space="preserve">Table </w:t>
      </w:r>
      <w:r>
        <w:rPr>
          <w:noProof/>
        </w:rPr>
        <w:t>14</w:t>
      </w:r>
      <w:r>
        <w:fldChar w:fldCharType="end"/>
      </w:r>
      <w:r>
        <w:t xml:space="preserve"> </w:t>
      </w:r>
      <w:r w:rsidR="00024815">
        <w:t xml:space="preserve">to </w:t>
      </w:r>
      <w:r w:rsidR="00154F5E">
        <w:fldChar w:fldCharType="begin"/>
      </w:r>
      <w:r w:rsidR="00154F5E">
        <w:instrText xml:space="preserve"> REF _Ref192580712 \h </w:instrText>
      </w:r>
      <w:r w:rsidR="00154F5E">
        <w:fldChar w:fldCharType="separate"/>
      </w:r>
      <w:r w:rsidR="00154F5E">
        <w:t xml:space="preserve">Table </w:t>
      </w:r>
      <w:r w:rsidR="00154F5E">
        <w:rPr>
          <w:noProof/>
        </w:rPr>
        <w:t>16</w:t>
      </w:r>
      <w:r w:rsidR="00154F5E">
        <w:fldChar w:fldCharType="end"/>
      </w:r>
      <w:r w:rsidR="00154F5E">
        <w:t xml:space="preserve"> </w:t>
      </w:r>
      <w:r w:rsidR="00024815">
        <w:t xml:space="preserve">show the </w:t>
      </w:r>
      <w:r w:rsidRPr="00B52A58" w:rsidR="00024815">
        <w:t xml:space="preserve">cumulative </w:t>
      </w:r>
      <w:r w:rsidRPr="008419F0" w:rsidR="00024815">
        <w:t xml:space="preserve">persisting annual savings (CPAS) for the measures installed in </w:t>
      </w:r>
      <w:r w:rsidR="00024815">
        <w:t>CY2024.</w:t>
      </w:r>
      <w:r w:rsidRPr="008419F0" w:rsidR="00024815">
        <w:t xml:space="preserve"> The electric CPAS across all measures installed in </w:t>
      </w:r>
      <w:r w:rsidR="00024815">
        <w:t>CY2024</w:t>
      </w:r>
      <w:r w:rsidRPr="008419F0" w:rsidR="00024815">
        <w:t xml:space="preserve"> is </w:t>
      </w:r>
      <w:r w:rsidR="00024815">
        <w:t xml:space="preserve">shown in </w:t>
      </w:r>
      <w:r w:rsidR="00154F5E">
        <w:fldChar w:fldCharType="begin"/>
      </w:r>
      <w:r w:rsidR="00154F5E">
        <w:instrText xml:space="preserve"> REF _Ref192580624 \h </w:instrText>
      </w:r>
      <w:r w:rsidR="00154F5E">
        <w:fldChar w:fldCharType="separate"/>
      </w:r>
      <w:r w:rsidR="00154F5E">
        <w:t xml:space="preserve">Table </w:t>
      </w:r>
      <w:r w:rsidR="00154F5E">
        <w:rPr>
          <w:noProof/>
        </w:rPr>
        <w:t>14</w:t>
      </w:r>
      <w:r w:rsidR="00154F5E">
        <w:fldChar w:fldCharType="end"/>
      </w:r>
      <w:r w:rsidR="00024815">
        <w:t>.</w:t>
      </w:r>
      <w:r w:rsidRPr="008419F0" w:rsidR="00024815">
        <w:t xml:space="preserve"> </w:t>
      </w:r>
      <w:r w:rsidRPr="00C752CF" w:rsidR="00024815">
        <w:t xml:space="preserve">The gas </w:t>
      </w:r>
      <w:r w:rsidR="00024815">
        <w:t xml:space="preserve">and other fuel </w:t>
      </w:r>
      <w:r w:rsidRPr="00C752CF" w:rsidR="00024815">
        <w:t xml:space="preserve">contribution to CPAS (converted to equivalent electricity) </w:t>
      </w:r>
      <w:r w:rsidR="00024815">
        <w:t>are</w:t>
      </w:r>
      <w:r w:rsidRPr="00C752CF" w:rsidR="00024815">
        <w:t xml:space="preserve"> </w:t>
      </w:r>
      <w:r w:rsidR="00024815">
        <w:t xml:space="preserve">shown in </w:t>
      </w:r>
      <w:r>
        <w:fldChar w:fldCharType="begin"/>
      </w:r>
      <w:r>
        <w:instrText xml:space="preserve"> REF _Ref192580662 \h </w:instrText>
      </w:r>
      <w:r>
        <w:fldChar w:fldCharType="separate"/>
      </w:r>
      <w:r>
        <w:t xml:space="preserve">Table </w:t>
      </w:r>
      <w:r>
        <w:rPr>
          <w:noProof/>
        </w:rPr>
        <w:t>15</w:t>
      </w:r>
      <w:r>
        <w:fldChar w:fldCharType="end"/>
      </w:r>
      <w:r w:rsidRPr="00C752CF" w:rsidR="00024815">
        <w:t xml:space="preserve">. </w:t>
      </w:r>
      <w:r w:rsidR="00024815">
        <w:t xml:space="preserve">The combined savings are shown in </w:t>
      </w:r>
      <w:r w:rsidR="004F11CF">
        <w:fldChar w:fldCharType="begin"/>
      </w:r>
      <w:r w:rsidR="004F11CF">
        <w:instrText xml:space="preserve"> REF _Ref192580662 \h </w:instrText>
      </w:r>
      <w:r w:rsidR="004F11CF">
        <w:fldChar w:fldCharType="separate"/>
      </w:r>
      <w:r w:rsidR="004F11CF">
        <w:t xml:space="preserve">Table </w:t>
      </w:r>
      <w:r w:rsidR="004F11CF">
        <w:rPr>
          <w:noProof/>
        </w:rPr>
        <w:t>15</w:t>
      </w:r>
      <w:r w:rsidR="004F11CF">
        <w:fldChar w:fldCharType="end"/>
      </w:r>
      <w:r w:rsidR="00281262">
        <w:t>.</w:t>
      </w:r>
    </w:p>
    <w:p w:rsidR="0017321B" w:rsidP="0017321B" w:rsidRDefault="0017321B" w14:paraId="0B5866A2" w14:textId="489E86D0">
      <w:pPr>
        <w:pStyle w:val="Caption"/>
      </w:pPr>
      <w:bookmarkStart w:name="_Ref192580624" w:id="103"/>
      <w:bookmarkStart w:name="_Toc192581536" w:id="104"/>
      <w:r>
        <w:t xml:space="preserve">Table </w:t>
      </w:r>
      <w:r>
        <w:fldChar w:fldCharType="begin"/>
      </w:r>
      <w:r>
        <w:instrText xml:space="preserve"> SEQ Table \* ARABIC </w:instrText>
      </w:r>
      <w:r>
        <w:fldChar w:fldCharType="separate"/>
      </w:r>
      <w:r w:rsidR="008B6B65">
        <w:rPr>
          <w:noProof/>
        </w:rPr>
        <w:t>14</w:t>
      </w:r>
      <w:r>
        <w:fldChar w:fldCharType="end"/>
      </w:r>
      <w:bookmarkEnd w:id="103"/>
      <w:r>
        <w:t>. Multifamily Upgrades Excluding Public Housing CPAS – Electric</w:t>
      </w:r>
      <w:bookmarkEnd w:id="104"/>
    </w:p>
    <w:tbl>
      <w:tblPr>
        <w:tblW w:w="17280" w:type="dxa"/>
        <w:jc w:val="center"/>
        <w:tblLayout w:type="fixed"/>
        <w:tblLook w:val="0420" w:firstRow="1" w:lastRow="0" w:firstColumn="0" w:lastColumn="0" w:noHBand="0" w:noVBand="1"/>
      </w:tblPr>
      <w:tblGrid>
        <w:gridCol w:w="3168"/>
        <w:gridCol w:w="2016"/>
        <w:gridCol w:w="2016"/>
        <w:gridCol w:w="1008"/>
        <w:gridCol w:w="1008"/>
        <w:gridCol w:w="1008"/>
        <w:gridCol w:w="1008"/>
        <w:gridCol w:w="1008"/>
        <w:gridCol w:w="1008"/>
        <w:gridCol w:w="1008"/>
        <w:gridCol w:w="1008"/>
        <w:gridCol w:w="1008"/>
        <w:gridCol w:w="1008"/>
      </w:tblGrid>
      <w:tr w:rsidR="00024815" w:rsidTr="0017321B" w14:paraId="34231C93" w14:textId="77777777">
        <w:trPr>
          <w:tblHeader/>
          <w:jc w:val="center"/>
        </w:trPr>
        <w:tc>
          <w:tcPr>
            <w:tcW w:w="7200" w:type="dxa"/>
            <w:gridSpan w:val="3"/>
            <w:tcBorders>
              <w:top w:val="single" w:color="036479" w:sz="8" w:space="0"/>
              <w:left w:val="single" w:color="036479" w:sz="8" w:space="0"/>
              <w:bottom w:val="single" w:color="036479" w:sz="8" w:space="0"/>
              <w:right w:val="single" w:color="036479" w:sz="8" w:space="0"/>
            </w:tcBorders>
            <w:shd w:val="clear" w:color="auto" w:fill="036479"/>
            <w:tcMar>
              <w:top w:w="0" w:type="dxa"/>
              <w:left w:w="0" w:type="dxa"/>
              <w:bottom w:w="0" w:type="dxa"/>
              <w:right w:w="0" w:type="dxa"/>
            </w:tcMar>
            <w:vAlign w:val="bottom"/>
          </w:tcPr>
          <w:p w:rsidR="00024815" w:rsidRDefault="00024815" w14:paraId="56CCDE86"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p>
        </w:tc>
        <w:tc>
          <w:tcPr>
            <w:tcW w:w="4032" w:type="dxa"/>
            <w:gridSpan w:val="4"/>
            <w:tcBorders>
              <w:top w:val="single" w:color="036479" w:sz="8" w:space="0"/>
              <w:left w:val="single" w:color="036479" w:sz="8" w:space="0"/>
              <w:bottom w:val="single" w:color="036479" w:sz="8" w:space="0"/>
              <w:right w:val="single" w:color="036479" w:sz="8" w:space="0"/>
            </w:tcBorders>
            <w:shd w:val="clear" w:color="auto" w:fill="036479"/>
            <w:tcMar>
              <w:top w:w="0" w:type="dxa"/>
              <w:left w:w="0" w:type="dxa"/>
              <w:bottom w:w="0" w:type="dxa"/>
              <w:right w:w="0" w:type="dxa"/>
            </w:tcMar>
            <w:vAlign w:val="bottom"/>
          </w:tcPr>
          <w:p w:rsidR="00024815" w:rsidRDefault="00024815" w14:paraId="0C81A4C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CPAS Verified Net kWh Savings</w:t>
            </w:r>
          </w:p>
        </w:tc>
        <w:tc>
          <w:tcPr>
            <w:tcW w:w="6048" w:type="dxa"/>
            <w:gridSpan w:val="6"/>
            <w:tcBorders>
              <w:top w:val="single" w:color="036479" w:sz="8" w:space="0"/>
              <w:left w:val="single" w:color="036479" w:sz="8" w:space="0"/>
              <w:bottom w:val="single" w:color="036479" w:sz="8" w:space="0"/>
              <w:right w:val="single" w:color="036479" w:sz="8" w:space="0"/>
            </w:tcBorders>
            <w:shd w:val="clear" w:color="auto" w:fill="036479"/>
            <w:tcMar>
              <w:top w:w="0" w:type="dxa"/>
              <w:left w:w="0" w:type="dxa"/>
              <w:bottom w:w="0" w:type="dxa"/>
              <w:right w:w="0" w:type="dxa"/>
            </w:tcMar>
            <w:vAlign w:val="bottom"/>
          </w:tcPr>
          <w:p w:rsidR="00024815" w:rsidRDefault="00024815" w14:paraId="649B47E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p>
        </w:tc>
      </w:tr>
      <w:tr w:rsidR="00024815" w:rsidTr="0017321B" w14:paraId="1025614F" w14:textId="77777777">
        <w:trPr>
          <w:tblHeader/>
          <w:jc w:val="center"/>
        </w:trPr>
        <w:tc>
          <w:tcPr>
            <w:tcW w:w="316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420C0633"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2016"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6256A15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Verified Gross Savings (kWh)</w:t>
            </w:r>
          </w:p>
        </w:tc>
        <w:tc>
          <w:tcPr>
            <w:tcW w:w="2016"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3078D6D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Lifetime Net Savings (kWh)</w:t>
            </w:r>
            <w:r>
              <w:rPr>
                <w:rFonts w:ascii="Arial" w:hAnsi="DejaVu Sans" w:eastAsia="DejaVu Sans" w:cs="DejaVu Sans"/>
                <w:color w:val="FFFFFF"/>
                <w:sz w:val="14"/>
                <w:szCs w:val="14"/>
              </w:rPr>
              <w:t>†</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26D67AC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2018</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0D2FFBA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2019</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04D52E3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2020</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015A24C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2021</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7A41E6B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2022</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4D3D076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2023</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395292E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2024</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2FD970A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2025</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43C3388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2026</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335CF4B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2027</w:t>
            </w:r>
          </w:p>
        </w:tc>
      </w:tr>
      <w:tr w:rsidR="00024815" w:rsidTr="0017321B" w14:paraId="136A1BB7" w14:textId="77777777">
        <w:trPr>
          <w:trHeight w:val="216" w:hRule="exact"/>
          <w:jc w:val="center"/>
        </w:trPr>
        <w:tc>
          <w:tcPr>
            <w:tcW w:w="316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512D018"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Contribution to CPAS</w:t>
            </w:r>
          </w:p>
        </w:tc>
        <w:tc>
          <w:tcPr>
            <w:tcW w:w="2016"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DC5EBA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30,782,530</w:t>
            </w:r>
          </w:p>
        </w:tc>
        <w:tc>
          <w:tcPr>
            <w:tcW w:w="2016"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CED613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385,730,663</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9B68F9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BB0226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F255F6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7C9C7E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307192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25CA90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7CD9D2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30,080,326</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611D32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28,843,483</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4DF748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28,807,744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B868A0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28,796,045</w:t>
            </w:r>
          </w:p>
        </w:tc>
      </w:tr>
      <w:tr w:rsidR="00024815" w:rsidTr="0017321B" w14:paraId="0D1772CA"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8B607E8"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Total Contribution to CPAS</w:t>
            </w:r>
            <w:r>
              <w:rPr>
                <w:rFonts w:ascii="Arial" w:hAnsi="DejaVu Sans" w:eastAsia="DejaVu Sans" w:cs="DejaVu Sans"/>
                <w:color w:val="000000"/>
                <w:sz w:val="14"/>
                <w:szCs w:val="14"/>
              </w:rPr>
              <w:t>‡</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A5A339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17AC9D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814,749,312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E9DA1E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16,220,536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0591D9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26,116,232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5D121A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37,376,975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305619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46,151,322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07E51E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70,945,305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918AF2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102,676,135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305749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97,149,661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357A36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90,606,443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423426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80,998,015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7B7B13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73,162,198</w:t>
            </w:r>
          </w:p>
        </w:tc>
      </w:tr>
      <w:tr w:rsidR="00024815" w:rsidTr="0017321B" w14:paraId="0B5CC7DC"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79B6C00"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CPAS</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08B13D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30,782,530</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2840E4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1,103,330,314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F2442A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16,220,536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D1D36D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26,116,232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4CE995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37,376,975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4DDB5B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46,151,322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891D54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70,945,305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DB0A2F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102,676,135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9A6AB4" w14:paraId="3C67EBB1" w14:textId="5E21D3C1">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sidRPr="009A6AB4">
              <w:rPr>
                <w:rFonts w:ascii="Arial" w:hAnsi="DejaVu Sans" w:eastAsia="DejaVu Sans" w:cs="DejaVu Sans"/>
                <w:color w:val="000000"/>
                <w:sz w:val="14"/>
                <w:szCs w:val="14"/>
              </w:rPr>
              <w:t>127,229,987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9C9AD9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119,449,926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915F80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109,805,759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AD869B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101,958,243</w:t>
            </w:r>
          </w:p>
        </w:tc>
      </w:tr>
      <w:tr w:rsidR="00024815" w:rsidTr="0017321B" w14:paraId="475245DC"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16BFAE6"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Savings</w:t>
            </w:r>
            <w:r>
              <w:rPr>
                <w:rFonts w:ascii="Arial" w:hAnsi="DejaVu Sans" w:eastAsia="DejaVu Sans" w:cs="DejaVu Sans"/>
                <w:color w:val="000000"/>
                <w:sz w:val="14"/>
                <w:szCs w:val="14"/>
              </w:rPr>
              <w:t>§</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684F0F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51D226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34,389,858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9BD934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8C7383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DC4B61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E8AE3A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14C603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A1358E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346374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7C2D8A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1,236,844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8FEA4A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35,739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BFEC18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11,698</w:t>
            </w:r>
          </w:p>
        </w:tc>
      </w:tr>
      <w:tr w:rsidR="00024815" w:rsidTr="0017321B" w14:paraId="02B524AD"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A4ED427"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Incremental Expiring Savings||</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D2D9DB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A08E64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97,149,661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277EA0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D5997A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11CF48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EDEDFA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736CB0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C16CE3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1F0E5C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1ABAAB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6,543,218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1C0AA0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9,608,428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748E63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7,835,817</w:t>
            </w:r>
          </w:p>
        </w:tc>
      </w:tr>
      <w:tr w:rsidR="00024815" w:rsidTr="0017321B" w14:paraId="1186D4DD" w14:textId="77777777">
        <w:trPr>
          <w:trHeight w:val="216" w:hRule="exact"/>
          <w:jc w:val="center"/>
        </w:trPr>
        <w:tc>
          <w:tcPr>
            <w:tcW w:w="316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7A4CC002"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Incremental Expiring Savings#</w:t>
            </w:r>
          </w:p>
        </w:tc>
        <w:tc>
          <w:tcPr>
            <w:tcW w:w="2016"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6D6F11A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2016"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5905071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131,539,519</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30ECD11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081E6F3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129D879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40679A4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61974BC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0442AF9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0D560FD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39AA6D7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7,780,062</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5A37521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9,644,167</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1754211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7,847,515</w:t>
            </w:r>
          </w:p>
        </w:tc>
      </w:tr>
    </w:tbl>
    <w:p w:rsidR="00024815" w:rsidP="00024815" w:rsidRDefault="00024815" w14:paraId="7CA0E3C5" w14:textId="77777777">
      <w:pPr>
        <w:spacing w:before="0" w:after="0"/>
      </w:pPr>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024815" w14:paraId="0ADD4447" w14:textId="77777777">
        <w:trPr>
          <w:tblHeader/>
          <w:jc w:val="center"/>
        </w:trPr>
        <w:tc>
          <w:tcPr>
            <w:tcW w:w="316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434EF354"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46D9B39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2028</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28CC363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2029</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3D4803C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2030</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0EC63E3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2031</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664E8C8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2032</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6E7276E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2033</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3849586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2034</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70D186C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2035</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312CDAA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2036</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20CC5E6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2037</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5B4D8DC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2038</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4945ADC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2039</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112900B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2040</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6D0C45C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2041</w:t>
            </w:r>
          </w:p>
        </w:tc>
      </w:tr>
      <w:tr w:rsidR="00024815" w14:paraId="2AF48C0F" w14:textId="77777777">
        <w:trPr>
          <w:trHeight w:val="216" w:hRule="exact"/>
          <w:jc w:val="center"/>
        </w:trPr>
        <w:tc>
          <w:tcPr>
            <w:tcW w:w="316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59103C6"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Contribution to CPAS</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74AB4A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28,796,045</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801F9F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28,482,702</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EE007A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28,388,479</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393242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23,287,721</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EDDED3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13,623,021</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2E3228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13,623,021</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EB0D8C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12,743,847</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1784F0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12,627,149</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F7CEDD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11,723,261</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6BCA4A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11,723,261</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E063F5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11,723,261</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0B8B2D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11,505,540</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8B0B70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4,465,110</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E6B06E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4,465,110</w:t>
            </w:r>
          </w:p>
        </w:tc>
      </w:tr>
      <w:tr w:rsidR="00024815" w14:paraId="0B35170B"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2ADE183"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Total Contribution to CPAS</w:t>
            </w:r>
            <w:r>
              <w:rPr>
                <w:rFonts w:ascii="Arial" w:hAnsi="DejaVu Sans" w:eastAsia="DejaVu Sans" w:cs="DejaVu Sans"/>
                <w:color w:val="000000"/>
                <w:sz w:val="14"/>
                <w:szCs w:val="14"/>
              </w:rPr>
              <w:t>‡</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3B10BB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61,128,900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A1A92D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52,348,641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880378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50,311,420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9DEB4F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47,058,682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FD25FA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37,688,505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4AC21F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35,032,443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A9F150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32,720,055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3F7B99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30,806,109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1989BB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30,313,373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69AB9F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27,226,374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8DCDD3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17,864,031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C1F98C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14,839,564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335695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13,892,713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317982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12,483,718</w:t>
            </w:r>
          </w:p>
        </w:tc>
      </w:tr>
      <w:tr w:rsidR="00024815" w14:paraId="4FA7F7CF"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EC1B2AD"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CPAS</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7F05AB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89,924,945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AD5A78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80,831,343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187C51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78,699,899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0A123A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70,346,403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0E09F4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51,311,526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44AF45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48,655,464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A8D1C2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45,463,902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27ED16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43,433,258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633205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42,036,634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26CD35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38,949,635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3F3B43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29,587,292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755DAD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26,345,104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3B8D4F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18,357,823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4CF4C1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16,948,828</w:t>
            </w:r>
          </w:p>
        </w:tc>
      </w:tr>
      <w:tr w:rsidR="00024815" w14:paraId="1B323CB5"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9DAA307"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Savings</w:t>
            </w:r>
            <w:r>
              <w:rPr>
                <w:rFonts w:ascii="Arial" w:hAnsi="DejaVu Sans" w:eastAsia="DejaVu Sans" w:cs="DejaVu Sans"/>
                <w:color w:val="000000"/>
                <w:sz w:val="14"/>
                <w:szCs w:val="14"/>
              </w:rPr>
              <w:t>§</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3AD33C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6A883C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313,343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9D365D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94,223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DF7DEE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5,100,758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92FE58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9,664,700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D84D45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BD3E4B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879,174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AF99D0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116,698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50A65B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903,888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AEC281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0C9FC2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FDC28A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217,721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C118F5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7,040,430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8B5380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024815" w14:paraId="6AECC3A8"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14FA406"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Incremental Expiring Savings||</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75463D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12,033,298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B869A5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8,780,259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5DC3C7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2,037,221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D08B64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3,252,738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2450D0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9,370,177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E123DA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2,656,062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CD3332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2,312,388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D5DA40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1,913,946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C6B548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492,736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C957AF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3,086,999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D9AD54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9,362,343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7F501B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3,024,467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D4F01F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946,851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B0C88E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1,408,995</w:t>
            </w:r>
          </w:p>
        </w:tc>
      </w:tr>
      <w:tr w:rsidR="00024815" w14:paraId="3E39CA5A" w14:textId="77777777">
        <w:trPr>
          <w:trHeight w:val="216" w:hRule="exact"/>
          <w:jc w:val="center"/>
        </w:trPr>
        <w:tc>
          <w:tcPr>
            <w:tcW w:w="316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181AF7A6"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Incremental Expiring Savings#</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5D9B594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12,033,298</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2BBC8E3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9,093,602</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7BA8F89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2,131,444</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1C55E1E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8,353,496</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25C7DFA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19,034,877</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7FDB5B0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2,656,062</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1D414F6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3,191,562</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6D8FED1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2,030,644</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45889BC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1,396,624</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24CCC8C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3,086,999</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5F3F6FE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9,362,343</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1FB5DE0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3,242,188</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1F142B0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7,987,281</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63C2AB7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1,408,995</w:t>
            </w:r>
          </w:p>
        </w:tc>
      </w:tr>
    </w:tbl>
    <w:p w:rsidRPr="00944D07" w:rsidR="00024815" w:rsidP="00024815" w:rsidRDefault="00024815" w14:paraId="4A14C6C5" w14:textId="77777777">
      <w:pPr>
        <w:spacing w:before="0" w:after="0"/>
      </w:pPr>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024815" w14:paraId="75676E89" w14:textId="77777777">
        <w:trPr>
          <w:tblHeader/>
          <w:jc w:val="center"/>
        </w:trPr>
        <w:tc>
          <w:tcPr>
            <w:tcW w:w="316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1A1A58DF"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7FD02CA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2042</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704E64C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2043</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0A7DEDC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2044</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1C18CFE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2045</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7EEBAE9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2046</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3296F95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2047</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64E7F73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2048</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3202C6F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2049</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2F97424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2050</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58D75EA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2051</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595664C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2052</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626651F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2053</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0A6402E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2054</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39CFD69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2055</w:t>
            </w:r>
          </w:p>
        </w:tc>
      </w:tr>
      <w:tr w:rsidR="00024815" w14:paraId="20164BE4" w14:textId="77777777">
        <w:trPr>
          <w:trHeight w:val="216" w:hRule="exact"/>
          <w:jc w:val="center"/>
        </w:trPr>
        <w:tc>
          <w:tcPr>
            <w:tcW w:w="316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C087342"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Contribution to CPAS</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B3A7DA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4,465,110</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DF2240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4,465,110</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D5C6C7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4,309,531</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DBA083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4,309,531</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4DA10E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4,309,531</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CC74F7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4,309,531</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540C1F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4,309,531</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05E78C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4,309,531</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34B2AE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4,309,531</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5BAA36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4,309,531</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41AC5E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4,309,531</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227574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4,309,531</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A4C449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AF1249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024815" w14:paraId="69BFAE1C"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26A2DCB"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Total Contribution to CPAS</w:t>
            </w:r>
            <w:r>
              <w:rPr>
                <w:rFonts w:ascii="Arial" w:hAnsi="DejaVu Sans" w:eastAsia="DejaVu Sans" w:cs="DejaVu Sans"/>
                <w:color w:val="000000"/>
                <w:sz w:val="14"/>
                <w:szCs w:val="14"/>
              </w:rPr>
              <w:t>‡</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E6B6E8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9,028,785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A7D251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29,894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E03AAB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29,894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DB9B28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29,894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803DDA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75A66D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22841E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D747E0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912AC5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C6AD72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9CDDB6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967A4A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824CCD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6D3786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r>
      <w:tr w:rsidR="00024815" w14:paraId="38DD2739"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9875111"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CPAS</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73E04C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13,493,895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149BC5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4,495,004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4CAB64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4,339,425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FBFEB3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4,339,425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0AF29A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4,309,531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ADEAF2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4,309,531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BF18AA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4,309,531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C61510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4,309,531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C6E7F5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4,309,531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618FC5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4,309,531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7962CA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4,309,531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73B538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4,309,531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A00A54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5D288F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024815" w14:paraId="1A9FC8C5"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7369817"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Savings</w:t>
            </w:r>
            <w:r>
              <w:rPr>
                <w:rFonts w:ascii="Arial" w:hAnsi="DejaVu Sans" w:eastAsia="DejaVu Sans" w:cs="DejaVu Sans"/>
                <w:color w:val="000000"/>
                <w:sz w:val="14"/>
                <w:szCs w:val="14"/>
              </w:rPr>
              <w:t>§</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47570C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874C55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2C3207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155,579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2C0BC0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6FB74F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7C25E8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6B1292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583806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0E29A3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043B1F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00EECC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79D7F8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9A6AB4" w14:paraId="40334387" w14:textId="6CC8E452">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9A6AB4" w14:paraId="09B25CD3" w14:textId="25B730C1">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024815" w14:paraId="046E2B81"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EE5F74B"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Incremental Expiring Savings||</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74CEE4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3,454,933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D5D371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8,998,891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C1824E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54CBC2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BDB4F9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29,894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789B79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953E97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32FCE5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C0B0F0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F4D822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B87CD0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3D0F60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27B7A1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608388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024815" w14:paraId="5C090988" w14:textId="77777777">
        <w:trPr>
          <w:trHeight w:val="216" w:hRule="exact"/>
          <w:jc w:val="center"/>
        </w:trPr>
        <w:tc>
          <w:tcPr>
            <w:tcW w:w="316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1187A2C6"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Incremental Expiring Savings#</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1B7C2E2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3,454,933</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0603EFD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8,998,891</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60155BE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155,579</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2E749C3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4A99D34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29,894</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0A4A465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5E788C3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51A8A87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4E53F92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068A4D2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02BE679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5D9831C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9A6AB4" w14:paraId="32BB05DA" w14:textId="650FAD61">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9A6AB4" w14:paraId="4BDC4327" w14:textId="4682032E">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bl>
    <w:p w:rsidRPr="00C34E77" w:rsidR="00024815" w:rsidP="00024815" w:rsidRDefault="00024815" w14:paraId="61BF827E" w14:textId="77777777">
      <w:pPr>
        <w:pStyle w:val="TableFigureNote"/>
      </w:pPr>
      <w:r w:rsidRPr="00C34E77">
        <w:rPr>
          <w:rFonts w:eastAsiaTheme="minorEastAsia"/>
        </w:rPr>
        <w:t>† Lifetime savings are the sum of CPAS savings through the EUL.</w:t>
      </w:r>
    </w:p>
    <w:p w:rsidR="00024815" w:rsidP="00024815" w:rsidRDefault="00024815" w14:paraId="0AFDFEAF" w14:textId="77777777">
      <w:pPr>
        <w:pStyle w:val="TableFigureNote"/>
        <w:keepNext w:val="0"/>
        <w:rPr>
          <w:rFonts w:eastAsiaTheme="minorEastAsia"/>
        </w:rPr>
      </w:pPr>
      <w:r w:rsidRPr="00C34E77">
        <w:rPr>
          <w:rFonts w:eastAsiaTheme="minorEastAsia"/>
        </w:rPr>
        <w:t xml:space="preserve">‡ Historical savings go back to CY2018. </w:t>
      </w:r>
    </w:p>
    <w:p w:rsidRPr="00C34E77" w:rsidR="00024815" w:rsidP="00024815" w:rsidRDefault="00024815" w14:paraId="4D202A0F" w14:textId="77777777">
      <w:pPr>
        <w:pStyle w:val="TableFigureNote"/>
      </w:pPr>
      <w:r w:rsidRPr="00C34E77">
        <w:rPr>
          <w:rFonts w:eastAsiaTheme="minorEastAsia"/>
        </w:rPr>
        <w:t>§ Incremental expiring savings are equal to CPAS Yn-1 - CPAS Yn.</w:t>
      </w:r>
    </w:p>
    <w:p w:rsidRPr="00C34E77" w:rsidR="00024815" w:rsidP="00024815" w:rsidRDefault="00024815" w14:paraId="65FA5AE9" w14:textId="77777777">
      <w:pPr>
        <w:pStyle w:val="TableFigureNote"/>
      </w:pPr>
      <w:r w:rsidRPr="00C34E77">
        <w:rPr>
          <w:rFonts w:eastAsiaTheme="minorEastAsia"/>
        </w:rPr>
        <w:t>|| Historic incremental expiring savings are equal to Historic CPAS Yn-1 – Historic CPAS Yn.</w:t>
      </w:r>
    </w:p>
    <w:p w:rsidRPr="00C34E77" w:rsidR="00024815" w:rsidP="00024815" w:rsidRDefault="00024815" w14:paraId="507E9833" w14:textId="77777777">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rsidR="00024815" w:rsidP="00024815" w:rsidRDefault="00024815" w14:paraId="23A1CA86" w14:textId="77777777">
      <w:pPr>
        <w:pStyle w:val="TableFigureSource"/>
      </w:pPr>
      <w:r w:rsidRPr="00B361A6">
        <w:t>Source: Evaluation team analysis</w:t>
      </w:r>
    </w:p>
    <w:p w:rsidR="008B6B65" w:rsidP="008B6B65" w:rsidRDefault="008B6B65" w14:paraId="6CD6F49D" w14:textId="2F307980">
      <w:pPr>
        <w:pStyle w:val="Caption"/>
      </w:pPr>
      <w:bookmarkStart w:name="_Ref192580662" w:id="105"/>
      <w:bookmarkStart w:name="_Toc192581537" w:id="106"/>
      <w:r>
        <w:t xml:space="preserve">Table </w:t>
      </w:r>
      <w:r>
        <w:fldChar w:fldCharType="begin"/>
      </w:r>
      <w:r>
        <w:instrText xml:space="preserve"> SEQ Table \* ARABIC </w:instrText>
      </w:r>
      <w:r>
        <w:fldChar w:fldCharType="separate"/>
      </w:r>
      <w:r>
        <w:rPr>
          <w:noProof/>
        </w:rPr>
        <w:t>15</w:t>
      </w:r>
      <w:r>
        <w:fldChar w:fldCharType="end"/>
      </w:r>
      <w:bookmarkEnd w:id="105"/>
      <w:r>
        <w:t xml:space="preserve">. Multifamily Upgrades Excluding Public Housing </w:t>
      </w:r>
      <w:r w:rsidRPr="00F7087A">
        <w:t xml:space="preserve">CPAS – </w:t>
      </w:r>
      <w:r w:rsidRPr="00016EEF">
        <w:t>Other Fuel (Gas + Propane)</w:t>
      </w:r>
      <w:bookmarkEnd w:id="106"/>
    </w:p>
    <w:tbl>
      <w:tblPr>
        <w:tblW w:w="17280" w:type="dxa"/>
        <w:jc w:val="center"/>
        <w:tblLayout w:type="fixed"/>
        <w:tblLook w:val="0420" w:firstRow="1" w:lastRow="0" w:firstColumn="0" w:lastColumn="0" w:noHBand="0" w:noVBand="1"/>
      </w:tblPr>
      <w:tblGrid>
        <w:gridCol w:w="5112"/>
        <w:gridCol w:w="1044"/>
        <w:gridCol w:w="1044"/>
        <w:gridCol w:w="1008"/>
        <w:gridCol w:w="1008"/>
        <w:gridCol w:w="1008"/>
        <w:gridCol w:w="1008"/>
        <w:gridCol w:w="1008"/>
        <w:gridCol w:w="1008"/>
        <w:gridCol w:w="1008"/>
        <w:gridCol w:w="1008"/>
        <w:gridCol w:w="1008"/>
        <w:gridCol w:w="1008"/>
      </w:tblGrid>
      <w:tr w:rsidR="00024815" w:rsidTr="008B6B65" w14:paraId="74B48ADD" w14:textId="77777777">
        <w:trPr>
          <w:tblHeader/>
          <w:jc w:val="center"/>
        </w:trPr>
        <w:tc>
          <w:tcPr>
            <w:tcW w:w="7200" w:type="dxa"/>
            <w:gridSpan w:val="3"/>
            <w:tcBorders>
              <w:top w:val="single" w:color="036479" w:sz="8" w:space="0"/>
              <w:left w:val="single" w:color="036479" w:sz="8" w:space="0"/>
              <w:bottom w:val="single" w:color="036479" w:sz="8" w:space="0"/>
              <w:right w:val="single" w:color="036479" w:sz="8" w:space="0"/>
            </w:tcBorders>
            <w:shd w:val="clear" w:color="auto" w:fill="036479"/>
            <w:tcMar>
              <w:top w:w="0" w:type="dxa"/>
              <w:left w:w="0" w:type="dxa"/>
              <w:bottom w:w="0" w:type="dxa"/>
              <w:right w:w="0" w:type="dxa"/>
            </w:tcMar>
            <w:vAlign w:val="bottom"/>
          </w:tcPr>
          <w:p w:rsidR="00024815" w:rsidRDefault="00024815" w14:paraId="0D7981FC"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p>
        </w:tc>
        <w:tc>
          <w:tcPr>
            <w:tcW w:w="4032" w:type="dxa"/>
            <w:gridSpan w:val="4"/>
            <w:tcBorders>
              <w:top w:val="single" w:color="036479" w:sz="8" w:space="0"/>
              <w:left w:val="single" w:color="036479" w:sz="8" w:space="0"/>
              <w:bottom w:val="single" w:color="036479" w:sz="8" w:space="0"/>
              <w:right w:val="single" w:color="036479" w:sz="8" w:space="0"/>
            </w:tcBorders>
            <w:shd w:val="clear" w:color="auto" w:fill="036479"/>
            <w:tcMar>
              <w:top w:w="0" w:type="dxa"/>
              <w:left w:w="0" w:type="dxa"/>
              <w:bottom w:w="0" w:type="dxa"/>
              <w:right w:w="0" w:type="dxa"/>
            </w:tcMar>
            <w:vAlign w:val="bottom"/>
          </w:tcPr>
          <w:p w:rsidR="00024815" w:rsidRDefault="00024815" w14:paraId="097C51C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CPAS Verified Net Therms Savings</w:t>
            </w:r>
          </w:p>
        </w:tc>
        <w:tc>
          <w:tcPr>
            <w:tcW w:w="6048" w:type="dxa"/>
            <w:gridSpan w:val="6"/>
            <w:tcBorders>
              <w:top w:val="single" w:color="036479" w:sz="8" w:space="0"/>
              <w:left w:val="single" w:color="036479" w:sz="8" w:space="0"/>
              <w:bottom w:val="single" w:color="036479" w:sz="8" w:space="0"/>
              <w:right w:val="single" w:color="036479" w:sz="8" w:space="0"/>
            </w:tcBorders>
            <w:shd w:val="clear" w:color="auto" w:fill="036479"/>
            <w:tcMar>
              <w:top w:w="0" w:type="dxa"/>
              <w:left w:w="0" w:type="dxa"/>
              <w:bottom w:w="0" w:type="dxa"/>
              <w:right w:w="0" w:type="dxa"/>
            </w:tcMar>
            <w:vAlign w:val="bottom"/>
          </w:tcPr>
          <w:p w:rsidR="00024815" w:rsidRDefault="00024815" w14:paraId="0159FFB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p>
        </w:tc>
      </w:tr>
      <w:tr w:rsidR="00024815" w:rsidTr="008B6B65" w14:paraId="348D40DD" w14:textId="77777777">
        <w:trPr>
          <w:tblHeader/>
          <w:jc w:val="center"/>
        </w:trPr>
        <w:tc>
          <w:tcPr>
            <w:tcW w:w="5112"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4D4029A3"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1044"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318A201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Verified Gross Savings (Therms)</w:t>
            </w:r>
          </w:p>
        </w:tc>
        <w:tc>
          <w:tcPr>
            <w:tcW w:w="1044"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1AFCFB7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Lifetime Net Savings</w:t>
            </w:r>
            <w:r>
              <w:rPr>
                <w:rFonts w:ascii="Arial" w:hAnsi="DejaVu Sans" w:eastAsia="DejaVu Sans" w:cs="DejaVu Sans"/>
                <w:color w:val="FFFFFF"/>
                <w:sz w:val="14"/>
                <w:szCs w:val="14"/>
              </w:rPr>
              <w:t>†</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76474B5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2018</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2822E76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2019</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5E154D1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2020</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723B34E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2021</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646A9CE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2022</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691208E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2023</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73ED897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2024</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7ABEC55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2025</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03A555E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2026</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78DC3FE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2027</w:t>
            </w:r>
          </w:p>
        </w:tc>
      </w:tr>
      <w:tr w:rsidR="00024815" w:rsidTr="008B6B65" w14:paraId="196FBC1A" w14:textId="77777777">
        <w:trPr>
          <w:trHeight w:val="216" w:hRule="exact"/>
          <w:jc w:val="center"/>
        </w:trPr>
        <w:tc>
          <w:tcPr>
            <w:tcW w:w="5112"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9FE2924"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Other Fuel Contribution to CPAS (Therms)</w:t>
            </w:r>
          </w:p>
        </w:tc>
        <w:tc>
          <w:tcPr>
            <w:tcW w:w="1044"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67D0F2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652,872</w:t>
            </w:r>
          </w:p>
        </w:tc>
        <w:tc>
          <w:tcPr>
            <w:tcW w:w="1044"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6BB83D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17,601,302</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2BEABA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7CCBF0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4C9256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3AD445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923F94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41FD93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4DBD49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652,872</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07769A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646,646</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01C88A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646,646</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1B4355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638,806</w:t>
            </w:r>
          </w:p>
        </w:tc>
      </w:tr>
      <w:tr w:rsidR="00024815" w:rsidTr="008B6B65" w14:paraId="5FD3EC53"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E8FF554"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Other Fuel Contribution to CPAS (kWh Equivalent)</w:t>
            </w:r>
            <w:r>
              <w:rPr>
                <w:rFonts w:ascii="Arial" w:hAnsi="DejaVu Sans" w:eastAsia="DejaVu Sans" w:cs="DejaVu Sans"/>
                <w:color w:val="000000"/>
                <w:sz w:val="14"/>
                <w:szCs w:val="14"/>
              </w:rPr>
              <w:t>‡</w:t>
            </w:r>
          </w:p>
        </w:tc>
        <w:tc>
          <w:tcPr>
            <w:tcW w:w="1044"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3C3871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19,135,665</w:t>
            </w:r>
          </w:p>
        </w:tc>
        <w:tc>
          <w:tcPr>
            <w:tcW w:w="1044"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F221C4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515,894,166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AA4907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647CF1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BDFC04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1E03C5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27863B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F9682E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C29AC5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19,135,665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5C497A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18,953,191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1FC02D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18,953,191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C06E6D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18,723,393</w:t>
            </w:r>
          </w:p>
        </w:tc>
      </w:tr>
      <w:tr w:rsidR="00024815" w:rsidTr="008B6B65" w14:paraId="3B5220A3"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01E1AF8"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Total Other Fuel Contribution to CPAS (kWh Equivalent)</w:t>
            </w:r>
            <w:r>
              <w:rPr>
                <w:rFonts w:ascii="Arial" w:hAnsi="DejaVu Sans" w:eastAsia="DejaVu Sans" w:cs="DejaVu Sans"/>
                <w:color w:val="000000"/>
                <w:sz w:val="14"/>
                <w:szCs w:val="14"/>
              </w:rPr>
              <w:t>§</w:t>
            </w:r>
          </w:p>
        </w:tc>
        <w:tc>
          <w:tcPr>
            <w:tcW w:w="1044"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DFD8EB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44"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35998B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F43826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12,959,424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BEED44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32,490,632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451A0D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42,016,456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A94799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43,123,925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D08E6F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78,002,618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990DD5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97,676,410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588C72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94,200,430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B4DB80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86,265,806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F99C4A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85,538,051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91AFC6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84,315,361</w:t>
            </w:r>
          </w:p>
        </w:tc>
      </w:tr>
      <w:tr w:rsidR="00024815" w:rsidTr="008B6B65" w14:paraId="2654FFC5"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8BAD48C"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Other Fuel CPAS (kWh Equivalent)</w:t>
            </w:r>
          </w:p>
        </w:tc>
        <w:tc>
          <w:tcPr>
            <w:tcW w:w="1044"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278D5B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19,135,665</w:t>
            </w:r>
          </w:p>
        </w:tc>
        <w:tc>
          <w:tcPr>
            <w:tcW w:w="1044"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0AB21D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515,894,166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03F4CC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12,959,424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771C6F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32,490,632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2EB971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42,016,456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30FA0D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43,123,925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999CAC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78,002,618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C0413B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97,676,410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374004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113,336,095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43C2C0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105,218,997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371E48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104,491,242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358878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103,038,754</w:t>
            </w:r>
          </w:p>
        </w:tc>
      </w:tr>
      <w:tr w:rsidR="00024815" w:rsidTr="008B6B65" w14:paraId="16510C9B"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5E4F06D"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Other Fuel Savings (Therms)</w:t>
            </w:r>
          </w:p>
        </w:tc>
        <w:tc>
          <w:tcPr>
            <w:tcW w:w="1044"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AE8407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44"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AFEF2C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1B456F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E79350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AF4D5B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DB89F5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EC55A6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429985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AC68F5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E768E0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6,226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533283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69B7E8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7,840</w:t>
            </w:r>
          </w:p>
        </w:tc>
      </w:tr>
      <w:tr w:rsidR="00024815" w:rsidTr="008B6B65" w14:paraId="68FC9A58"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E5D65CF"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Other Fuel Savings (kWh Equivalent)||</w:t>
            </w:r>
          </w:p>
        </w:tc>
        <w:tc>
          <w:tcPr>
            <w:tcW w:w="1044"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017855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44"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16293C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DCCE05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7C80EC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0EC9F2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0A3268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E094D0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5DCCC6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29B452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9B8644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182,474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1EC98D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CB14DA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229,798</w:t>
            </w:r>
          </w:p>
        </w:tc>
      </w:tr>
      <w:tr w:rsidR="00024815" w:rsidTr="008B6B65" w14:paraId="5B1F57D4"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DBA0600"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Incremental Expiring Other Fuel Savings (kWh Equivalent)#</w:t>
            </w:r>
          </w:p>
        </w:tc>
        <w:tc>
          <w:tcPr>
            <w:tcW w:w="1044"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484F44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44"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B9C568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7B07A3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84D95E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37BA2E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925E47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DBA93E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9C9DE1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05AD16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3,475,980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720589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7,934,624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EF2D86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727,755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565529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1,222,690</w:t>
            </w:r>
          </w:p>
        </w:tc>
      </w:tr>
      <w:tr w:rsidR="00024815" w:rsidTr="008B6B65" w14:paraId="606B0B2D" w14:textId="77777777">
        <w:trPr>
          <w:trHeight w:val="216" w:hRule="exact"/>
          <w:jc w:val="center"/>
        </w:trPr>
        <w:tc>
          <w:tcPr>
            <w:tcW w:w="5112"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5C795773"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Incremental Expiring Other Fuel Savings (kWh Equivalent)*</w:t>
            </w:r>
            <w:r>
              <w:rPr>
                <w:rFonts w:ascii="Arial" w:hAnsi="DejaVu Sans" w:eastAsia="DejaVu Sans" w:cs="DejaVu Sans"/>
                <w:color w:val="000000"/>
                <w:sz w:val="14"/>
                <w:szCs w:val="14"/>
              </w:rPr>
              <w:t>†</w:t>
            </w:r>
          </w:p>
        </w:tc>
        <w:tc>
          <w:tcPr>
            <w:tcW w:w="1044"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361CC52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44"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08C40BA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63FF34F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509FF63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23B694C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2E771BA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2A6C520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1892814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47771C6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3,475,980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3F893C1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8,117,098</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0ED2F95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727,755</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4EB3BD1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1,452,488</w:t>
            </w:r>
          </w:p>
        </w:tc>
      </w:tr>
    </w:tbl>
    <w:p w:rsidR="00024815" w:rsidP="00024815" w:rsidRDefault="00024815" w14:paraId="0598B10A" w14:textId="77777777">
      <w:pPr>
        <w:spacing w:before="0" w:after="0"/>
      </w:pPr>
    </w:p>
    <w:tbl>
      <w:tblPr>
        <w:tblW w:w="0" w:type="auto"/>
        <w:jc w:val="center"/>
        <w:tblLayout w:type="fixed"/>
        <w:tblLook w:val="0420" w:firstRow="1" w:lastRow="0" w:firstColumn="0" w:lastColumn="0" w:noHBand="0" w:noVBand="1"/>
      </w:tblPr>
      <w:tblGrid>
        <w:gridCol w:w="5112"/>
        <w:gridCol w:w="869"/>
        <w:gridCol w:w="869"/>
        <w:gridCol w:w="869"/>
        <w:gridCol w:w="869"/>
        <w:gridCol w:w="869"/>
        <w:gridCol w:w="869"/>
        <w:gridCol w:w="869"/>
        <w:gridCol w:w="869"/>
        <w:gridCol w:w="869"/>
        <w:gridCol w:w="869"/>
        <w:gridCol w:w="869"/>
        <w:gridCol w:w="869"/>
        <w:gridCol w:w="869"/>
        <w:gridCol w:w="869"/>
      </w:tblGrid>
      <w:tr w:rsidR="00024815" w14:paraId="17F8C700" w14:textId="77777777">
        <w:trPr>
          <w:tblHeader/>
          <w:jc w:val="center"/>
        </w:trPr>
        <w:tc>
          <w:tcPr>
            <w:tcW w:w="5112"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4DCC917E"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3BF665D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2028</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76ADC57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2029</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037E4B3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2030</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1F17572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2031</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5D77C13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2032</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563C6ED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2033</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677409D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2034</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69AB372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2035</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686ED0A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2036</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7E4713B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2037</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07CD5D0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2038</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6C75C84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2039</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7D92231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2040</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6A59F42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2041</w:t>
            </w:r>
          </w:p>
        </w:tc>
      </w:tr>
      <w:tr w:rsidR="00024815" w14:paraId="464759D7" w14:textId="77777777">
        <w:trPr>
          <w:trHeight w:val="216" w:hRule="exact"/>
          <w:jc w:val="center"/>
        </w:trPr>
        <w:tc>
          <w:tcPr>
            <w:tcW w:w="5112"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DF71960"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Other Fuel Contribution to CPAS (Therms)</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B95519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638,806</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A66EB6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638,806</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961FCC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622,005</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F2B2BC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622,005</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63AF75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622,005</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F30799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622,005</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1B632C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622,005</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5C800A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604,882</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4CDA4C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604,882</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037B3F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604,882</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400221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604,882</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4287C8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572,656</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03E65B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567,819</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4D1F8E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567,819</w:t>
            </w:r>
          </w:p>
        </w:tc>
      </w:tr>
      <w:tr w:rsidR="00024815" w14:paraId="2C90CE41"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A4E5A5B"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Other Fuel Contribution to CPAS (kWh Equivalent)</w:t>
            </w:r>
            <w:r>
              <w:rPr>
                <w:rFonts w:ascii="Arial" w:hAnsi="DejaVu Sans" w:eastAsia="DejaVu Sans" w:cs="DejaVu Sans"/>
                <w:color w:val="000000"/>
                <w:sz w:val="14"/>
                <w:szCs w:val="14"/>
              </w:rPr>
              <w: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AED394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18,723,393</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9BC8D4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18,723,393</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183AC5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18,230,972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377422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18,230,972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1317CA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18,230,972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287EC3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18,230,972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37D896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18,230,972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20D916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17,729,097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D8F295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17,729,097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831555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17,729,097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7A455B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17,729,097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679C05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16,784,542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7D3FE6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16,642,789</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AD29AF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16,642,789</w:t>
            </w:r>
          </w:p>
        </w:tc>
      </w:tr>
      <w:tr w:rsidR="00024815" w14:paraId="0E26D165"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A454E48"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Total Other Fuel Contribution to CPAS (kWh Equivalent)</w:t>
            </w:r>
            <w:r>
              <w:rPr>
                <w:rFonts w:ascii="Arial" w:hAnsi="DejaVu Sans" w:eastAsia="DejaVu Sans" w:cs="DejaVu Sans"/>
                <w:color w:val="000000"/>
                <w:sz w:val="14"/>
                <w:szCs w:val="14"/>
              </w:rPr>
              <w: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FD9029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74,236,788</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3460E7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72,091,134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1A4AA8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71,411,776</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52E5CE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71,398,248</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EAEC05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69,399,174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114B85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63,744,830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2EFF3E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57,868,268</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A6D0E7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54,814,972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4D1608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54,703,634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F71A8D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45,924,661</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667DD2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36,863,277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99B39B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30,040,931</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3011B2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27,390,040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C7ACD6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26,947,352</w:t>
            </w:r>
          </w:p>
        </w:tc>
      </w:tr>
      <w:tr w:rsidR="00024815" w14:paraId="1D7C9DEC"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23BD59B"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Other Fuel CPAS (kWh Equivalent)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C7E3A7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92,960,181</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19649B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90,814,527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D97CC5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89,642,748</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3865ED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89,629,220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4F27F3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87,630,146</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607DBB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81,975,802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683E64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76,099,240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D26D90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72,544,069</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660150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72,432,731</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F140F6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63,653,758</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F9EC18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54,592,374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873F26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46,825,473</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326108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44,032,829</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655326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43,590,141</w:t>
            </w:r>
          </w:p>
        </w:tc>
      </w:tr>
      <w:tr w:rsidR="00024815" w14:paraId="494844DD"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0C33928"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Other Fuel Savings (Therms)</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C7485E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D40D41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B16528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16,800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269A1E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975A52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14D17B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593A5D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C4D10B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17,123</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38691B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C903E5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4B57AC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134344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32,226</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AC7728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4,836</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0813E8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024815" w14:paraId="7CADF5CF"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486B63D"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Other Fuel Savings (kWh Equivalent)||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F0A27D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3A7294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EE8C38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492,421</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2A2917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1B3B10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59B9DA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DFB10E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3C3C7C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501,875</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8D40C1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9E180C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B1781F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FE1580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944,555</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2FB4EC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141,753</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E09E54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024815" w14:paraId="44B2E45A"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8BC13AA"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Incremental Expiring Other Fuel Savings (kWh Equivalent)#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24B383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10,078,573</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AB7D56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2,145,654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982478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679,358</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5FDE21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13,528</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7D7C8C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1,999,074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C3F33A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5,654,344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FAD0C3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5,876,562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CBB957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3,053,296</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362DCF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111,338</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2C4A41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8,778,973</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CD6BE9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9,061,384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55AC3A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6,822,346</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611CAB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2,650,891</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39ACCE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442,688</w:t>
            </w:r>
          </w:p>
        </w:tc>
      </w:tr>
      <w:tr w:rsidR="00024815" w14:paraId="41A497A4" w14:textId="77777777">
        <w:trPr>
          <w:trHeight w:val="216" w:hRule="exact"/>
          <w:jc w:val="center"/>
        </w:trPr>
        <w:tc>
          <w:tcPr>
            <w:tcW w:w="5112"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1DEF19E7"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Incremental Expiring Other Fuel Savings (kWh Equivalent)*</w:t>
            </w:r>
            <w:r>
              <w:rPr>
                <w:rFonts w:ascii="Arial" w:hAnsi="DejaVu Sans" w:eastAsia="DejaVu Sans" w:cs="DejaVu Sans"/>
                <w:color w:val="000000"/>
                <w:sz w:val="14"/>
                <w:szCs w:val="14"/>
              </w:rPr>
              <w:t>†</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78C1782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10,078,573</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312B43B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2,145,654</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63D18B5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1,171,779</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78DB437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13,528</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0EB9568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1,999,074</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77382D9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5,654,344</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413AB3F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5,876,562</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0416824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3,555,171</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6E90306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111,338</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2C9D1CF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8,778,973</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226CB88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9,061,384</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3FEEC3A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7,766,901</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45D44CC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2,792,644</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7C93800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442,688</w:t>
            </w:r>
          </w:p>
        </w:tc>
      </w:tr>
    </w:tbl>
    <w:p w:rsidRPr="00944D07" w:rsidR="00024815" w:rsidP="00024815" w:rsidRDefault="00024815" w14:paraId="625A4079" w14:textId="77777777">
      <w:pPr>
        <w:spacing w:before="0" w:after="0"/>
      </w:pPr>
    </w:p>
    <w:tbl>
      <w:tblPr>
        <w:tblW w:w="0" w:type="auto"/>
        <w:jc w:val="center"/>
        <w:tblLayout w:type="fixed"/>
        <w:tblLook w:val="0420" w:firstRow="1" w:lastRow="0" w:firstColumn="0" w:lastColumn="0" w:noHBand="0" w:noVBand="1"/>
      </w:tblPr>
      <w:tblGrid>
        <w:gridCol w:w="5112"/>
        <w:gridCol w:w="869"/>
        <w:gridCol w:w="869"/>
        <w:gridCol w:w="869"/>
        <w:gridCol w:w="869"/>
        <w:gridCol w:w="869"/>
        <w:gridCol w:w="869"/>
        <w:gridCol w:w="869"/>
        <w:gridCol w:w="869"/>
        <w:gridCol w:w="869"/>
        <w:gridCol w:w="869"/>
        <w:gridCol w:w="869"/>
        <w:gridCol w:w="869"/>
        <w:gridCol w:w="869"/>
        <w:gridCol w:w="869"/>
      </w:tblGrid>
      <w:tr w:rsidR="00024815" w14:paraId="2E2E6A02" w14:textId="77777777">
        <w:trPr>
          <w:tblHeader/>
          <w:jc w:val="center"/>
        </w:trPr>
        <w:tc>
          <w:tcPr>
            <w:tcW w:w="5112"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3B685041"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2BDB8F7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2042</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211C083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2043</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4B734DF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2044</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2181DFF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2045</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0E7A7A5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2046</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0BB3895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2047</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01A8712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2048</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36098E8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2049</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27ADB51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2050</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4E086BA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2051</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34169FA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2052</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62F806D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2053</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602C186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2054</w:t>
            </w:r>
          </w:p>
        </w:tc>
        <w:tc>
          <w:tcPr>
            <w:tcW w:w="869"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16B162F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2055</w:t>
            </w:r>
          </w:p>
        </w:tc>
      </w:tr>
      <w:tr w:rsidR="00024815" w14:paraId="241A62C2" w14:textId="77777777">
        <w:trPr>
          <w:trHeight w:val="216" w:hRule="exact"/>
          <w:jc w:val="center"/>
        </w:trPr>
        <w:tc>
          <w:tcPr>
            <w:tcW w:w="5112"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5A5A51E"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Other Fuel Contribution to CPAS (Therms)</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EBC5A4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567,819</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AE0ECC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567,819</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1E7652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557,975</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52170F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557,975</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EF7E37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557,975</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6DD178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557,975</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ADB853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557,975</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29217D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515,071</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9A8BDC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515,071</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984BFF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515,071</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4C4AC8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515,071</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81AF24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515,071</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CCCB18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3C47DC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024815" w14:paraId="10AD54AB"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34B850B"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Other Fuel Contribution to CPAS (kWh Equivalent)</w:t>
            </w:r>
            <w:r>
              <w:rPr>
                <w:rFonts w:ascii="Arial" w:hAnsi="DejaVu Sans" w:eastAsia="DejaVu Sans" w:cs="DejaVu Sans"/>
                <w:color w:val="000000"/>
                <w:sz w:val="14"/>
                <w:szCs w:val="14"/>
              </w:rPr>
              <w: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33BC54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16,642,789</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70CC75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16,642,789</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047CFB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16,354,262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DF9408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16,354,262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E2E589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16,354,262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309339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16,354,262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30D953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16,354,262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B22BCB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15,096,737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EADBE5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15,096,737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A6C335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15,096,737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3F9CCA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15,096,737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12CB97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15,096,737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BD32CA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F6494C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024815" w14:paraId="4D2B8723"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495CF94"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Total Other Fuel Contribution to CPAS (kWh Equivalent)</w:t>
            </w:r>
            <w:r>
              <w:rPr>
                <w:rFonts w:ascii="Arial" w:hAnsi="DejaVu Sans" w:eastAsia="DejaVu Sans" w:cs="DejaVu Sans"/>
                <w:color w:val="000000"/>
                <w:sz w:val="14"/>
                <w:szCs w:val="14"/>
              </w:rPr>
              <w: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249481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18,149,749</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05F86B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7,230,278</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BBF73E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4,256,544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ACDDD2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1,389,561</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6A8F2A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924,249</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A7215A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924,249</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5B5CD2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A8D674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DBFFB8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920BFE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8700A8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D5049D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C2E69F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BA3276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r>
      <w:tr w:rsidR="00024815" w14:paraId="13855999"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9EC3910"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Other Fuel CPAS (kWh Equivalent)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655CB2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34,792,538</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45F03F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23,873,067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C28C79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20,610,806</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37CEA9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17,743,823</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A41099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17,278,511</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C18973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17,278,511</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66D811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16,354,262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1FDB84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15,096,737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D9357B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15,096,737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89975E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15,096,737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24CF80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15,096,737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DD33D8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15,096,737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BEBD42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136EF4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024815" w14:paraId="66FC23E2"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DCAF2E8"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Other Fuel Savings (Therms)</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DD5B48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A7C723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337997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9,844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706C45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9A634B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841096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213763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FABBB5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42,904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A3E762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946D07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CB938F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8CAD7E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8C9D57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515,071</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20E3B0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024815" w14:paraId="30E5B790"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1F97DD9"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Other Fuel Savings (kWh Equivalent)||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B5DEB7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D1FE56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BB0E68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288,528</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C88ACC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258F8B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A49E3E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FB854D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D9C23C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1,257,525</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A15A1C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AEBF4E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91F492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046A4C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12C3BE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15,096,737</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904315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024815" w14:paraId="4F1D57DE" w14:textId="77777777">
        <w:trPr>
          <w:trHeight w:val="216" w:hRule="exact"/>
          <w:jc w:val="center"/>
        </w:trPr>
        <w:tc>
          <w:tcPr>
            <w:tcW w:w="5112"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7BFEAF2"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Incremental Expiring Other Fuel Savings (kWh Equivalent)#</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8A54BB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8,797,603</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857550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10,919,471</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96585F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2,973,734</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6D15D2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2,866,983</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8F0584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465,312</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7772F8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266129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924,249</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0E3596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CE9D9F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25C149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18E338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75C947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5B991A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B163C8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024815" w14:paraId="659A275B" w14:textId="77777777">
        <w:trPr>
          <w:trHeight w:val="216" w:hRule="exact"/>
          <w:jc w:val="center"/>
        </w:trPr>
        <w:tc>
          <w:tcPr>
            <w:tcW w:w="5112"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33C0C27B"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Incremental Expiring Other Fuel Savings (kWh Equivalent)*</w:t>
            </w:r>
            <w:r>
              <w:rPr>
                <w:rFonts w:ascii="Arial" w:hAnsi="DejaVu Sans" w:eastAsia="DejaVu Sans" w:cs="DejaVu Sans"/>
                <w:color w:val="000000"/>
                <w:sz w:val="14"/>
                <w:szCs w:val="14"/>
              </w:rPr>
              <w:t>†</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04F1B29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8,797,603</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475C1BE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10,919,471</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33A71B6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3,262,262</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2CD1FD0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2,866,983</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0EE4D68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465,312</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7C05C7F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04D6067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924,249</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21C19BC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1,257,525</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1B81F7C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640ABED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0B48377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6C859A2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5C7727D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15,096,737</w:t>
            </w:r>
          </w:p>
        </w:tc>
        <w:tc>
          <w:tcPr>
            <w:tcW w:w="869"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6240A8D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bl>
    <w:p w:rsidRPr="00C329CB" w:rsidR="00024815" w:rsidP="00024815" w:rsidRDefault="00024815" w14:paraId="65E4B36F" w14:textId="77777777">
      <w:pPr>
        <w:pStyle w:val="TableFigureNote"/>
        <w:rPr>
          <w:rFonts w:eastAsiaTheme="minorEastAsia"/>
        </w:rPr>
      </w:pPr>
      <w:r w:rsidRPr="00C329CB">
        <w:rPr>
          <w:rFonts w:eastAsiaTheme="minorEastAsia"/>
        </w:rPr>
        <w:t>† Lifetime savings are the sum of CPAS savings through the EUL.</w:t>
      </w:r>
    </w:p>
    <w:p w:rsidRPr="00C329CB" w:rsidR="00024815" w:rsidP="00024815" w:rsidRDefault="00024815" w14:paraId="11C4A050" w14:textId="77777777">
      <w:pPr>
        <w:pStyle w:val="TableFigureNote"/>
        <w:rPr>
          <w:rFonts w:eastAsiaTheme="minorEastAsia"/>
        </w:rPr>
      </w:pPr>
      <w:r w:rsidRPr="00C329CB">
        <w:rPr>
          <w:rFonts w:eastAsiaTheme="minorEastAsia"/>
        </w:rPr>
        <w:t xml:space="preserve">‡ </w:t>
      </w:r>
      <w:r>
        <w:rPr>
          <w:rFonts w:eastAsiaTheme="minorEastAsia"/>
        </w:rPr>
        <w:t xml:space="preserve">Fossil fuel savings (from natural gas, propane, etc.) are reported in therms. </w:t>
      </w:r>
      <w:r w:rsidRPr="00C329CB">
        <w:rPr>
          <w:rFonts w:eastAsiaTheme="minorEastAsia"/>
        </w:rPr>
        <w:t>kWh equivalent savings are calculated by multiplying therms savings by 29.31.</w:t>
      </w:r>
    </w:p>
    <w:p w:rsidR="00024815" w:rsidP="00024815" w:rsidRDefault="00024815" w14:paraId="3F46E19F" w14:textId="77777777">
      <w:pPr>
        <w:pStyle w:val="TableFigureNote"/>
        <w:rPr>
          <w:rFonts w:eastAsiaTheme="minorEastAsia"/>
        </w:rPr>
      </w:pPr>
      <w:r w:rsidRPr="00C329CB">
        <w:rPr>
          <w:rFonts w:eastAsiaTheme="minorEastAsia"/>
        </w:rPr>
        <w:t>§ Historical savings go back to CY2018.</w:t>
      </w:r>
    </w:p>
    <w:p w:rsidRPr="00C329CB" w:rsidR="00024815" w:rsidP="00024815" w:rsidRDefault="00024815" w14:paraId="1D4A7252" w14:textId="77777777">
      <w:pPr>
        <w:pStyle w:val="TableFigureNote"/>
        <w:rPr>
          <w:rFonts w:eastAsiaTheme="minorEastAsia"/>
        </w:rPr>
      </w:pPr>
      <w:r w:rsidRPr="00C329CB">
        <w:rPr>
          <w:rFonts w:eastAsiaTheme="minorEastAsia"/>
        </w:rPr>
        <w:t>|| Incremental expiring savings are equal to CPAS Yn-1 - CPAS Yn.</w:t>
      </w:r>
    </w:p>
    <w:p w:rsidRPr="00C329CB" w:rsidR="00024815" w:rsidP="00024815" w:rsidRDefault="00024815" w14:paraId="4C107A4C" w14:textId="77777777">
      <w:pPr>
        <w:pStyle w:val="TableFigureNote"/>
        <w:rPr>
          <w:rFonts w:eastAsiaTheme="minorEastAsia"/>
        </w:rPr>
      </w:pPr>
      <w:r w:rsidRPr="00C329CB">
        <w:rPr>
          <w:rFonts w:eastAsiaTheme="minorEastAsia"/>
        </w:rPr>
        <w:t># Historic incremental expiring savings are equal to Historic CPAS Yn-1 – Historic CPAS Yn.</w:t>
      </w:r>
    </w:p>
    <w:p w:rsidR="00024815" w:rsidP="00024815" w:rsidRDefault="00024815" w14:paraId="2F308C87" w14:textId="77777777">
      <w:pPr>
        <w:pStyle w:val="TableFigureNote"/>
        <w:rPr>
          <w:rFonts w:eastAsiaTheme="minorEastAsia"/>
        </w:rPr>
      </w:pPr>
      <w:r w:rsidRPr="00C329CB">
        <w:rPr>
          <w:rFonts w:eastAsiaTheme="minorEastAsia"/>
        </w:rPr>
        <w:t xml:space="preserve">*† </w:t>
      </w:r>
      <w:r>
        <w:rPr>
          <w:rFonts w:eastAsiaTheme="minorEastAsia"/>
        </w:rPr>
        <w:t>Program</w:t>
      </w:r>
      <w:r w:rsidRPr="00C34E77">
        <w:rPr>
          <w:rFonts w:eastAsiaTheme="minorEastAsia"/>
        </w:rPr>
        <w:t xml:space="preserve"> </w:t>
      </w:r>
      <w:r w:rsidRPr="00C329CB">
        <w:rPr>
          <w:rFonts w:eastAsiaTheme="minorEastAsia"/>
        </w:rPr>
        <w:t xml:space="preserve">total incremental expiring savings are equal to current year total incremental expiring savings plus historic total incremental expiring savings. </w:t>
      </w:r>
    </w:p>
    <w:p w:rsidR="00024815" w:rsidP="00024815" w:rsidRDefault="00024815" w14:paraId="748BE57D" w14:textId="77777777">
      <w:pPr>
        <w:pStyle w:val="TableFigureSource"/>
      </w:pPr>
      <w:r>
        <w:t>Source: Evaluation team analysis</w:t>
      </w:r>
    </w:p>
    <w:p w:rsidR="008B6B65" w:rsidP="008B6B65" w:rsidRDefault="008B6B65" w14:paraId="4D2FC7E8" w14:textId="42D5E0EF">
      <w:pPr>
        <w:pStyle w:val="Caption"/>
      </w:pPr>
      <w:bookmarkStart w:name="_Ref192580712" w:id="107"/>
      <w:bookmarkStart w:name="_Toc192581538" w:id="108"/>
      <w:r>
        <w:t xml:space="preserve">Table </w:t>
      </w:r>
      <w:r>
        <w:fldChar w:fldCharType="begin"/>
      </w:r>
      <w:r>
        <w:instrText xml:space="preserve"> SEQ Table \* ARABIC </w:instrText>
      </w:r>
      <w:r>
        <w:fldChar w:fldCharType="separate"/>
      </w:r>
      <w:r>
        <w:rPr>
          <w:noProof/>
        </w:rPr>
        <w:t>16</w:t>
      </w:r>
      <w:r>
        <w:fldChar w:fldCharType="end"/>
      </w:r>
      <w:bookmarkEnd w:id="107"/>
      <w:r>
        <w:t>. Multifamily Upgrades Excluding Public Housing CPAS – Total</w:t>
      </w:r>
      <w:bookmarkEnd w:id="108"/>
    </w:p>
    <w:tbl>
      <w:tblPr>
        <w:tblW w:w="17280" w:type="dxa"/>
        <w:jc w:val="center"/>
        <w:tblLayout w:type="fixed"/>
        <w:tblLook w:val="0420" w:firstRow="1" w:lastRow="0" w:firstColumn="0" w:lastColumn="0" w:noHBand="0" w:noVBand="1"/>
      </w:tblPr>
      <w:tblGrid>
        <w:gridCol w:w="3168"/>
        <w:gridCol w:w="2016"/>
        <w:gridCol w:w="2016"/>
        <w:gridCol w:w="1008"/>
        <w:gridCol w:w="1008"/>
        <w:gridCol w:w="1008"/>
        <w:gridCol w:w="1008"/>
        <w:gridCol w:w="1008"/>
        <w:gridCol w:w="1008"/>
        <w:gridCol w:w="1008"/>
        <w:gridCol w:w="1008"/>
        <w:gridCol w:w="1008"/>
        <w:gridCol w:w="1008"/>
      </w:tblGrid>
      <w:tr w:rsidR="00024815" w:rsidTr="008B6B65" w14:paraId="778EC593" w14:textId="77777777">
        <w:trPr>
          <w:tblHeader/>
          <w:jc w:val="center"/>
        </w:trPr>
        <w:tc>
          <w:tcPr>
            <w:tcW w:w="7200" w:type="dxa"/>
            <w:gridSpan w:val="3"/>
            <w:tcBorders>
              <w:top w:val="single" w:color="036479" w:sz="8" w:space="0"/>
              <w:left w:val="single" w:color="036479" w:sz="8" w:space="0"/>
              <w:bottom w:val="single" w:color="036479" w:sz="8" w:space="0"/>
              <w:right w:val="single" w:color="036479" w:sz="8" w:space="0"/>
            </w:tcBorders>
            <w:shd w:val="clear" w:color="auto" w:fill="036479"/>
            <w:tcMar>
              <w:top w:w="0" w:type="dxa"/>
              <w:left w:w="0" w:type="dxa"/>
              <w:bottom w:w="0" w:type="dxa"/>
              <w:right w:w="0" w:type="dxa"/>
            </w:tcMar>
            <w:vAlign w:val="bottom"/>
          </w:tcPr>
          <w:p w:rsidR="00024815" w:rsidRDefault="00024815" w14:paraId="1E15A0F0"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p>
        </w:tc>
        <w:tc>
          <w:tcPr>
            <w:tcW w:w="4032" w:type="dxa"/>
            <w:gridSpan w:val="4"/>
            <w:tcBorders>
              <w:top w:val="single" w:color="036479" w:sz="8" w:space="0"/>
              <w:left w:val="single" w:color="036479" w:sz="8" w:space="0"/>
              <w:bottom w:val="single" w:color="036479" w:sz="8" w:space="0"/>
              <w:right w:val="single" w:color="036479" w:sz="8" w:space="0"/>
            </w:tcBorders>
            <w:shd w:val="clear" w:color="auto" w:fill="036479"/>
            <w:tcMar>
              <w:top w:w="0" w:type="dxa"/>
              <w:left w:w="0" w:type="dxa"/>
              <w:bottom w:w="0" w:type="dxa"/>
              <w:right w:w="0" w:type="dxa"/>
            </w:tcMar>
            <w:vAlign w:val="bottom"/>
          </w:tcPr>
          <w:p w:rsidR="00024815" w:rsidRDefault="00024815" w14:paraId="3ECBD8E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CPAS Verified Net kWh Savings</w:t>
            </w:r>
          </w:p>
        </w:tc>
        <w:tc>
          <w:tcPr>
            <w:tcW w:w="6048" w:type="dxa"/>
            <w:gridSpan w:val="6"/>
            <w:tcBorders>
              <w:top w:val="single" w:color="036479" w:sz="8" w:space="0"/>
              <w:left w:val="single" w:color="036479" w:sz="8" w:space="0"/>
              <w:bottom w:val="single" w:color="036479" w:sz="8" w:space="0"/>
              <w:right w:val="single" w:color="036479" w:sz="8" w:space="0"/>
            </w:tcBorders>
            <w:shd w:val="clear" w:color="auto" w:fill="036479"/>
            <w:tcMar>
              <w:top w:w="0" w:type="dxa"/>
              <w:left w:w="0" w:type="dxa"/>
              <w:bottom w:w="0" w:type="dxa"/>
              <w:right w:w="0" w:type="dxa"/>
            </w:tcMar>
            <w:vAlign w:val="bottom"/>
          </w:tcPr>
          <w:p w:rsidR="00024815" w:rsidRDefault="00024815" w14:paraId="2D4CD4D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p>
        </w:tc>
      </w:tr>
      <w:tr w:rsidR="00024815" w:rsidTr="008B6B65" w14:paraId="48A746CD" w14:textId="77777777">
        <w:trPr>
          <w:tblHeader/>
          <w:jc w:val="center"/>
        </w:trPr>
        <w:tc>
          <w:tcPr>
            <w:tcW w:w="316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3B3E8772"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2016"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68DF01B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Verified Gross Savings (kWh)</w:t>
            </w:r>
          </w:p>
        </w:tc>
        <w:tc>
          <w:tcPr>
            <w:tcW w:w="2016"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4E52D45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Lifetime Net Savings (kWh)</w:t>
            </w:r>
            <w:r>
              <w:rPr>
                <w:rFonts w:ascii="Arial" w:hAnsi="DejaVu Sans" w:eastAsia="DejaVu Sans" w:cs="DejaVu Sans"/>
                <w:color w:val="FFFFFF"/>
                <w:sz w:val="14"/>
                <w:szCs w:val="14"/>
              </w:rPr>
              <w:t>†</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5AA963F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2018</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2F6D3B2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2019</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0C82E5A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2020</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14B181D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2021</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78CE580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2022</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1F14500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2023</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694FC31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2024</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33FBFDF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2025</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654A671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2026</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7262857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2027</w:t>
            </w:r>
          </w:p>
        </w:tc>
      </w:tr>
      <w:tr w:rsidR="00024815" w:rsidTr="008B6B65" w14:paraId="25F1BF87" w14:textId="77777777">
        <w:trPr>
          <w:trHeight w:val="216" w:hRule="exact"/>
          <w:jc w:val="center"/>
        </w:trPr>
        <w:tc>
          <w:tcPr>
            <w:tcW w:w="316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4540A34"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Contribution to CPAS</w:t>
            </w:r>
          </w:p>
        </w:tc>
        <w:tc>
          <w:tcPr>
            <w:tcW w:w="2016"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7183DA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49,918,194</w:t>
            </w:r>
          </w:p>
        </w:tc>
        <w:tc>
          <w:tcPr>
            <w:tcW w:w="2016"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802754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901,624,829</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15917E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1F7CCB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A757EB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88B247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D020DE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2DBD3E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65DD46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49,215,991</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8A990A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47,796,674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C1F942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47,760,935</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283D0E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47,519,438</w:t>
            </w:r>
          </w:p>
        </w:tc>
      </w:tr>
      <w:tr w:rsidR="00024815" w:rsidTr="008B6B65" w14:paraId="0A725FCE"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64D6BD2"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Total Contribution to CPAS</w:t>
            </w:r>
            <w:r>
              <w:rPr>
                <w:rFonts w:ascii="Arial" w:hAnsi="DejaVu Sans" w:eastAsia="DejaVu Sans" w:cs="DejaVu Sans"/>
                <w:color w:val="000000"/>
                <w:sz w:val="14"/>
                <w:szCs w:val="14"/>
              </w:rPr>
              <w:t>‡</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32E1F9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B7EEEE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FA0B25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29,179,961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2E7A9C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58,606,864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C69D54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79,393,431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328847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89,275,247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46E005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148,947,923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B0F542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200,352,544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Pr="00986946" w:rsidR="00024815" w:rsidRDefault="00024815" w14:paraId="561D556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sidRPr="00986946">
              <w:rPr>
                <w:rFonts w:ascii="Arial" w:hAnsi="DejaVu Sans" w:eastAsia="DejaVu Sans" w:cs="DejaVu Sans"/>
                <w:color w:val="000000"/>
                <w:sz w:val="14"/>
                <w:szCs w:val="14"/>
              </w:rPr>
              <w:t>191,350,091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E634C4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176,872,249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273230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166,536,066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613A37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157,477,559</w:t>
            </w:r>
          </w:p>
        </w:tc>
      </w:tr>
      <w:tr w:rsidR="00024815" w:rsidTr="008B6B65" w14:paraId="4097A88A"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0D210F7"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CPAS</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5E1B73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49,918,194</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F3F5B0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901,624,829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C93FA7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29,179,961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3FCF98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58,606,864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AFE915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79,393,431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31A2E1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89,275,247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E6600E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148,947,923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A3D05F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200,352,544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Pr="00986946" w:rsidR="00024815" w:rsidRDefault="00024815" w14:paraId="1219C39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sidRPr="00986946">
              <w:rPr>
                <w:rFonts w:ascii="Arial" w:hAnsi="DejaVu Sans" w:eastAsia="DejaVu Sans" w:cs="DejaVu Sans"/>
                <w:color w:val="000000"/>
                <w:sz w:val="14"/>
                <w:szCs w:val="14"/>
              </w:rPr>
              <w:t>240,566,082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1717E5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224,668,923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A091E4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214,297,001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ADAA27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204,996,997</w:t>
            </w:r>
          </w:p>
        </w:tc>
      </w:tr>
      <w:tr w:rsidR="00024815" w:rsidTr="008B6B65" w14:paraId="3DE02F61"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52992E6"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Savings</w:t>
            </w:r>
            <w:r>
              <w:rPr>
                <w:rFonts w:ascii="Arial" w:hAnsi="DejaVu Sans" w:eastAsia="DejaVu Sans" w:cs="DejaVu Sans"/>
                <w:color w:val="000000"/>
                <w:sz w:val="14"/>
                <w:szCs w:val="14"/>
              </w:rPr>
              <w:t>§</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6F5301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7428E1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F52CB6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650D75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6634BE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A62ADA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6AD0BB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7A6D40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620F00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8A4199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1,419,317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A75F39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35,739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A0FDEB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241,497</w:t>
            </w:r>
          </w:p>
        </w:tc>
      </w:tr>
      <w:tr w:rsidR="00024815" w:rsidTr="008B6B65" w14:paraId="5A019B84"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C8683B6"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Incremental Expiring Savings||</w:t>
            </w: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F77D76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2016"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38F4EA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BCA2EE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675DE2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2D9867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E096C4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A8CF90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D3B463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6013AF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9,002,453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83FFC2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14,477,842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9B96FF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10,336,183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A09EE2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9,058,507</w:t>
            </w:r>
          </w:p>
        </w:tc>
      </w:tr>
      <w:tr w:rsidR="00024815" w:rsidTr="008B6B65" w14:paraId="17910128" w14:textId="77777777">
        <w:trPr>
          <w:trHeight w:val="216" w:hRule="exact"/>
          <w:jc w:val="center"/>
        </w:trPr>
        <w:tc>
          <w:tcPr>
            <w:tcW w:w="316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0AB7F8E3"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Incremental Expiring Savings#</w:t>
            </w:r>
          </w:p>
        </w:tc>
        <w:tc>
          <w:tcPr>
            <w:tcW w:w="2016"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4ED3DF7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2016"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3130277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1F665D7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351C6D4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1E992ED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75A68CC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117286C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71A86E4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659AB32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9,002,453</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7AD74BE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15,897,159</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30880FB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10,371,922</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6ECF08C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9,300,004</w:t>
            </w:r>
          </w:p>
        </w:tc>
      </w:tr>
    </w:tbl>
    <w:p w:rsidR="00024815" w:rsidP="00024815" w:rsidRDefault="00024815" w14:paraId="30E61201" w14:textId="77777777">
      <w:pPr>
        <w:spacing w:before="0" w:after="0"/>
      </w:pPr>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024815" w14:paraId="33EA0040" w14:textId="77777777">
        <w:trPr>
          <w:tblHeader/>
          <w:jc w:val="center"/>
        </w:trPr>
        <w:tc>
          <w:tcPr>
            <w:tcW w:w="316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054D8C3B"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0B095B1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2028</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00F79EC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2029</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3692041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2030</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1AB3C61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2031</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7DC4311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2032</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6A9BD7B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2033</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77AF15F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2034</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12E99A9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2035</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26DB624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2036</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4955063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2037</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5DDC6B6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2038</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6C125A0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2039</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17150DD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2040</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1DC1EE9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2041</w:t>
            </w:r>
          </w:p>
        </w:tc>
      </w:tr>
      <w:tr w:rsidR="00024815" w14:paraId="613D6903" w14:textId="77777777">
        <w:trPr>
          <w:trHeight w:val="216" w:hRule="exact"/>
          <w:jc w:val="center"/>
        </w:trPr>
        <w:tc>
          <w:tcPr>
            <w:tcW w:w="316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3186D58"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Contribution to CPAS</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B27977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47,519,438</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8EBA46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47,206,095</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30EBEE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46,619,451</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7BED30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41,518,693</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EB279F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31,853,994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FFE3BC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31,853,994</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747C72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30,974,819</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7AF6A0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30,356,246</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F82452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29,452,358</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3A31FF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29,452,358</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40E0EE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29,452,358</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A5DF14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28,290,082</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0FF2B2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21,107,900</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828687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21,107,900</w:t>
            </w:r>
          </w:p>
        </w:tc>
      </w:tr>
      <w:tr w:rsidR="00024815" w14:paraId="6C857119"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BF27D9F"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Total Contribution to CPAS</w:t>
            </w:r>
            <w:r>
              <w:rPr>
                <w:rFonts w:ascii="Arial" w:hAnsi="DejaVu Sans" w:eastAsia="DejaVu Sans" w:cs="DejaVu Sans"/>
                <w:color w:val="000000"/>
                <w:sz w:val="14"/>
                <w:szCs w:val="14"/>
              </w:rPr>
              <w:t>‡</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0C9F4F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135,365,688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EC73DB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124,439,775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C9644F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121,723,196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BE0316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118,456,930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2D565A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107,087,680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FA8F0D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98,777,273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F2D0F2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90,588,323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EABF05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85,621,081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530F07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85,017,007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18690A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73,151,035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26814B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54,727,308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DEF4CE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44,880,495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065278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41,282,754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3A999F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39,431,070</w:t>
            </w:r>
          </w:p>
        </w:tc>
      </w:tr>
      <w:tr w:rsidR="00024815" w14:paraId="2F9055E6"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650C564"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CPAS</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3B16A2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182,885,126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842A91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171,645,870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05ED86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168,342,647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1A11F5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159,975,623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D3D303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138,941,674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F6F8A5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130,631,267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51C109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121,563,142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0B44B0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115,977,327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FAF999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114,469,365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EA449B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102,603,393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FABCD5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84,179,666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CF050E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73,170,577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A5B80E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62,390,654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36D34D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60,538,970</w:t>
            </w:r>
          </w:p>
        </w:tc>
      </w:tr>
      <w:tr w:rsidR="00024815" w14:paraId="4E703665"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F3C2AD3"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Savings</w:t>
            </w:r>
            <w:r>
              <w:rPr>
                <w:rFonts w:ascii="Arial" w:hAnsi="DejaVu Sans" w:eastAsia="DejaVu Sans" w:cs="DejaVu Sans"/>
                <w:color w:val="000000"/>
                <w:sz w:val="14"/>
                <w:szCs w:val="14"/>
              </w:rPr>
              <w:t>§</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243CB6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DDFE83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313,343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1DC7B1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586,644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26B1DE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5,100,758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26662F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9,664,700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CEF348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FBE417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879,174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0E2047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618,573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9D11BD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903,888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626218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FE1461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04B62A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1,162,276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713BF1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7,182,183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B97825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024815" w14:paraId="06926D2F"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1E3A505"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Incremental Expiring Savings||</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53E92F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22,111,871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C99325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10,925,913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C2D5CA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2,716,579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347F76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3,266,266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AEA7BE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11,369,250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09F951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8,310,407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527AD9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8,188,950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E3A19B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4,967,242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5FA8EB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604,074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84199E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11,865,972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7BB3A1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18,423,727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4B177F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9,846,813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7556F7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3,597,741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3A11AE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1,851,684</w:t>
            </w:r>
          </w:p>
        </w:tc>
      </w:tr>
      <w:tr w:rsidR="00024815" w14:paraId="5DBB5971" w14:textId="77777777">
        <w:trPr>
          <w:trHeight w:val="216" w:hRule="exact"/>
          <w:jc w:val="center"/>
        </w:trPr>
        <w:tc>
          <w:tcPr>
            <w:tcW w:w="316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3A736663"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Incremental Expiring Savings#</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782BB44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22,111,871</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3FB049E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11,239,256</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6911219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3,303,223</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5141F6B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8,367,024</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6AA3B7E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21,033,950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25D313C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8,310,407</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2DAB751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9,068,124</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25B8CAF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5,585,815</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3D4FB2C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1,507,962</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358B8EC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11,865,972</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45F26C5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18,423,727</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0033615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11,009,089</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4E28D86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10,779,924</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1002FD4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1,851,684</w:t>
            </w:r>
          </w:p>
        </w:tc>
      </w:tr>
    </w:tbl>
    <w:p w:rsidRPr="00944D07" w:rsidR="00024815" w:rsidP="00024815" w:rsidRDefault="00024815" w14:paraId="77633D48" w14:textId="77777777">
      <w:pPr>
        <w:spacing w:before="0" w:after="0"/>
      </w:pPr>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024815" w14:paraId="6C9E5618" w14:textId="77777777">
        <w:trPr>
          <w:tblHeader/>
          <w:jc w:val="center"/>
        </w:trPr>
        <w:tc>
          <w:tcPr>
            <w:tcW w:w="316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3532EF50"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FFFFFF"/>
                <w:sz w:val="14"/>
                <w:szCs w:val="14"/>
              </w:rPr>
            </w:pPr>
            <w:r>
              <w:rPr>
                <w:rFonts w:ascii="Arial" w:hAnsi="DejaVu Sans" w:eastAsia="DejaVu Sans" w:cs="DejaVu Sans"/>
                <w:color w:val="FFFFFF"/>
                <w:sz w:val="14"/>
                <w:szCs w:val="14"/>
              </w:rPr>
              <w:t>Savings Category</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7E13A92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2042</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534D15E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2043</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4F4D5B5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2044</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65B5E31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2045</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0DD58B9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2046</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545946C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2047</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7FFDCE4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2048</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46DEA52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2049</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66718CD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2050</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2D36357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2051</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13AD994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2052</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05DF09F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2053</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588E579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2054</w:t>
            </w:r>
          </w:p>
        </w:tc>
        <w:tc>
          <w:tcPr>
            <w:tcW w:w="1008" w:type="dxa"/>
            <w:tcBorders>
              <w:top w:val="single" w:color="036479" w:sz="8" w:space="0"/>
              <w:left w:val="none" w:color="000000" w:sz="0" w:space="0"/>
              <w:bottom w:val="single" w:color="93D500" w:sz="16" w:space="0"/>
              <w:right w:val="none" w:color="000000" w:sz="0" w:space="0"/>
            </w:tcBorders>
            <w:shd w:val="clear" w:color="auto" w:fill="036479"/>
            <w:tcMar>
              <w:top w:w="0" w:type="dxa"/>
              <w:left w:w="0" w:type="dxa"/>
              <w:bottom w:w="0" w:type="dxa"/>
              <w:right w:w="0" w:type="dxa"/>
            </w:tcMar>
            <w:vAlign w:val="bottom"/>
          </w:tcPr>
          <w:p w:rsidR="00024815" w:rsidRDefault="00024815" w14:paraId="67C4312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FFFFFF"/>
                <w:sz w:val="14"/>
                <w:szCs w:val="14"/>
              </w:rPr>
            </w:pPr>
            <w:r>
              <w:rPr>
                <w:rFonts w:ascii="Arial" w:hAnsi="DejaVu Sans" w:eastAsia="DejaVu Sans" w:cs="DejaVu Sans"/>
                <w:color w:val="FFFFFF"/>
                <w:sz w:val="14"/>
                <w:szCs w:val="14"/>
              </w:rPr>
              <w:t>2055</w:t>
            </w:r>
          </w:p>
        </w:tc>
      </w:tr>
      <w:tr w:rsidR="00024815" w14:paraId="49245417" w14:textId="77777777">
        <w:trPr>
          <w:trHeight w:val="216" w:hRule="exact"/>
          <w:jc w:val="center"/>
        </w:trPr>
        <w:tc>
          <w:tcPr>
            <w:tcW w:w="316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159C803"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Total Contribution to CPAS</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C5AE72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21,107,900</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66237E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21,107,900</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10875D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20,663,793</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C9E4EF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20,663,793</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0473B1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20,663,793</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7B3720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20,663,793</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A2A034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20,663,793</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8CCB65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19,406,268</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07C625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19,406,268</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ED4FCD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19,406,268</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BF5AE0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19,406,268</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B21690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19,406,268</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BC622E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93D500" w:sz="16"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B34F19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024815" w14:paraId="3D86D2FB"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1BADF55"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Total Contribution to CPAS</w:t>
            </w:r>
            <w:r>
              <w:rPr>
                <w:rFonts w:ascii="Arial" w:hAnsi="DejaVu Sans" w:eastAsia="DejaVu Sans" w:cs="DejaVu Sans"/>
                <w:color w:val="000000"/>
                <w:sz w:val="14"/>
                <w:szCs w:val="14"/>
              </w:rPr>
              <w:t>‡</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91685B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27,178,534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0147C0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7,260,171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CE7A58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4,286,437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DC6560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1,419,454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CE0440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924,249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29EC4C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924,249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FF06A1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5223BE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D622247"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8C9F18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644C6D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78D731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885D1D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0CEEDD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p>
        </w:tc>
      </w:tr>
      <w:tr w:rsidR="00024815" w14:paraId="3E7FC96E"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858AF69"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CPAS</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D4E533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48,286,434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0DC545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28,368,071</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F9CF10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24,950,230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2D6E4A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22,083,247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90E5EA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21,588,042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751851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21,588,042</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D6C3A3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20,663,793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C0349C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19,406,268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531DE1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19,406,268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522C65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19,406,268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21EEBB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19,406,268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745A09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19,406,268</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52EF49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56AD52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024815" w14:paraId="4C3B1CA1"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475F4465"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CY2024 Program Incremental Expiring Savings</w:t>
            </w:r>
            <w:r>
              <w:rPr>
                <w:rFonts w:ascii="Arial" w:hAnsi="DejaVu Sans" w:eastAsia="DejaVu Sans" w:cs="DejaVu Sans"/>
                <w:color w:val="000000"/>
                <w:sz w:val="14"/>
                <w:szCs w:val="14"/>
              </w:rPr>
              <w:t>§</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CCFC2D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971838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2CF7CF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444,107</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CFA5FB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C376BC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52E0828"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31FBCB1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3AADBB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1,257,525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CBAE0D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850027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07AE31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5671072"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986946" w14:paraId="6DEEC180" w14:textId="377D7813">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986946" w14:paraId="7B822E67" w14:textId="7ABF6494">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024815" w14:paraId="40E71361" w14:textId="77777777">
        <w:trPr>
          <w:trHeight w:val="216" w:hRule="exact"/>
          <w:jc w:val="center"/>
        </w:trPr>
        <w:tc>
          <w:tcPr>
            <w:tcW w:w="316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2C62608"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Historic Program Incremental Expiring Savings||</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6ADB6B4"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12,252,536</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147014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19,918,363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7C085A6D"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2,973,734</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78207C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2,866,983</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2721539"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495,205</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DA4E5B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6A0CF47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924,249</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E0C8F4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12E10975"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5E349A9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31C02A1"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049D978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CCBFDD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B3EFFD" w:sz="8" w:space="0"/>
              <w:right w:val="none" w:color="000000" w:sz="0" w:space="0"/>
            </w:tcBorders>
            <w:shd w:val="clear" w:color="auto" w:fill="FFFFFF"/>
            <w:tcMar>
              <w:top w:w="0" w:type="dxa"/>
              <w:left w:w="0" w:type="dxa"/>
              <w:bottom w:w="0" w:type="dxa"/>
              <w:right w:w="0" w:type="dxa"/>
            </w:tcMar>
            <w:vAlign w:val="center"/>
          </w:tcPr>
          <w:p w:rsidR="00024815" w:rsidRDefault="00024815" w14:paraId="28D650D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r w:rsidR="00024815" w14:paraId="10C1B839" w14:textId="77777777">
        <w:trPr>
          <w:trHeight w:val="216" w:hRule="exact"/>
          <w:jc w:val="center"/>
        </w:trPr>
        <w:tc>
          <w:tcPr>
            <w:tcW w:w="316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7BDF4594" w14:textId="77777777">
            <w:pPr>
              <w:pBdr>
                <w:top w:val="none" w:color="000000" w:sz="0" w:space="0"/>
                <w:left w:val="none" w:color="000000" w:sz="0" w:space="0"/>
                <w:bottom w:val="none" w:color="000000" w:sz="0" w:space="0"/>
                <w:right w:val="none" w:color="000000" w:sz="0" w:space="0"/>
              </w:pBdr>
              <w:spacing w:before="3" w:after="3"/>
              <w:ind w:left="3" w:right="3"/>
              <w:rPr>
                <w:rFonts w:ascii="Arial" w:hAnsi="DejaVu Sans" w:eastAsia="DejaVu Sans" w:cs="DejaVu Sans"/>
                <w:color w:val="000000"/>
                <w:sz w:val="14"/>
                <w:szCs w:val="14"/>
              </w:rPr>
            </w:pPr>
            <w:r>
              <w:rPr>
                <w:rFonts w:ascii="Arial" w:hAnsi="DejaVu Sans" w:eastAsia="DejaVu Sans" w:cs="DejaVu Sans"/>
                <w:color w:val="000000"/>
                <w:sz w:val="14"/>
                <w:szCs w:val="14"/>
              </w:rPr>
              <w:t>Program Total Incremental Expiring Savings#</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3F7D3AB3"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12,252,536</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4241A94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19,918,363</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6C084190"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3,417,841</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13C82EAC"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2,866,983</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01B32B9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495,205</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519D098A"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1083D55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924,249</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2C9D46A6"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1,257,525</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28AC1D6E"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6DF1D79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71E93C8F"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024815" w14:paraId="1BC51F7B" w14:textId="77777777">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986946" w14:paraId="745569F4" w14:textId="7BFAB8D1">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c>
          <w:tcPr>
            <w:tcW w:w="1008" w:type="dxa"/>
            <w:tcBorders>
              <w:top w:val="single" w:color="B3EFFD" w:sz="8" w:space="0"/>
              <w:left w:val="none" w:color="000000" w:sz="0" w:space="0"/>
              <w:bottom w:val="single" w:color="036479" w:sz="16" w:space="0"/>
              <w:right w:val="none" w:color="000000" w:sz="0" w:space="0"/>
            </w:tcBorders>
            <w:shd w:val="clear" w:color="auto" w:fill="FFFFFF"/>
            <w:tcMar>
              <w:top w:w="0" w:type="dxa"/>
              <w:left w:w="0" w:type="dxa"/>
              <w:bottom w:w="0" w:type="dxa"/>
              <w:right w:w="0" w:type="dxa"/>
            </w:tcMar>
            <w:vAlign w:val="center"/>
          </w:tcPr>
          <w:p w:rsidR="00024815" w:rsidRDefault="00986946" w14:paraId="0BCE9F4B" w14:textId="2F6AAE14">
            <w:pPr>
              <w:pBdr>
                <w:top w:val="none" w:color="000000" w:sz="0" w:space="0"/>
                <w:left w:val="none" w:color="000000" w:sz="0" w:space="0"/>
                <w:bottom w:val="none" w:color="000000" w:sz="0" w:space="0"/>
                <w:right w:val="none" w:color="000000" w:sz="0" w:space="0"/>
              </w:pBdr>
              <w:spacing w:before="3" w:after="3"/>
              <w:ind w:left="3" w:right="3"/>
              <w:jc w:val="right"/>
              <w:rPr>
                <w:rFonts w:ascii="Arial" w:hAnsi="DejaVu Sans" w:eastAsia="DejaVu Sans" w:cs="DejaVu Sans"/>
                <w:color w:val="000000"/>
                <w:sz w:val="14"/>
                <w:szCs w:val="14"/>
              </w:rPr>
            </w:pPr>
            <w:r>
              <w:rPr>
                <w:rFonts w:ascii="Arial" w:hAnsi="DejaVu Sans" w:eastAsia="DejaVu Sans" w:cs="DejaVu Sans"/>
                <w:color w:val="000000"/>
                <w:sz w:val="14"/>
                <w:szCs w:val="14"/>
              </w:rPr>
              <w:t>0</w:t>
            </w:r>
          </w:p>
        </w:tc>
      </w:tr>
    </w:tbl>
    <w:p w:rsidRPr="00C34E77" w:rsidR="00024815" w:rsidP="00024815" w:rsidRDefault="00024815" w14:paraId="72C50A1E" w14:textId="77777777">
      <w:pPr>
        <w:pStyle w:val="TableFigureNote"/>
      </w:pPr>
      <w:r w:rsidRPr="00C34E77">
        <w:rPr>
          <w:rFonts w:eastAsiaTheme="minorEastAsia"/>
        </w:rPr>
        <w:t>† Lifetime savings are the sum of CPAS savings through the EUL.</w:t>
      </w:r>
    </w:p>
    <w:p w:rsidRPr="00C34E77" w:rsidR="00024815" w:rsidP="00024815" w:rsidRDefault="00024815" w14:paraId="0C220F92" w14:textId="77777777">
      <w:pPr>
        <w:pStyle w:val="TableFigureNote"/>
      </w:pPr>
      <w:r w:rsidRPr="00C34E77">
        <w:rPr>
          <w:rFonts w:eastAsiaTheme="minorEastAsia"/>
        </w:rPr>
        <w:t xml:space="preserve">‡ Historical savings go back to CY2018. </w:t>
      </w:r>
    </w:p>
    <w:p w:rsidRPr="00C34E77" w:rsidR="00024815" w:rsidP="00024815" w:rsidRDefault="00024815" w14:paraId="11BC1275" w14:textId="77777777">
      <w:pPr>
        <w:pStyle w:val="TableFigureNote"/>
      </w:pPr>
      <w:r w:rsidRPr="00C34E77">
        <w:rPr>
          <w:rFonts w:eastAsiaTheme="minorEastAsia"/>
        </w:rPr>
        <w:t>§ Incremental expiring savings are equal to CPAS Yn-1 - CPAS Yn.</w:t>
      </w:r>
    </w:p>
    <w:p w:rsidRPr="00C34E77" w:rsidR="00024815" w:rsidP="00024815" w:rsidRDefault="00024815" w14:paraId="771CD1BE" w14:textId="77777777">
      <w:pPr>
        <w:pStyle w:val="TableFigureNote"/>
      </w:pPr>
      <w:r w:rsidRPr="00C34E77">
        <w:rPr>
          <w:rFonts w:eastAsiaTheme="minorEastAsia"/>
        </w:rPr>
        <w:t>|| Historic incremental expiring savings are equal to Historic CPAS Yn-1 – Historic CPAS Yn.</w:t>
      </w:r>
    </w:p>
    <w:p w:rsidRPr="00C34E77" w:rsidR="00024815" w:rsidP="00024815" w:rsidRDefault="00024815" w14:paraId="27A74B8E" w14:textId="77777777">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rsidR="00024815" w:rsidP="00024815" w:rsidRDefault="00024815" w14:paraId="580A3EDB" w14:textId="77777777">
      <w:pPr>
        <w:pStyle w:val="TableFigureSource"/>
      </w:pPr>
      <w:r>
        <w:t>Source: Evaluation team analysis</w:t>
      </w:r>
    </w:p>
    <w:p w:rsidRPr="00BB1B40" w:rsidR="001D7722" w:rsidP="009832DB" w:rsidRDefault="001D7722" w14:paraId="01A73991" w14:textId="2E29D6EA">
      <w:pPr>
        <w:pStyle w:val="BodyText"/>
      </w:pPr>
    </w:p>
    <w:sectPr w:rsidRPr="00BB1B40" w:rsidR="001D7722" w:rsidSect="00782912">
      <w:pgSz w:w="20160" w:h="12240" w:orient="landscape" w:code="5"/>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83D61" w:rsidRDefault="00B83D61" w14:paraId="1E3572E7" w14:textId="77777777">
      <w:pPr>
        <w:spacing w:before="0" w:after="0"/>
      </w:pPr>
      <w:r>
        <w:separator/>
      </w:r>
    </w:p>
  </w:endnote>
  <w:endnote w:type="continuationSeparator" w:id="0">
    <w:p w:rsidR="00B83D61" w:rsidRDefault="00B83D61" w14:paraId="40BCF1F6" w14:textId="77777777">
      <w:pPr>
        <w:spacing w:before="0" w:after="0"/>
      </w:pPr>
      <w:r>
        <w:continuationSeparator/>
      </w:r>
    </w:p>
  </w:endnote>
  <w:endnote w:type="continuationNotice" w:id="1">
    <w:p w:rsidR="00B83D61" w:rsidRDefault="00B83D61" w14:paraId="7E4F7A07"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dotted" w:color="DC6900" w:sz="4" w:space="0"/>
        <w:left w:val="dotted" w:color="DC6900" w:sz="4" w:space="0"/>
      </w:tblBorders>
      <w:tblLayout w:type="fixed"/>
      <w:tblCellMar>
        <w:left w:w="58" w:type="dxa"/>
        <w:right w:w="58" w:type="dxa"/>
      </w:tblCellMar>
      <w:tblLook w:val="01E0" w:firstRow="1" w:lastRow="1" w:firstColumn="1" w:lastColumn="1" w:noHBand="0" w:noVBand="0"/>
    </w:tblPr>
    <w:tblGrid>
      <w:gridCol w:w="6681"/>
      <w:gridCol w:w="2679"/>
    </w:tblGrid>
    <w:tr w:rsidRPr="00582062" w:rsidR="00000000" w14:paraId="4CD7D91E" w14:textId="77777777">
      <w:trPr>
        <w:trHeight w:val="144"/>
        <w:jc w:val="center"/>
      </w:trPr>
      <w:tc>
        <w:tcPr>
          <w:tcW w:w="7200" w:type="dxa"/>
          <w:tcBorders>
            <w:top w:val="single" w:color="8C8C8C" w:sz="8" w:space="0"/>
            <w:left w:val="nil"/>
            <w:bottom w:val="nil"/>
          </w:tcBorders>
        </w:tcPr>
        <w:p w:rsidRPr="00582062" w:rsidR="007375C6" w:rsidRDefault="007375C6" w14:paraId="476B4562" w14:textId="77777777">
          <w:pPr>
            <w:pStyle w:val="Footer"/>
            <w:spacing w:before="120"/>
            <w:rPr>
              <w:sz w:val="2"/>
              <w:szCs w:val="2"/>
            </w:rPr>
          </w:pPr>
        </w:p>
      </w:tc>
      <w:tc>
        <w:tcPr>
          <w:tcW w:w="2880" w:type="dxa"/>
          <w:tcBorders>
            <w:top w:val="single" w:color="8C8C8C" w:sz="8" w:space="0"/>
          </w:tcBorders>
        </w:tcPr>
        <w:p w:rsidRPr="00582062" w:rsidR="007375C6" w:rsidRDefault="007375C6" w14:paraId="7951A946" w14:textId="77777777">
          <w:pPr>
            <w:pStyle w:val="Footer"/>
            <w:spacing w:before="120"/>
            <w:jc w:val="right"/>
            <w:rPr>
              <w:sz w:val="2"/>
              <w:szCs w:val="2"/>
            </w:rPr>
          </w:pPr>
        </w:p>
      </w:tc>
    </w:tr>
    <w:tr w:rsidRPr="00EA2FA5" w:rsidR="00000000" w14:paraId="401D6F03" w14:textId="77777777">
      <w:trPr>
        <w:trHeight w:val="195"/>
        <w:jc w:val="center"/>
      </w:trPr>
      <w:tc>
        <w:tcPr>
          <w:tcW w:w="7200" w:type="dxa"/>
          <w:tcBorders>
            <w:top w:val="nil"/>
            <w:left w:val="nil"/>
          </w:tcBorders>
          <w:vAlign w:val="center"/>
        </w:tcPr>
        <w:p w:rsidRPr="0075421C" w:rsidR="007375C6" w:rsidRDefault="00B278E9" w14:paraId="0FB122F3" w14:textId="13D0A9B5">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rsidRPr="0075421C" w:rsidR="007375C6" w:rsidRDefault="007375C6" w14:paraId="19968FF5" w14:textId="66489DDF">
          <w:pPr>
            <w:pStyle w:val="Footer"/>
            <w:jc w:val="right"/>
            <w:rPr>
              <w:rStyle w:val="PageNumber"/>
              <w:sz w:val="18"/>
            </w:rPr>
          </w:pPr>
        </w:p>
      </w:tc>
    </w:tr>
  </w:tbl>
  <w:p w:rsidRPr="000C64C5" w:rsidR="007375C6" w:rsidRDefault="007375C6" w14:paraId="4438AB18" w14:textId="77777777">
    <w:pPr>
      <w:pStyle w:val="Footer"/>
      <w:ind w:right="360"/>
      <w:rPr>
        <w:sz w:val="2"/>
        <w:szCs w:val="2"/>
      </w:rPr>
    </w:pPr>
  </w:p>
  <w:p w:rsidRPr="008B6585" w:rsidR="007375C6" w:rsidRDefault="007375C6" w14:paraId="4D088BDD" w14:textId="77777777">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dotted" w:color="DC6900" w:sz="4" w:space="0"/>
        <w:left w:val="dotted" w:color="DC6900" w:sz="4" w:space="0"/>
      </w:tblBorders>
      <w:tblLayout w:type="fixed"/>
      <w:tblCellMar>
        <w:left w:w="58" w:type="dxa"/>
        <w:right w:w="58" w:type="dxa"/>
      </w:tblCellMar>
      <w:tblLook w:val="01E0" w:firstRow="1" w:lastRow="1" w:firstColumn="1" w:lastColumn="1" w:noHBand="0" w:noVBand="0"/>
    </w:tblPr>
    <w:tblGrid>
      <w:gridCol w:w="6681"/>
      <w:gridCol w:w="2679"/>
    </w:tblGrid>
    <w:tr w:rsidRPr="00582062" w:rsidR="008E7947" w14:paraId="61B00D56" w14:textId="77777777">
      <w:trPr>
        <w:trHeight w:val="144"/>
        <w:jc w:val="center"/>
      </w:trPr>
      <w:tc>
        <w:tcPr>
          <w:tcW w:w="7200" w:type="dxa"/>
          <w:tcBorders>
            <w:top w:val="single" w:color="8C8C8C" w:sz="8" w:space="0"/>
            <w:left w:val="nil"/>
            <w:bottom w:val="nil"/>
          </w:tcBorders>
        </w:tcPr>
        <w:p w:rsidRPr="00582062" w:rsidR="008E7947" w:rsidRDefault="008E7947" w14:paraId="0328ED45" w14:textId="77777777">
          <w:pPr>
            <w:pStyle w:val="Footer"/>
            <w:spacing w:before="120"/>
            <w:rPr>
              <w:sz w:val="2"/>
              <w:szCs w:val="2"/>
            </w:rPr>
          </w:pPr>
        </w:p>
      </w:tc>
      <w:tc>
        <w:tcPr>
          <w:tcW w:w="2880" w:type="dxa"/>
          <w:tcBorders>
            <w:top w:val="single" w:color="8C8C8C" w:sz="8" w:space="0"/>
          </w:tcBorders>
        </w:tcPr>
        <w:p w:rsidRPr="00582062" w:rsidR="008E7947" w:rsidRDefault="008E7947" w14:paraId="54231A2D" w14:textId="77777777">
          <w:pPr>
            <w:pStyle w:val="Footer"/>
            <w:spacing w:before="120"/>
            <w:jc w:val="right"/>
            <w:rPr>
              <w:sz w:val="2"/>
              <w:szCs w:val="2"/>
            </w:rPr>
          </w:pPr>
        </w:p>
      </w:tc>
    </w:tr>
    <w:tr w:rsidRPr="00EA2FA5" w:rsidR="008E7947" w14:paraId="3519137D" w14:textId="77777777">
      <w:trPr>
        <w:trHeight w:val="195"/>
        <w:jc w:val="center"/>
      </w:trPr>
      <w:tc>
        <w:tcPr>
          <w:tcW w:w="7200" w:type="dxa"/>
          <w:tcBorders>
            <w:top w:val="nil"/>
            <w:left w:val="nil"/>
          </w:tcBorders>
          <w:vAlign w:val="center"/>
        </w:tcPr>
        <w:p w:rsidRPr="0075421C" w:rsidR="008E7947" w:rsidRDefault="008E7947" w14:paraId="39FC76AE" w14:textId="77777777">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rsidRPr="0075421C" w:rsidR="008E7947" w:rsidRDefault="008E7947" w14:paraId="2561D445" w14:textId="1E2B4059">
          <w:pPr>
            <w:pStyle w:val="Footer"/>
            <w:jc w:val="right"/>
            <w:rPr>
              <w:rStyle w:val="PageNumber"/>
              <w:sz w:val="18"/>
            </w:rPr>
          </w:pPr>
        </w:p>
      </w:tc>
    </w:tr>
  </w:tbl>
  <w:p w:rsidRPr="000C64C5" w:rsidR="008E7947" w:rsidRDefault="008E7947" w14:paraId="1E0D73A3" w14:textId="77777777">
    <w:pPr>
      <w:pStyle w:val="Footer"/>
      <w:ind w:right="360"/>
      <w:rPr>
        <w:sz w:val="2"/>
        <w:szCs w:val="2"/>
      </w:rPr>
    </w:pPr>
  </w:p>
  <w:p w:rsidRPr="008B6585" w:rsidR="008E7947" w:rsidRDefault="008E7947" w14:paraId="0519E3CC" w14:textId="77777777">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dotted" w:color="DC6900" w:sz="4" w:space="0"/>
        <w:left w:val="dotted" w:color="DC6900" w:sz="4" w:space="0"/>
      </w:tblBorders>
      <w:tblLayout w:type="fixed"/>
      <w:tblCellMar>
        <w:left w:w="58" w:type="dxa"/>
        <w:right w:w="58" w:type="dxa"/>
      </w:tblCellMar>
      <w:tblLook w:val="01E0" w:firstRow="1" w:lastRow="1" w:firstColumn="1" w:lastColumn="1" w:noHBand="0" w:noVBand="0"/>
    </w:tblPr>
    <w:tblGrid>
      <w:gridCol w:w="6681"/>
      <w:gridCol w:w="2679"/>
    </w:tblGrid>
    <w:tr w:rsidRPr="00582062" w:rsidR="00676301" w14:paraId="7A82ECF2" w14:textId="77777777">
      <w:trPr>
        <w:trHeight w:val="144"/>
        <w:jc w:val="center"/>
      </w:trPr>
      <w:tc>
        <w:tcPr>
          <w:tcW w:w="7200" w:type="dxa"/>
          <w:tcBorders>
            <w:top w:val="single" w:color="8C8C8C" w:sz="8" w:space="0"/>
            <w:left w:val="nil"/>
            <w:bottom w:val="nil"/>
          </w:tcBorders>
        </w:tcPr>
        <w:p w:rsidRPr="00582062" w:rsidR="00676301" w:rsidRDefault="00676301" w14:paraId="3115433F" w14:textId="77777777">
          <w:pPr>
            <w:pStyle w:val="Footer"/>
            <w:spacing w:before="120"/>
            <w:rPr>
              <w:sz w:val="2"/>
              <w:szCs w:val="2"/>
            </w:rPr>
          </w:pPr>
        </w:p>
      </w:tc>
      <w:tc>
        <w:tcPr>
          <w:tcW w:w="2880" w:type="dxa"/>
          <w:tcBorders>
            <w:top w:val="single" w:color="8C8C8C" w:sz="8" w:space="0"/>
          </w:tcBorders>
        </w:tcPr>
        <w:p w:rsidRPr="00582062" w:rsidR="00676301" w:rsidRDefault="00676301" w14:paraId="17C1A27A" w14:textId="77777777">
          <w:pPr>
            <w:pStyle w:val="Footer"/>
            <w:spacing w:before="120"/>
            <w:jc w:val="right"/>
            <w:rPr>
              <w:sz w:val="2"/>
              <w:szCs w:val="2"/>
            </w:rPr>
          </w:pPr>
        </w:p>
      </w:tc>
    </w:tr>
    <w:tr w:rsidRPr="00EA2FA5" w:rsidR="00676301" w14:paraId="3406771C" w14:textId="77777777">
      <w:trPr>
        <w:trHeight w:val="195"/>
        <w:jc w:val="center"/>
      </w:trPr>
      <w:tc>
        <w:tcPr>
          <w:tcW w:w="7200" w:type="dxa"/>
          <w:tcBorders>
            <w:top w:val="nil"/>
            <w:left w:val="nil"/>
          </w:tcBorders>
          <w:vAlign w:val="center"/>
        </w:tcPr>
        <w:p w:rsidRPr="0075421C" w:rsidR="00676301" w:rsidRDefault="00676301" w14:paraId="0BC8FCD3" w14:textId="77777777">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rsidRPr="0075421C" w:rsidR="00676301" w:rsidRDefault="00676301" w14:paraId="3897D656" w14:textId="77777777">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rsidRPr="000C64C5" w:rsidR="00676301" w:rsidRDefault="00676301" w14:paraId="77144D27" w14:textId="77777777">
    <w:pPr>
      <w:pStyle w:val="Footer"/>
      <w:ind w:right="360"/>
      <w:rPr>
        <w:sz w:val="2"/>
        <w:szCs w:val="2"/>
      </w:rPr>
    </w:pPr>
  </w:p>
  <w:p w:rsidRPr="008B6585" w:rsidR="00676301" w:rsidRDefault="00676301" w14:paraId="60E0C528" w14:textId="77777777">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dotted" w:color="DC6900" w:sz="4" w:space="0"/>
        <w:left w:val="dotted" w:color="DC6900" w:sz="4" w:space="0"/>
      </w:tblBorders>
      <w:tblLayout w:type="fixed"/>
      <w:tblCellMar>
        <w:left w:w="58" w:type="dxa"/>
        <w:right w:w="58" w:type="dxa"/>
      </w:tblCellMar>
      <w:tblLook w:val="01E0" w:firstRow="1" w:lastRow="1" w:firstColumn="1" w:lastColumn="1" w:noHBand="0" w:noVBand="0"/>
    </w:tblPr>
    <w:tblGrid>
      <w:gridCol w:w="12343"/>
      <w:gridCol w:w="4937"/>
    </w:tblGrid>
    <w:tr w:rsidRPr="00582062" w:rsidR="00000000" w14:paraId="3D2E2342" w14:textId="77777777">
      <w:trPr>
        <w:trHeight w:val="144"/>
        <w:jc w:val="center"/>
      </w:trPr>
      <w:tc>
        <w:tcPr>
          <w:tcW w:w="7200" w:type="dxa"/>
          <w:tcBorders>
            <w:top w:val="single" w:color="8C8C8C" w:sz="8" w:space="0"/>
            <w:left w:val="nil"/>
            <w:bottom w:val="nil"/>
          </w:tcBorders>
        </w:tcPr>
        <w:p w:rsidRPr="00582062" w:rsidR="007375C6" w:rsidP="008821D3" w:rsidRDefault="007375C6" w14:paraId="2D6E4A1B" w14:textId="77777777">
          <w:pPr>
            <w:pStyle w:val="Footer"/>
            <w:spacing w:before="120"/>
            <w:jc w:val="center"/>
            <w:rPr>
              <w:sz w:val="2"/>
              <w:szCs w:val="2"/>
            </w:rPr>
          </w:pPr>
        </w:p>
      </w:tc>
      <w:tc>
        <w:tcPr>
          <w:tcW w:w="2880" w:type="dxa"/>
          <w:tcBorders>
            <w:top w:val="single" w:color="8C8C8C" w:sz="8" w:space="0"/>
          </w:tcBorders>
        </w:tcPr>
        <w:p w:rsidRPr="00582062" w:rsidR="007375C6" w:rsidP="008821D3" w:rsidRDefault="007375C6" w14:paraId="7B1DB177" w14:textId="77777777">
          <w:pPr>
            <w:pStyle w:val="Footer"/>
            <w:spacing w:before="120"/>
            <w:jc w:val="center"/>
            <w:rPr>
              <w:sz w:val="2"/>
              <w:szCs w:val="2"/>
            </w:rPr>
          </w:pPr>
        </w:p>
      </w:tc>
    </w:tr>
    <w:tr w:rsidRPr="00EA2FA5" w:rsidR="00000000" w14:paraId="294BE5C8" w14:textId="77777777">
      <w:trPr>
        <w:trHeight w:val="195"/>
        <w:jc w:val="center"/>
      </w:trPr>
      <w:tc>
        <w:tcPr>
          <w:tcW w:w="7200" w:type="dxa"/>
          <w:tcBorders>
            <w:top w:val="nil"/>
            <w:left w:val="nil"/>
          </w:tcBorders>
          <w:vAlign w:val="center"/>
        </w:tcPr>
        <w:p w:rsidRPr="0075421C" w:rsidR="007375C6" w:rsidP="004D3EF5" w:rsidRDefault="00B278E9" w14:paraId="2E0B6CBA" w14:textId="77777777">
          <w:pPr>
            <w:pStyle w:val="Footer"/>
            <w:jc w:val="cen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rsidRPr="0075421C" w:rsidR="007375C6" w:rsidP="004D3EF5" w:rsidRDefault="00B278E9" w14:paraId="0756D592" w14:textId="77777777">
          <w:pPr>
            <w:pStyle w:val="Footer"/>
            <w:jc w:val="center"/>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rsidRPr="000C64C5" w:rsidR="007375C6" w:rsidP="004D3EF5" w:rsidRDefault="007375C6" w14:paraId="5FBAF5C8" w14:textId="77777777">
    <w:pPr>
      <w:pStyle w:val="Footer"/>
      <w:ind w:right="360"/>
      <w:jc w:val="center"/>
      <w:rPr>
        <w:sz w:val="2"/>
        <w:szCs w:val="2"/>
      </w:rPr>
    </w:pPr>
  </w:p>
  <w:p w:rsidRPr="008B6585" w:rsidR="007375C6" w:rsidP="008821D3" w:rsidRDefault="007375C6" w14:paraId="2273E87A" w14:textId="77777777">
    <w:pPr>
      <w:pStyle w:val="Footer"/>
      <w:jc w:val="cen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dotted" w:color="DC6900" w:sz="4" w:space="0"/>
        <w:left w:val="dotted" w:color="DC6900" w:sz="4" w:space="0"/>
      </w:tblBorders>
      <w:tblLayout w:type="fixed"/>
      <w:tblCellMar>
        <w:left w:w="58" w:type="dxa"/>
        <w:right w:w="58" w:type="dxa"/>
      </w:tblCellMar>
      <w:tblLook w:val="01E0" w:firstRow="1" w:lastRow="1" w:firstColumn="1" w:lastColumn="1" w:noHBand="0" w:noVBand="0"/>
    </w:tblPr>
    <w:tblGrid>
      <w:gridCol w:w="6681"/>
      <w:gridCol w:w="2679"/>
    </w:tblGrid>
    <w:tr w:rsidRPr="00582062" w:rsidR="00C248AE" w14:paraId="3945B7FE" w14:textId="77777777">
      <w:trPr>
        <w:trHeight w:val="144"/>
        <w:jc w:val="center"/>
      </w:trPr>
      <w:tc>
        <w:tcPr>
          <w:tcW w:w="7200" w:type="dxa"/>
          <w:tcBorders>
            <w:top w:val="single" w:color="8C8C8C" w:sz="8" w:space="0"/>
            <w:left w:val="nil"/>
            <w:bottom w:val="nil"/>
          </w:tcBorders>
        </w:tcPr>
        <w:p w:rsidRPr="00582062" w:rsidR="00C248AE" w:rsidP="008821D3" w:rsidRDefault="00C248AE" w14:paraId="4C8F4FF6" w14:textId="77777777">
          <w:pPr>
            <w:pStyle w:val="Footer"/>
            <w:spacing w:before="120"/>
            <w:jc w:val="center"/>
            <w:rPr>
              <w:sz w:val="2"/>
              <w:szCs w:val="2"/>
            </w:rPr>
          </w:pPr>
        </w:p>
      </w:tc>
      <w:tc>
        <w:tcPr>
          <w:tcW w:w="2880" w:type="dxa"/>
          <w:tcBorders>
            <w:top w:val="single" w:color="8C8C8C" w:sz="8" w:space="0"/>
          </w:tcBorders>
        </w:tcPr>
        <w:p w:rsidRPr="00582062" w:rsidR="00C248AE" w:rsidP="008821D3" w:rsidRDefault="00C248AE" w14:paraId="30FB71B3" w14:textId="77777777">
          <w:pPr>
            <w:pStyle w:val="Footer"/>
            <w:spacing w:before="120"/>
            <w:jc w:val="center"/>
            <w:rPr>
              <w:sz w:val="2"/>
              <w:szCs w:val="2"/>
            </w:rPr>
          </w:pPr>
        </w:p>
      </w:tc>
    </w:tr>
    <w:tr w:rsidRPr="00EA2FA5" w:rsidR="00C248AE" w14:paraId="354577DE" w14:textId="77777777">
      <w:trPr>
        <w:trHeight w:val="195"/>
        <w:jc w:val="center"/>
      </w:trPr>
      <w:tc>
        <w:tcPr>
          <w:tcW w:w="7200" w:type="dxa"/>
          <w:tcBorders>
            <w:top w:val="nil"/>
            <w:left w:val="nil"/>
          </w:tcBorders>
          <w:vAlign w:val="center"/>
        </w:tcPr>
        <w:p w:rsidRPr="0075421C" w:rsidR="00C248AE" w:rsidP="004D3EF5" w:rsidRDefault="00C248AE" w14:paraId="42B06E8E" w14:textId="77777777">
          <w:pPr>
            <w:pStyle w:val="Footer"/>
            <w:jc w:val="cen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rsidRPr="0075421C" w:rsidR="00C248AE" w:rsidP="004D3EF5" w:rsidRDefault="00C248AE" w14:paraId="058E0AEA" w14:textId="77777777">
          <w:pPr>
            <w:pStyle w:val="Footer"/>
            <w:jc w:val="center"/>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rsidRPr="000C64C5" w:rsidR="00C248AE" w:rsidP="004D3EF5" w:rsidRDefault="00C248AE" w14:paraId="451456B7" w14:textId="77777777">
    <w:pPr>
      <w:pStyle w:val="Footer"/>
      <w:ind w:right="360"/>
      <w:jc w:val="center"/>
      <w:rPr>
        <w:sz w:val="2"/>
        <w:szCs w:val="2"/>
      </w:rPr>
    </w:pPr>
  </w:p>
  <w:p w:rsidRPr="008B6585" w:rsidR="00C248AE" w:rsidP="008821D3" w:rsidRDefault="00C248AE" w14:paraId="384F86DE" w14:textId="77777777">
    <w:pPr>
      <w:pStyle w:val="Footer"/>
      <w:jc w:val="cen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dotted" w:color="DC6900" w:sz="4" w:space="0"/>
        <w:left w:val="dotted" w:color="DC6900" w:sz="4" w:space="0"/>
      </w:tblBorders>
      <w:tblLayout w:type="fixed"/>
      <w:tblCellMar>
        <w:left w:w="58" w:type="dxa"/>
        <w:right w:w="58" w:type="dxa"/>
      </w:tblCellMar>
      <w:tblLook w:val="01E0" w:firstRow="1" w:lastRow="1" w:firstColumn="1" w:lastColumn="1" w:noHBand="0" w:noVBand="0"/>
    </w:tblPr>
    <w:tblGrid>
      <w:gridCol w:w="12343"/>
      <w:gridCol w:w="4937"/>
    </w:tblGrid>
    <w:tr w:rsidRPr="00582062" w:rsidR="00000000" w14:paraId="79B973A0" w14:textId="77777777">
      <w:trPr>
        <w:trHeight w:val="144"/>
        <w:jc w:val="center"/>
      </w:trPr>
      <w:tc>
        <w:tcPr>
          <w:tcW w:w="7200" w:type="dxa"/>
          <w:tcBorders>
            <w:top w:val="single" w:color="8C8C8C" w:sz="8" w:space="0"/>
            <w:left w:val="nil"/>
            <w:bottom w:val="nil"/>
          </w:tcBorders>
        </w:tcPr>
        <w:p w:rsidRPr="00582062" w:rsidR="007375C6" w:rsidRDefault="007375C6" w14:paraId="0504E8B2" w14:textId="77777777">
          <w:pPr>
            <w:pStyle w:val="Footer"/>
            <w:spacing w:before="120"/>
            <w:rPr>
              <w:sz w:val="2"/>
              <w:szCs w:val="2"/>
            </w:rPr>
          </w:pPr>
        </w:p>
      </w:tc>
      <w:tc>
        <w:tcPr>
          <w:tcW w:w="2880" w:type="dxa"/>
          <w:tcBorders>
            <w:top w:val="single" w:color="8C8C8C" w:sz="8" w:space="0"/>
          </w:tcBorders>
        </w:tcPr>
        <w:p w:rsidRPr="00582062" w:rsidR="007375C6" w:rsidRDefault="007375C6" w14:paraId="285FAE96" w14:textId="77777777">
          <w:pPr>
            <w:pStyle w:val="Footer"/>
            <w:spacing w:before="120"/>
            <w:jc w:val="right"/>
            <w:rPr>
              <w:sz w:val="2"/>
              <w:szCs w:val="2"/>
            </w:rPr>
          </w:pPr>
        </w:p>
      </w:tc>
    </w:tr>
    <w:tr w:rsidRPr="00EA2FA5" w:rsidR="00000000" w14:paraId="439E49B1" w14:textId="77777777">
      <w:trPr>
        <w:trHeight w:val="195"/>
        <w:jc w:val="center"/>
      </w:trPr>
      <w:tc>
        <w:tcPr>
          <w:tcW w:w="7200" w:type="dxa"/>
          <w:tcBorders>
            <w:top w:val="nil"/>
            <w:left w:val="nil"/>
          </w:tcBorders>
          <w:vAlign w:val="center"/>
        </w:tcPr>
        <w:p w:rsidRPr="0075421C" w:rsidR="007375C6" w:rsidP="004D3EF5" w:rsidRDefault="00B278E9" w14:paraId="5A95B7BC" w14:textId="77777777">
          <w:pPr>
            <w:pStyle w:val="Footer"/>
            <w:jc w:val="cen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rsidRPr="0075421C" w:rsidR="007375C6" w:rsidP="004D3EF5" w:rsidRDefault="00B278E9" w14:paraId="3CB695D1" w14:textId="77777777">
          <w:pPr>
            <w:pStyle w:val="Footer"/>
            <w:jc w:val="center"/>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rsidRPr="000C64C5" w:rsidR="007375C6" w:rsidP="004D3EF5" w:rsidRDefault="007375C6" w14:paraId="2A7DF22E" w14:textId="77777777">
    <w:pPr>
      <w:pStyle w:val="Footer"/>
      <w:ind w:right="360"/>
      <w:jc w:val="center"/>
      <w:rPr>
        <w:sz w:val="2"/>
        <w:szCs w:val="2"/>
      </w:rPr>
    </w:pPr>
  </w:p>
  <w:p w:rsidRPr="008B6585" w:rsidR="007375C6" w:rsidP="004D3EF5" w:rsidRDefault="007375C6" w14:paraId="3CC0913F" w14:textId="77777777">
    <w:pPr>
      <w:pStyle w:val="Footer"/>
      <w:jc w:val="cen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dotted" w:color="DC6900" w:sz="4" w:space="0"/>
        <w:left w:val="dotted" w:color="DC6900" w:sz="4" w:space="0"/>
      </w:tblBorders>
      <w:tblLayout w:type="fixed"/>
      <w:tblCellMar>
        <w:left w:w="58" w:type="dxa"/>
        <w:right w:w="58" w:type="dxa"/>
      </w:tblCellMar>
      <w:tblLook w:val="01E0" w:firstRow="1" w:lastRow="1" w:firstColumn="1" w:lastColumn="1" w:noHBand="0" w:noVBand="0"/>
    </w:tblPr>
    <w:tblGrid>
      <w:gridCol w:w="6681"/>
      <w:gridCol w:w="2679"/>
    </w:tblGrid>
    <w:tr w:rsidRPr="00582062" w:rsidR="00975B0F" w14:paraId="7E1CB847" w14:textId="77777777">
      <w:trPr>
        <w:trHeight w:val="144"/>
        <w:jc w:val="center"/>
      </w:trPr>
      <w:tc>
        <w:tcPr>
          <w:tcW w:w="7200" w:type="dxa"/>
          <w:tcBorders>
            <w:top w:val="single" w:color="8C8C8C" w:sz="8" w:space="0"/>
            <w:left w:val="nil"/>
            <w:bottom w:val="nil"/>
          </w:tcBorders>
        </w:tcPr>
        <w:p w:rsidRPr="00582062" w:rsidR="00975B0F" w:rsidRDefault="00975B0F" w14:paraId="26F7E5BB" w14:textId="77777777">
          <w:pPr>
            <w:pStyle w:val="Footer"/>
            <w:spacing w:before="120"/>
            <w:rPr>
              <w:sz w:val="2"/>
              <w:szCs w:val="2"/>
            </w:rPr>
          </w:pPr>
        </w:p>
      </w:tc>
      <w:tc>
        <w:tcPr>
          <w:tcW w:w="2880" w:type="dxa"/>
          <w:tcBorders>
            <w:top w:val="single" w:color="8C8C8C" w:sz="8" w:space="0"/>
          </w:tcBorders>
        </w:tcPr>
        <w:p w:rsidRPr="00582062" w:rsidR="00975B0F" w:rsidRDefault="00975B0F" w14:paraId="0F34F80D" w14:textId="77777777">
          <w:pPr>
            <w:pStyle w:val="Footer"/>
            <w:spacing w:before="120"/>
            <w:jc w:val="right"/>
            <w:rPr>
              <w:sz w:val="2"/>
              <w:szCs w:val="2"/>
            </w:rPr>
          </w:pPr>
        </w:p>
      </w:tc>
    </w:tr>
    <w:tr w:rsidRPr="00EA2FA5" w:rsidR="00975B0F" w14:paraId="64D3EA72" w14:textId="77777777">
      <w:trPr>
        <w:trHeight w:val="195"/>
        <w:jc w:val="center"/>
      </w:trPr>
      <w:tc>
        <w:tcPr>
          <w:tcW w:w="7200" w:type="dxa"/>
          <w:tcBorders>
            <w:top w:val="nil"/>
            <w:left w:val="nil"/>
          </w:tcBorders>
          <w:vAlign w:val="center"/>
        </w:tcPr>
        <w:p w:rsidRPr="0075421C" w:rsidR="00975B0F" w:rsidP="004D3EF5" w:rsidRDefault="00975B0F" w14:paraId="2ED6666B" w14:textId="77777777">
          <w:pPr>
            <w:pStyle w:val="Footer"/>
            <w:jc w:val="cen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rsidRPr="0075421C" w:rsidR="00975B0F" w:rsidP="004D3EF5" w:rsidRDefault="00975B0F" w14:paraId="7223DCA0" w14:textId="77777777">
          <w:pPr>
            <w:pStyle w:val="Footer"/>
            <w:jc w:val="center"/>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rsidRPr="000C64C5" w:rsidR="00975B0F" w:rsidP="004D3EF5" w:rsidRDefault="00975B0F" w14:paraId="30D60F3A" w14:textId="77777777">
    <w:pPr>
      <w:pStyle w:val="Footer"/>
      <w:ind w:right="360"/>
      <w:jc w:val="center"/>
      <w:rPr>
        <w:sz w:val="2"/>
        <w:szCs w:val="2"/>
      </w:rPr>
    </w:pPr>
  </w:p>
  <w:p w:rsidRPr="008B6585" w:rsidR="00975B0F" w:rsidP="004D3EF5" w:rsidRDefault="00975B0F" w14:paraId="1F12E88F" w14:textId="77777777">
    <w:pPr>
      <w:pStyle w:val="Footer"/>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83D61" w:rsidRDefault="00B83D61" w14:paraId="0378DEC2" w14:textId="77777777">
      <w:pPr>
        <w:spacing w:before="0" w:after="0"/>
      </w:pPr>
      <w:r>
        <w:separator/>
      </w:r>
    </w:p>
  </w:footnote>
  <w:footnote w:type="continuationSeparator" w:id="0">
    <w:p w:rsidR="00B83D61" w:rsidRDefault="00B83D61" w14:paraId="44C43D2D" w14:textId="77777777">
      <w:pPr>
        <w:spacing w:before="0" w:after="0"/>
      </w:pPr>
      <w:r>
        <w:continuationSeparator/>
      </w:r>
    </w:p>
  </w:footnote>
  <w:footnote w:type="continuationNotice" w:id="1">
    <w:p w:rsidR="00B83D61" w:rsidRDefault="00B83D61" w14:paraId="3949FDDB" w14:textId="77777777">
      <w:pPr>
        <w:spacing w:before="0" w:after="0"/>
      </w:pPr>
    </w:p>
  </w:footnote>
  <w:footnote w:id="2">
    <w:p w:rsidR="007375C6" w:rsidRDefault="00B278E9" w14:paraId="09592804" w14:textId="77777777">
      <w:pPr>
        <w:pStyle w:val="FootnoteText"/>
      </w:pPr>
      <w:r>
        <w:rPr>
          <w:rStyle w:val="FootnoteReference"/>
        </w:rPr>
        <w:footnoteRef/>
      </w:r>
      <w:r>
        <w:t xml:space="preserve"> The evaluation will determine which other fuel savings will be counted towards goal while producing the portfolio-wide Summary Report.</w:t>
      </w:r>
      <w:r w:rsidRPr="0085537E">
        <w:t xml:space="preserve"> According to Section 8-103B(b-25) of the Illinois Public Utilities Act, “In no event shall more than 10% of each year's applicable annual total savings requirement as defined in paragraph (7.5) of subsection (g) of this Section be met through savings of fuels other than electricity.”</w:t>
      </w:r>
    </w:p>
  </w:footnote>
  <w:footnote w:id="3">
    <w:p w:rsidR="007375C6" w:rsidRDefault="00B278E9" w14:paraId="3C60CFC2" w14:textId="77777777">
      <w:pPr>
        <w:pStyle w:val="FootnoteText"/>
      </w:pPr>
      <w:r>
        <w:rPr>
          <w:rStyle w:val="FootnoteReference"/>
        </w:rPr>
        <w:footnoteRef/>
      </w:r>
      <w:r>
        <w:t xml:space="preserve"> </w:t>
      </w:r>
      <w:r w:rsidRPr="000D3076">
        <w:t>The electrification savings counted toward ComEd's electric savings goal were determined by the evaluation team’s analysis of portfolio verified savings.</w:t>
      </w:r>
      <w:r>
        <w:t xml:space="preserve"> </w:t>
      </w:r>
      <w:r w:rsidRPr="004B16A6">
        <w:t>According to Section 8-103B(b-27) of the Illinois Public Utilities Act, “In no event shall electrification savings counted toward each year's applicable annual total savings requirement, as defined in paragraph (7.5) of subsection (g) of this Section, be greater than 5% per year for each year from 2022 through 2025."</w:t>
      </w:r>
    </w:p>
  </w:footnote>
  <w:footnote w:id="4">
    <w:p w:rsidR="007375C6" w:rsidRDefault="00B278E9" w14:paraId="603A1357" w14:textId="77777777">
      <w:pPr>
        <w:pStyle w:val="FootnoteText"/>
      </w:pPr>
      <w:r>
        <w:rPr>
          <w:rStyle w:val="FootnoteReference"/>
        </w:rPr>
        <w:footnoteRef/>
      </w:r>
      <w:r>
        <w:t xml:space="preserve"> ComEd Electrification Policy Resolutions for 2024 Final Draft. “…</w:t>
      </w:r>
      <w:r w:rsidRPr="00F02945">
        <w:t>the ComEd E</w:t>
      </w:r>
      <w:r>
        <w:t xml:space="preserve">nergy </w:t>
      </w:r>
      <w:r w:rsidRPr="00F02945">
        <w:t>E</w:t>
      </w:r>
      <w:r>
        <w:t>fficiency</w:t>
      </w:r>
      <w:r w:rsidRPr="00F02945">
        <w:t xml:space="preserve"> portfolio will use the Electric Point of Sale baseline set by the TRM, without applying the additional electrification ratios, to claim Energy Efficiency savings from heat-pump projects through midstream programs once either of the </w:t>
      </w:r>
      <w:r>
        <w:t>electrification</w:t>
      </w:r>
      <w:r w:rsidRPr="00F02945">
        <w:t xml:space="preserve"> caps has been reached.</w:t>
      </w:r>
      <w:r>
        <w:t>”</w:t>
      </w:r>
    </w:p>
  </w:footnote>
  <w:footnote w:id="5">
    <w:p w:rsidR="007375C6" w:rsidRDefault="00B278E9" w14:paraId="2F04D097" w14:textId="77777777">
      <w:pPr>
        <w:pStyle w:val="FootnoteText"/>
      </w:pPr>
      <w:r>
        <w:rPr>
          <w:rStyle w:val="FootnoteReference"/>
        </w:rPr>
        <w:footnoteRef/>
      </w:r>
      <w:r>
        <w:t xml:space="preserve"> </w:t>
      </w:r>
      <w:r w:rsidRPr="002C0C8C">
        <w:t>Illinois Energy Efficiency Policy Manual Version 3.0, Section 7.4, available at https://www.ilsag.info/policy/</w:t>
      </w:r>
    </w:p>
  </w:footnote>
  <w:footnote w:id="6">
    <w:p w:rsidR="006444CE" w:rsidP="006444CE" w:rsidRDefault="006444CE" w14:paraId="57C64D0C" w14:textId="77777777">
      <w:pPr>
        <w:pStyle w:val="FootnoteText"/>
      </w:pPr>
      <w:r>
        <w:rPr>
          <w:rStyle w:val="FootnoteReference"/>
        </w:rPr>
        <w:footnoteRef/>
      </w:r>
      <w:r>
        <w:t xml:space="preserve"> The evaluation will determine which other fuel savings will be counted towards goal while producing the portfolio-wide Summary Report.</w:t>
      </w:r>
      <w:r w:rsidRPr="0085537E">
        <w:t xml:space="preserve"> According to Section 8-103B(b-25) of the Illinois Public Utilities Act, “In no event shall more than 10% of each year's applicable annual total savings requirement as defined in paragraph (7.5) of subsection (g) of this Section be met through savings of fuels other than electricity.”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tbl>
    <w:tblPr>
      <w:tblW w:w="5000" w:type="pct"/>
      <w:jc w:val="center"/>
      <w:tblBorders>
        <w:bottom w:val="single" w:color="8C8C8C" w:sz="8" w:space="0"/>
      </w:tblBorders>
      <w:tblLayout w:type="fixed"/>
      <w:tblCellMar>
        <w:left w:w="58" w:type="dxa"/>
        <w:right w:w="58" w:type="dxa"/>
      </w:tblCellMar>
      <w:tblLook w:val="01E0" w:firstRow="1" w:lastRow="1" w:firstColumn="1" w:lastColumn="1" w:noHBand="0" w:noVBand="0"/>
    </w:tblPr>
    <w:tblGrid>
      <w:gridCol w:w="2679"/>
      <w:gridCol w:w="6681"/>
    </w:tblGrid>
    <w:tr w:rsidR="00000000" w14:paraId="6B008A86" w14:textId="77777777">
      <w:trPr>
        <w:jc w:val="center"/>
      </w:trPr>
      <w:tc>
        <w:tcPr>
          <w:tcW w:w="2880" w:type="dxa"/>
          <w:vAlign w:val="center"/>
        </w:tcPr>
        <w:p w:rsidRPr="006A71F6" w:rsidR="007375C6" w:rsidRDefault="00B278E9" w14:paraId="78DF3A04" w14:textId="77777777">
          <w:pPr>
            <w:pStyle w:val="Header"/>
          </w:pPr>
          <w:r>
            <w:rPr>
              <w:noProof/>
            </w:rPr>
            <w:drawing>
              <wp:inline distT="0" distB="0" distL="0" distR="0" wp14:anchorId="4CCEF976" wp14:editId="3B44FBFC">
                <wp:extent cx="1081454" cy="274320"/>
                <wp:effectExtent l="0" t="0" r="4445" b="0"/>
                <wp:docPr id="1491931747"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rsidR="007375C6" w:rsidRDefault="00B278E9" w14:paraId="701D32EB" w14:textId="4A3CF99F">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8E7EAE">
            <w:rPr>
              <w:bCs/>
              <w:noProof/>
            </w:rPr>
            <w:t>ComEd Multifamily Upgrades Program Impact Evaluation Report</w:t>
          </w:r>
          <w:r>
            <w:rPr>
              <w:bCs/>
              <w:noProof/>
            </w:rPr>
            <w:fldChar w:fldCharType="end"/>
          </w:r>
        </w:p>
      </w:tc>
    </w:tr>
  </w:tbl>
  <w:p w:rsidRPr="00B21048" w:rsidR="007375C6" w:rsidRDefault="007375C6" w14:paraId="0ECF1D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7375C6" w:rsidRDefault="00B278E9" w14:paraId="358430BC" w14:textId="67781FE9">
    <w:pPr>
      <w:pStyle w:val="Header"/>
    </w:pPr>
    <w:r>
      <w:rPr>
        <w:noProof/>
      </w:rPr>
      <w:drawing>
        <wp:anchor distT="0" distB="0" distL="114300" distR="114300" simplePos="0" relativeHeight="251658240" behindDoc="0" locked="0" layoutInCell="1" allowOverlap="1" wp14:anchorId="066D26BC" wp14:editId="19A17D4D">
          <wp:simplePos x="0" y="0"/>
          <wp:positionH relativeFrom="page">
            <wp:posOffset>-11430</wp:posOffset>
          </wp:positionH>
          <wp:positionV relativeFrom="paragraph">
            <wp:posOffset>-445770</wp:posOffset>
          </wp:positionV>
          <wp:extent cx="7772957" cy="10062176"/>
          <wp:effectExtent l="0" t="0" r="0" b="0"/>
          <wp:wrapNone/>
          <wp:docPr id="233807024" name="Picture 10"/>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a:stretch>
                    <a:fillRect/>
                  </a:stretch>
                </pic:blipFill>
                <pic:spPr>
                  <a:xfrm>
                    <a:off x="0" y="0"/>
                    <a:ext cx="7772957" cy="10062176"/>
                  </a:xfrm>
                  <a:prstGeom prst="rect">
                    <a:avLst/>
                  </a:prstGeom>
                  <a:noFill/>
                  <a:ln>
                    <a:noFill/>
                    <a:prstDash/>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tbl>
    <w:tblPr>
      <w:tblW w:w="5000" w:type="pct"/>
      <w:jc w:val="center"/>
      <w:tblBorders>
        <w:bottom w:val="single" w:color="8C8C8C" w:sz="8" w:space="0"/>
      </w:tblBorders>
      <w:tblLayout w:type="fixed"/>
      <w:tblCellMar>
        <w:left w:w="58" w:type="dxa"/>
        <w:right w:w="58" w:type="dxa"/>
      </w:tblCellMar>
      <w:tblLook w:val="01E0" w:firstRow="1" w:lastRow="1" w:firstColumn="1" w:lastColumn="1" w:noHBand="0" w:noVBand="0"/>
    </w:tblPr>
    <w:tblGrid>
      <w:gridCol w:w="2679"/>
      <w:gridCol w:w="6681"/>
    </w:tblGrid>
    <w:tr w:rsidR="00000000" w14:paraId="4683791D" w14:textId="77777777">
      <w:trPr>
        <w:jc w:val="center"/>
      </w:trPr>
      <w:tc>
        <w:tcPr>
          <w:tcW w:w="2880" w:type="dxa"/>
          <w:vAlign w:val="center"/>
        </w:tcPr>
        <w:p w:rsidRPr="006A71F6" w:rsidR="007375C6" w:rsidRDefault="00B278E9" w14:paraId="43443BFF" w14:textId="77777777">
          <w:pPr>
            <w:pStyle w:val="Header"/>
          </w:pPr>
          <w:r>
            <w:rPr>
              <w:noProof/>
            </w:rPr>
            <w:drawing>
              <wp:inline distT="0" distB="0" distL="0" distR="0" wp14:anchorId="30FC6F11" wp14:editId="5F3DB45E">
                <wp:extent cx="1081454" cy="274320"/>
                <wp:effectExtent l="0" t="0" r="4445" b="0"/>
                <wp:docPr id="2078273922" name="Graphic 133960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rsidR="007375C6" w:rsidRDefault="00B278E9" w14:paraId="2BBE81BA" w14:textId="1D61A11C">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8E7EAE">
            <w:rPr>
              <w:bCs/>
              <w:noProof/>
            </w:rPr>
            <w:t>ComEd Multifamily Upgrades Program Impact Evaluation Report</w:t>
          </w:r>
          <w:r>
            <w:rPr>
              <w:bCs/>
              <w:noProof/>
            </w:rPr>
            <w:fldChar w:fldCharType="end"/>
          </w:r>
        </w:p>
      </w:tc>
    </w:tr>
  </w:tbl>
  <w:p w:rsidRPr="00B21048" w:rsidR="007375C6" w:rsidRDefault="007375C6" w14:paraId="3CCA1E6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tbl>
    <w:tblPr>
      <w:tblW w:w="5000" w:type="pct"/>
      <w:jc w:val="center"/>
      <w:tblBorders>
        <w:bottom w:val="single" w:color="8C8C8C" w:sz="8" w:space="0"/>
      </w:tblBorders>
      <w:tblLayout w:type="fixed"/>
      <w:tblCellMar>
        <w:left w:w="58" w:type="dxa"/>
        <w:right w:w="58" w:type="dxa"/>
      </w:tblCellMar>
      <w:tblLook w:val="01E0" w:firstRow="1" w:lastRow="1" w:firstColumn="1" w:lastColumn="1" w:noHBand="0" w:noVBand="0"/>
    </w:tblPr>
    <w:tblGrid>
      <w:gridCol w:w="2679"/>
      <w:gridCol w:w="6681"/>
    </w:tblGrid>
    <w:tr w:rsidR="00975B0F" w14:paraId="65DD2E46" w14:textId="77777777">
      <w:trPr>
        <w:jc w:val="center"/>
      </w:trPr>
      <w:tc>
        <w:tcPr>
          <w:tcW w:w="2880" w:type="dxa"/>
          <w:vAlign w:val="center"/>
        </w:tcPr>
        <w:p w:rsidRPr="006A71F6" w:rsidR="00975B0F" w:rsidRDefault="00975B0F" w14:paraId="222AD9BB" w14:textId="77777777">
          <w:pPr>
            <w:pStyle w:val="Header"/>
          </w:pPr>
          <w:r>
            <w:rPr>
              <w:noProof/>
            </w:rPr>
            <w:drawing>
              <wp:inline distT="0" distB="0" distL="0" distR="0" wp14:anchorId="0411BF9A" wp14:editId="37F01C56">
                <wp:extent cx="1081454" cy="274320"/>
                <wp:effectExtent l="0" t="0" r="4445" b="0"/>
                <wp:docPr id="1679917612" name="Graphic 133960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rsidR="00975B0F" w:rsidRDefault="00975B0F" w14:paraId="60EFAD6E" w14:textId="36B18BE2">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8E7EAE">
            <w:rPr>
              <w:bCs/>
              <w:noProof/>
            </w:rPr>
            <w:t>ComEd Multifamily Upgrades Program Impact Evaluation Report</w:t>
          </w:r>
          <w:r>
            <w:rPr>
              <w:bCs/>
              <w:noProof/>
            </w:rPr>
            <w:fldChar w:fldCharType="end"/>
          </w:r>
        </w:p>
      </w:tc>
    </w:tr>
  </w:tbl>
  <w:p w:rsidRPr="00B21048" w:rsidR="00975B0F" w:rsidRDefault="00975B0F" w14:paraId="7145210C"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tbl>
    <w:tblPr>
      <w:tblW w:w="5000" w:type="pct"/>
      <w:jc w:val="center"/>
      <w:tblBorders>
        <w:bottom w:val="single" w:color="8C8C8C" w:sz="8" w:space="0"/>
      </w:tblBorders>
      <w:tblLayout w:type="fixed"/>
      <w:tblCellMar>
        <w:left w:w="58" w:type="dxa"/>
        <w:right w:w="58" w:type="dxa"/>
      </w:tblCellMar>
      <w:tblLook w:val="01E0" w:firstRow="1" w:lastRow="1" w:firstColumn="1" w:lastColumn="1" w:noHBand="0" w:noVBand="0"/>
    </w:tblPr>
    <w:tblGrid>
      <w:gridCol w:w="2679"/>
      <w:gridCol w:w="6681"/>
    </w:tblGrid>
    <w:tr w:rsidR="00000000" w14:paraId="7FC778CD" w14:textId="77777777">
      <w:trPr>
        <w:jc w:val="center"/>
      </w:trPr>
      <w:tc>
        <w:tcPr>
          <w:tcW w:w="2880" w:type="dxa"/>
          <w:vAlign w:val="center"/>
        </w:tcPr>
        <w:p w:rsidRPr="006A71F6" w:rsidR="007375C6" w:rsidRDefault="00B278E9" w14:paraId="308B6C9E" w14:textId="77777777">
          <w:pPr>
            <w:pStyle w:val="Header"/>
          </w:pPr>
          <w:r>
            <w:rPr>
              <w:noProof/>
            </w:rPr>
            <w:drawing>
              <wp:inline distT="0" distB="0" distL="0" distR="0" wp14:anchorId="50315895" wp14:editId="10203F4C">
                <wp:extent cx="1081454" cy="274320"/>
                <wp:effectExtent l="0" t="0" r="4445" b="0"/>
                <wp:docPr id="1334746938" name="Graphic 133960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rsidR="007375C6" w:rsidRDefault="00B278E9" w14:paraId="6FD2A9C2" w14:textId="55233180">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8E7EAE">
            <w:rPr>
              <w:bCs/>
              <w:noProof/>
            </w:rPr>
            <w:t>ComEd Multifamily Upgrades Program Impact Evaluation Report</w:t>
          </w:r>
          <w:r>
            <w:rPr>
              <w:bCs/>
              <w:noProof/>
            </w:rPr>
            <w:fldChar w:fldCharType="end"/>
          </w:r>
        </w:p>
      </w:tc>
    </w:tr>
  </w:tbl>
  <w:p w:rsidRPr="00B21048" w:rsidR="007375C6" w:rsidRDefault="007375C6" w14:paraId="22723E18"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tbl>
    <w:tblPr>
      <w:tblW w:w="5000" w:type="pct"/>
      <w:jc w:val="center"/>
      <w:tblBorders>
        <w:bottom w:val="single" w:color="8C8C8C" w:sz="8" w:space="0"/>
      </w:tblBorders>
      <w:tblLayout w:type="fixed"/>
      <w:tblCellMar>
        <w:left w:w="58" w:type="dxa"/>
        <w:right w:w="58" w:type="dxa"/>
      </w:tblCellMar>
      <w:tblLook w:val="01E0" w:firstRow="1" w:lastRow="1" w:firstColumn="1" w:lastColumn="1" w:noHBand="0" w:noVBand="0"/>
    </w:tblPr>
    <w:tblGrid>
      <w:gridCol w:w="2679"/>
      <w:gridCol w:w="6681"/>
    </w:tblGrid>
    <w:tr w:rsidR="00975B0F" w14:paraId="7DC96052" w14:textId="77777777">
      <w:trPr>
        <w:jc w:val="center"/>
      </w:trPr>
      <w:tc>
        <w:tcPr>
          <w:tcW w:w="2880" w:type="dxa"/>
          <w:vAlign w:val="center"/>
        </w:tcPr>
        <w:p w:rsidRPr="006A71F6" w:rsidR="00975B0F" w:rsidRDefault="00975B0F" w14:paraId="69371C2A" w14:textId="77777777">
          <w:pPr>
            <w:pStyle w:val="Header"/>
          </w:pPr>
          <w:r>
            <w:rPr>
              <w:noProof/>
            </w:rPr>
            <w:drawing>
              <wp:inline distT="0" distB="0" distL="0" distR="0" wp14:anchorId="42FE407B" wp14:editId="2EFC878D">
                <wp:extent cx="1081454" cy="274320"/>
                <wp:effectExtent l="0" t="0" r="4445" b="0"/>
                <wp:docPr id="1023224982" name="Graphic 133960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rsidR="00975B0F" w:rsidRDefault="00975B0F" w14:paraId="024074B1" w14:textId="347617E2">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8E7EAE">
            <w:rPr>
              <w:bCs/>
              <w:noProof/>
            </w:rPr>
            <w:t>ComEd Multifamily Upgrades Program Impact Evaluation Report</w:t>
          </w:r>
          <w:r>
            <w:rPr>
              <w:bCs/>
              <w:noProof/>
            </w:rPr>
            <w:fldChar w:fldCharType="end"/>
          </w:r>
        </w:p>
      </w:tc>
    </w:tr>
  </w:tbl>
  <w:p w:rsidRPr="00B21048" w:rsidR="00975B0F" w:rsidRDefault="00975B0F" w14:paraId="318128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065C4"/>
    <w:multiLevelType w:val="hybridMultilevel"/>
    <w:tmpl w:val="A4746C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hint="default" w:ascii="Palatino Linotype" w:hAnsi="Palatino Linotyp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hint="default" w:ascii="Palatino Linotype" w:hAnsi="Palatino Linotyp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4F81E72"/>
    <w:multiLevelType w:val="hybridMultilevel"/>
    <w:tmpl w:val="78443D60"/>
    <w:lvl w:ilvl="0" w:tplc="04090001">
      <w:start w:val="1"/>
      <w:numFmt w:val="bullet"/>
      <w:lvlText w:val=""/>
      <w:lvlJc w:val="left"/>
      <w:rPr>
        <w:rFonts w:hint="default" w:ascii="Symbol" w:hAnsi="Symbol"/>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2D57122"/>
    <w:multiLevelType w:val="hybridMultilevel"/>
    <w:tmpl w:val="E12CDEA0"/>
    <w:lvl w:ilvl="0" w:tplc="32D0D57E">
      <w:start w:val="1"/>
      <w:numFmt w:val="decimal"/>
      <w:lvlText w:val="%1."/>
      <w:lvlJc w:val="left"/>
      <w:pPr>
        <w:ind w:left="720" w:hanging="360"/>
      </w:pPr>
    </w:lvl>
    <w:lvl w:ilvl="1" w:tplc="D388AB44">
      <w:start w:val="1"/>
      <w:numFmt w:val="decimal"/>
      <w:lvlText w:val="%2."/>
      <w:lvlJc w:val="left"/>
      <w:pPr>
        <w:ind w:left="720" w:hanging="360"/>
      </w:pPr>
    </w:lvl>
    <w:lvl w:ilvl="2" w:tplc="C65E79E4">
      <w:start w:val="1"/>
      <w:numFmt w:val="decimal"/>
      <w:lvlText w:val="%3."/>
      <w:lvlJc w:val="left"/>
      <w:pPr>
        <w:ind w:left="720" w:hanging="360"/>
      </w:pPr>
    </w:lvl>
    <w:lvl w:ilvl="3" w:tplc="C3B214BA">
      <w:start w:val="1"/>
      <w:numFmt w:val="decimal"/>
      <w:lvlText w:val="%4."/>
      <w:lvlJc w:val="left"/>
      <w:pPr>
        <w:ind w:left="720" w:hanging="360"/>
      </w:pPr>
    </w:lvl>
    <w:lvl w:ilvl="4" w:tplc="A31E34AA">
      <w:start w:val="1"/>
      <w:numFmt w:val="decimal"/>
      <w:lvlText w:val="%5."/>
      <w:lvlJc w:val="left"/>
      <w:pPr>
        <w:ind w:left="720" w:hanging="360"/>
      </w:pPr>
    </w:lvl>
    <w:lvl w:ilvl="5" w:tplc="A8AA1108">
      <w:start w:val="1"/>
      <w:numFmt w:val="decimal"/>
      <w:lvlText w:val="%6."/>
      <w:lvlJc w:val="left"/>
      <w:pPr>
        <w:ind w:left="720" w:hanging="360"/>
      </w:pPr>
    </w:lvl>
    <w:lvl w:ilvl="6" w:tplc="B52C0DC2">
      <w:start w:val="1"/>
      <w:numFmt w:val="decimal"/>
      <w:lvlText w:val="%7."/>
      <w:lvlJc w:val="left"/>
      <w:pPr>
        <w:ind w:left="720" w:hanging="360"/>
      </w:pPr>
    </w:lvl>
    <w:lvl w:ilvl="7" w:tplc="32E834E2">
      <w:start w:val="1"/>
      <w:numFmt w:val="decimal"/>
      <w:lvlText w:val="%8."/>
      <w:lvlJc w:val="left"/>
      <w:pPr>
        <w:ind w:left="720" w:hanging="360"/>
      </w:pPr>
    </w:lvl>
    <w:lvl w:ilvl="8" w:tplc="3FB8CE9C">
      <w:start w:val="1"/>
      <w:numFmt w:val="decimal"/>
      <w:lvlText w:val="%9."/>
      <w:lvlJc w:val="left"/>
      <w:pPr>
        <w:ind w:left="720" w:hanging="360"/>
      </w:pPr>
    </w:lvl>
  </w:abstractNum>
  <w:abstractNum w:abstractNumId="21" w15:restartNumberingAfterBreak="0">
    <w:nsid w:val="23B75418"/>
    <w:multiLevelType w:val="hybridMultilevel"/>
    <w:tmpl w:val="DB562A46"/>
    <w:lvl w:ilvl="0" w:tplc="44ACDB22">
      <w:start w:val="1"/>
      <w:numFmt w:val="decimal"/>
      <w:lvlText w:val="%1."/>
      <w:lvlJc w:val="left"/>
      <w:pPr>
        <w:ind w:left="1020" w:hanging="360"/>
      </w:pPr>
    </w:lvl>
    <w:lvl w:ilvl="1" w:tplc="5622D95C">
      <w:start w:val="1"/>
      <w:numFmt w:val="decimal"/>
      <w:lvlText w:val="%2."/>
      <w:lvlJc w:val="left"/>
      <w:pPr>
        <w:ind w:left="1020" w:hanging="360"/>
      </w:pPr>
    </w:lvl>
    <w:lvl w:ilvl="2" w:tplc="427C0D5C">
      <w:start w:val="1"/>
      <w:numFmt w:val="decimal"/>
      <w:lvlText w:val="%3."/>
      <w:lvlJc w:val="left"/>
      <w:pPr>
        <w:ind w:left="1020" w:hanging="360"/>
      </w:pPr>
    </w:lvl>
    <w:lvl w:ilvl="3" w:tplc="F084791E">
      <w:start w:val="1"/>
      <w:numFmt w:val="decimal"/>
      <w:lvlText w:val="%4."/>
      <w:lvlJc w:val="left"/>
      <w:pPr>
        <w:ind w:left="1020" w:hanging="360"/>
      </w:pPr>
    </w:lvl>
    <w:lvl w:ilvl="4" w:tplc="10DC32AC">
      <w:start w:val="1"/>
      <w:numFmt w:val="decimal"/>
      <w:lvlText w:val="%5."/>
      <w:lvlJc w:val="left"/>
      <w:pPr>
        <w:ind w:left="1020" w:hanging="360"/>
      </w:pPr>
    </w:lvl>
    <w:lvl w:ilvl="5" w:tplc="37C85936">
      <w:start w:val="1"/>
      <w:numFmt w:val="decimal"/>
      <w:lvlText w:val="%6."/>
      <w:lvlJc w:val="left"/>
      <w:pPr>
        <w:ind w:left="1020" w:hanging="360"/>
      </w:pPr>
    </w:lvl>
    <w:lvl w:ilvl="6" w:tplc="D304E63A">
      <w:start w:val="1"/>
      <w:numFmt w:val="decimal"/>
      <w:lvlText w:val="%7."/>
      <w:lvlJc w:val="left"/>
      <w:pPr>
        <w:ind w:left="1020" w:hanging="360"/>
      </w:pPr>
    </w:lvl>
    <w:lvl w:ilvl="7" w:tplc="FB3CDD40">
      <w:start w:val="1"/>
      <w:numFmt w:val="decimal"/>
      <w:lvlText w:val="%8."/>
      <w:lvlJc w:val="left"/>
      <w:pPr>
        <w:ind w:left="1020" w:hanging="360"/>
      </w:pPr>
    </w:lvl>
    <w:lvl w:ilvl="8" w:tplc="78A2422E">
      <w:start w:val="1"/>
      <w:numFmt w:val="decimal"/>
      <w:lvlText w:val="%9."/>
      <w:lvlJc w:val="left"/>
      <w:pPr>
        <w:ind w:left="1020" w:hanging="360"/>
      </w:pPr>
    </w:lvl>
  </w:abstractNum>
  <w:abstractNum w:abstractNumId="22"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hint="default" w:ascii="Palatino Linotype" w:hAnsi="Palatino Linotype"/>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9163A5"/>
    <w:multiLevelType w:val="hybridMultilevel"/>
    <w:tmpl w:val="E8EC4206"/>
    <w:lvl w:ilvl="0" w:tplc="442CDF74">
      <w:start w:val="1"/>
      <w:numFmt w:val="bullet"/>
      <w:pStyle w:val="TableBullet"/>
      <w:lvlText w:val=""/>
      <w:lvlJc w:val="left"/>
      <w:pPr>
        <w:ind w:left="720" w:hanging="360"/>
      </w:pPr>
      <w:rPr>
        <w:rFonts w:hint="default" w:ascii="Symbol" w:hAnsi="Symbol"/>
        <w:color w:val="auto"/>
        <w:u w:val="none"/>
      </w:rPr>
    </w:lvl>
    <w:lvl w:ilvl="1" w:tplc="3500AB70">
      <w:start w:val="1"/>
      <w:numFmt w:val="bullet"/>
      <w:lvlText w:val="–"/>
      <w:lvlJc w:val="left"/>
      <w:pPr>
        <w:ind w:left="1440" w:hanging="360"/>
      </w:pPr>
      <w:rPr>
        <w:rFonts w:hint="default" w:ascii="Arial" w:hAnsi="Arial"/>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2AB75EDE"/>
    <w:multiLevelType w:val="hybridMultilevel"/>
    <w:tmpl w:val="6B62202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5D489A"/>
    <w:multiLevelType w:val="hybridMultilevel"/>
    <w:tmpl w:val="DB9CA6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hint="default" w:ascii="Palatino Linotype" w:hAnsi="Palatino Linotype"/>
      </w:rPr>
    </w:lvl>
    <w:lvl w:ilvl="1">
      <w:start w:val="1"/>
      <w:numFmt w:val="bullet"/>
      <w:lvlText w:val="o"/>
      <w:lvlJc w:val="left"/>
      <w:pPr>
        <w:tabs>
          <w:tab w:val="num" w:pos="1080"/>
        </w:tabs>
        <w:ind w:left="108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hint="default" w:ascii="Palatino Linotype" w:hAnsi="Palatino Linotype"/>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7AC670D"/>
    <w:multiLevelType w:val="hybridMultilevel"/>
    <w:tmpl w:val="791A4C4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7"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hint="default" w:ascii="Symbol" w:hAnsi="Symbol"/>
        <w:color w:val="auto"/>
        <w:sz w:val="18"/>
        <w:szCs w:val="18"/>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9" w15:restartNumberingAfterBreak="0">
    <w:nsid w:val="50797A4C"/>
    <w:multiLevelType w:val="hybridMultilevel"/>
    <w:tmpl w:val="324E3004"/>
    <w:lvl w:ilvl="0" w:tplc="799498E2">
      <w:start w:val="1"/>
      <w:numFmt w:val="decimal"/>
      <w:lvlText w:val="%1."/>
      <w:lvlJc w:val="left"/>
      <w:pPr>
        <w:ind w:left="1020" w:hanging="360"/>
      </w:pPr>
    </w:lvl>
    <w:lvl w:ilvl="1" w:tplc="8BEA1C56">
      <w:start w:val="1"/>
      <w:numFmt w:val="decimal"/>
      <w:lvlText w:val="%2."/>
      <w:lvlJc w:val="left"/>
      <w:pPr>
        <w:ind w:left="1020" w:hanging="360"/>
      </w:pPr>
    </w:lvl>
    <w:lvl w:ilvl="2" w:tplc="7004E68C">
      <w:start w:val="1"/>
      <w:numFmt w:val="decimal"/>
      <w:lvlText w:val="%3."/>
      <w:lvlJc w:val="left"/>
      <w:pPr>
        <w:ind w:left="1020" w:hanging="360"/>
      </w:pPr>
    </w:lvl>
    <w:lvl w:ilvl="3" w:tplc="0E54F82E">
      <w:start w:val="1"/>
      <w:numFmt w:val="decimal"/>
      <w:lvlText w:val="%4."/>
      <w:lvlJc w:val="left"/>
      <w:pPr>
        <w:ind w:left="1020" w:hanging="360"/>
      </w:pPr>
    </w:lvl>
    <w:lvl w:ilvl="4" w:tplc="AECE9D84">
      <w:start w:val="1"/>
      <w:numFmt w:val="decimal"/>
      <w:lvlText w:val="%5."/>
      <w:lvlJc w:val="left"/>
      <w:pPr>
        <w:ind w:left="1020" w:hanging="360"/>
      </w:pPr>
    </w:lvl>
    <w:lvl w:ilvl="5" w:tplc="5C24280A">
      <w:start w:val="1"/>
      <w:numFmt w:val="decimal"/>
      <w:lvlText w:val="%6."/>
      <w:lvlJc w:val="left"/>
      <w:pPr>
        <w:ind w:left="1020" w:hanging="360"/>
      </w:pPr>
    </w:lvl>
    <w:lvl w:ilvl="6" w:tplc="4BD23AD8">
      <w:start w:val="1"/>
      <w:numFmt w:val="decimal"/>
      <w:lvlText w:val="%7."/>
      <w:lvlJc w:val="left"/>
      <w:pPr>
        <w:ind w:left="1020" w:hanging="360"/>
      </w:pPr>
    </w:lvl>
    <w:lvl w:ilvl="7" w:tplc="E21622D6">
      <w:start w:val="1"/>
      <w:numFmt w:val="decimal"/>
      <w:lvlText w:val="%8."/>
      <w:lvlJc w:val="left"/>
      <w:pPr>
        <w:ind w:left="1020" w:hanging="360"/>
      </w:pPr>
    </w:lvl>
    <w:lvl w:ilvl="8" w:tplc="CDE8CA1E">
      <w:start w:val="1"/>
      <w:numFmt w:val="decimal"/>
      <w:lvlText w:val="%9."/>
      <w:lvlJc w:val="left"/>
      <w:pPr>
        <w:ind w:left="1020" w:hanging="360"/>
      </w:pPr>
    </w:lvl>
  </w:abstractNum>
  <w:abstractNum w:abstractNumId="40"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4097247"/>
    <w:multiLevelType w:val="hybridMultilevel"/>
    <w:tmpl w:val="BCCEC3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65AF4827"/>
    <w:multiLevelType w:val="hybridMultilevel"/>
    <w:tmpl w:val="91747F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0D62F4"/>
    <w:multiLevelType w:val="hybridMultilevel"/>
    <w:tmpl w:val="FC2A7B26"/>
    <w:lvl w:ilvl="0" w:tplc="04090001">
      <w:start w:val="1"/>
      <w:numFmt w:val="bullet"/>
      <w:lvlText w:val=""/>
      <w:lvlJc w:val="left"/>
      <w:pPr>
        <w:ind w:left="360" w:hanging="360"/>
      </w:pPr>
      <w:rPr>
        <w:rFonts w:hint="default" w:ascii="Symbol" w:hAnsi="Symbol"/>
      </w:rPr>
    </w:lvl>
    <w:lvl w:ilvl="1" w:tplc="04090001">
      <w:start w:val="1"/>
      <w:numFmt w:val="bullet"/>
      <w:lvlText w:val=""/>
      <w:lvlJc w:val="left"/>
      <w:pPr>
        <w:ind w:left="1080" w:hanging="360"/>
      </w:pPr>
      <w:rPr>
        <w:rFonts w:hint="default" w:ascii="Symbol" w:hAnsi="Symbol"/>
      </w:rPr>
    </w:lvl>
    <w:lvl w:ilvl="2" w:tplc="04090001">
      <w:start w:val="1"/>
      <w:numFmt w:val="bullet"/>
      <w:lvlText w:val=""/>
      <w:lvlJc w:val="left"/>
      <w:pPr>
        <w:ind w:left="1800" w:hanging="360"/>
      </w:pPr>
      <w:rPr>
        <w:rFonts w:hint="default" w:ascii="Symbol" w:hAnsi="Symbol"/>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7" w15:restartNumberingAfterBreak="0">
    <w:nsid w:val="7512755F"/>
    <w:multiLevelType w:val="hybridMultilevel"/>
    <w:tmpl w:val="07C46B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8"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hint="default" w:cs="Times New Roman"/>
      </w:rPr>
    </w:lvl>
    <w:lvl w:ilvl="1">
      <w:start w:val="1"/>
      <w:numFmt w:val="decimal"/>
      <w:lvlText w:val="%1.%2."/>
      <w:lvlJc w:val="left"/>
      <w:pPr>
        <w:tabs>
          <w:tab w:val="num" w:pos="2016"/>
        </w:tabs>
        <w:ind w:left="1368" w:hanging="432"/>
      </w:pPr>
      <w:rPr>
        <w:rFonts w:hint="default" w:cs="Times New Roman"/>
      </w:rPr>
    </w:lvl>
    <w:lvl w:ilvl="2">
      <w:start w:val="1"/>
      <w:numFmt w:val="decimal"/>
      <w:lvlText w:val="%1.%2.%3."/>
      <w:lvlJc w:val="left"/>
      <w:pPr>
        <w:tabs>
          <w:tab w:val="num" w:pos="2736"/>
        </w:tabs>
        <w:ind w:left="1800" w:hanging="504"/>
      </w:pPr>
      <w:rPr>
        <w:rFonts w:hint="default" w:cs="Times New Roman"/>
      </w:rPr>
    </w:lvl>
    <w:lvl w:ilvl="3">
      <w:start w:val="1"/>
      <w:numFmt w:val="decimal"/>
      <w:lvlText w:val="%1.%2.%3.%4."/>
      <w:lvlJc w:val="left"/>
      <w:pPr>
        <w:tabs>
          <w:tab w:val="num" w:pos="3456"/>
        </w:tabs>
        <w:ind w:left="2304" w:hanging="648"/>
      </w:pPr>
      <w:rPr>
        <w:rFonts w:hint="default" w:cs="Times New Roman"/>
      </w:rPr>
    </w:lvl>
    <w:lvl w:ilvl="4">
      <w:start w:val="1"/>
      <w:numFmt w:val="decimal"/>
      <w:lvlText w:val="%1.%2.%3.%4.%5."/>
      <w:lvlJc w:val="left"/>
      <w:pPr>
        <w:tabs>
          <w:tab w:val="num" w:pos="4176"/>
        </w:tabs>
        <w:ind w:left="2808" w:hanging="792"/>
      </w:pPr>
      <w:rPr>
        <w:rFonts w:hint="default" w:cs="Times New Roman"/>
      </w:rPr>
    </w:lvl>
    <w:lvl w:ilvl="5">
      <w:start w:val="1"/>
      <w:numFmt w:val="decimal"/>
      <w:lvlText w:val="%1.%2.%3.%4.%5.%6."/>
      <w:lvlJc w:val="left"/>
      <w:pPr>
        <w:tabs>
          <w:tab w:val="num" w:pos="4896"/>
        </w:tabs>
        <w:ind w:left="3312" w:hanging="936"/>
      </w:pPr>
      <w:rPr>
        <w:rFonts w:hint="default" w:cs="Times New Roman"/>
      </w:rPr>
    </w:lvl>
    <w:lvl w:ilvl="6">
      <w:start w:val="1"/>
      <w:numFmt w:val="decimal"/>
      <w:lvlText w:val="%1.%2.%3.%4.%5.%6.%7."/>
      <w:lvlJc w:val="left"/>
      <w:pPr>
        <w:tabs>
          <w:tab w:val="num" w:pos="5616"/>
        </w:tabs>
        <w:ind w:left="3816" w:hanging="1080"/>
      </w:pPr>
      <w:rPr>
        <w:rFonts w:hint="default" w:cs="Times New Roman"/>
      </w:rPr>
    </w:lvl>
    <w:lvl w:ilvl="7">
      <w:start w:val="1"/>
      <w:numFmt w:val="decimal"/>
      <w:lvlText w:val="%1.%2.%3.%4.%5.%6.%7.%8."/>
      <w:lvlJc w:val="left"/>
      <w:pPr>
        <w:tabs>
          <w:tab w:val="num" w:pos="6336"/>
        </w:tabs>
        <w:ind w:left="4320" w:hanging="1224"/>
      </w:pPr>
      <w:rPr>
        <w:rFonts w:hint="default" w:cs="Times New Roman"/>
      </w:rPr>
    </w:lvl>
    <w:lvl w:ilvl="8">
      <w:start w:val="1"/>
      <w:numFmt w:val="decimal"/>
      <w:lvlText w:val="%1.%2.%3.%4.%5.%6.%7.%8.%9."/>
      <w:lvlJc w:val="left"/>
      <w:pPr>
        <w:tabs>
          <w:tab w:val="num" w:pos="7056"/>
        </w:tabs>
        <w:ind w:left="4896" w:hanging="1440"/>
      </w:pPr>
      <w:rPr>
        <w:rFonts w:hint="default" w:cs="Times New Roman"/>
      </w:rPr>
    </w:lvl>
  </w:abstractNum>
  <w:abstractNum w:abstractNumId="50" w15:restartNumberingAfterBreak="0">
    <w:nsid w:val="7A9755F8"/>
    <w:multiLevelType w:val="hybridMultilevel"/>
    <w:tmpl w:val="C57EF3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28698080">
    <w:abstractNumId w:val="17"/>
  </w:num>
  <w:num w:numId="2" w16cid:durableId="1430782854">
    <w:abstractNumId w:val="24"/>
  </w:num>
  <w:num w:numId="3" w16cid:durableId="1262760749">
    <w:abstractNumId w:val="37"/>
  </w:num>
  <w:num w:numId="4" w16cid:durableId="2078673501">
    <w:abstractNumId w:val="48"/>
  </w:num>
  <w:num w:numId="5" w16cid:durableId="64425076">
    <w:abstractNumId w:val="30"/>
  </w:num>
  <w:num w:numId="6" w16cid:durableId="713120234">
    <w:abstractNumId w:val="45"/>
  </w:num>
  <w:num w:numId="7" w16cid:durableId="552616304">
    <w:abstractNumId w:val="25"/>
  </w:num>
  <w:num w:numId="8" w16cid:durableId="214855693">
    <w:abstractNumId w:val="31"/>
  </w:num>
  <w:num w:numId="9" w16cid:durableId="1004866583">
    <w:abstractNumId w:val="51"/>
  </w:num>
  <w:num w:numId="10" w16cid:durableId="1468738738">
    <w:abstractNumId w:val="14"/>
  </w:num>
  <w:num w:numId="11" w16cid:durableId="1626041108">
    <w:abstractNumId w:val="41"/>
  </w:num>
  <w:num w:numId="12" w16cid:durableId="110245418">
    <w:abstractNumId w:val="23"/>
  </w:num>
  <w:num w:numId="13" w16cid:durableId="2133669152">
    <w:abstractNumId w:val="18"/>
  </w:num>
  <w:num w:numId="14" w16cid:durableId="921454303">
    <w:abstractNumId w:val="35"/>
  </w:num>
  <w:num w:numId="15" w16cid:durableId="1772434677">
    <w:abstractNumId w:val="16"/>
  </w:num>
  <w:num w:numId="16" w16cid:durableId="995381217">
    <w:abstractNumId w:val="42"/>
  </w:num>
  <w:num w:numId="17" w16cid:durableId="305666350">
    <w:abstractNumId w:val="19"/>
  </w:num>
  <w:num w:numId="18" w16cid:durableId="1127162937">
    <w:abstractNumId w:val="28"/>
  </w:num>
  <w:num w:numId="19" w16cid:durableId="765805737">
    <w:abstractNumId w:val="40"/>
  </w:num>
  <w:num w:numId="20" w16cid:durableId="687869556">
    <w:abstractNumId w:val="34"/>
  </w:num>
  <w:num w:numId="21" w16cid:durableId="1982033166">
    <w:abstractNumId w:val="32"/>
  </w:num>
  <w:num w:numId="22" w16cid:durableId="1508321577">
    <w:abstractNumId w:val="12"/>
  </w:num>
  <w:num w:numId="23" w16cid:durableId="1031690303">
    <w:abstractNumId w:val="13"/>
  </w:num>
  <w:num w:numId="24" w16cid:durableId="827936864">
    <w:abstractNumId w:val="33"/>
  </w:num>
  <w:num w:numId="25" w16cid:durableId="35468889">
    <w:abstractNumId w:val="22"/>
  </w:num>
  <w:num w:numId="26" w16cid:durableId="758528106">
    <w:abstractNumId w:val="26"/>
  </w:num>
  <w:num w:numId="27" w16cid:durableId="102238558">
    <w:abstractNumId w:val="9"/>
  </w:num>
  <w:num w:numId="28" w16cid:durableId="1243638165">
    <w:abstractNumId w:val="7"/>
  </w:num>
  <w:num w:numId="29" w16cid:durableId="1699308459">
    <w:abstractNumId w:val="6"/>
  </w:num>
  <w:num w:numId="30" w16cid:durableId="538512142">
    <w:abstractNumId w:val="5"/>
  </w:num>
  <w:num w:numId="31" w16cid:durableId="2088576689">
    <w:abstractNumId w:val="4"/>
  </w:num>
  <w:num w:numId="32" w16cid:durableId="1763717347">
    <w:abstractNumId w:val="8"/>
  </w:num>
  <w:num w:numId="33" w16cid:durableId="1582908554">
    <w:abstractNumId w:val="3"/>
  </w:num>
  <w:num w:numId="34" w16cid:durableId="729688867">
    <w:abstractNumId w:val="2"/>
  </w:num>
  <w:num w:numId="35" w16cid:durableId="1099764021">
    <w:abstractNumId w:val="1"/>
  </w:num>
  <w:num w:numId="36" w16cid:durableId="1373534008">
    <w:abstractNumId w:val="0"/>
  </w:num>
  <w:num w:numId="37" w16cid:durableId="1906181616">
    <w:abstractNumId w:val="38"/>
  </w:num>
  <w:num w:numId="38" w16cid:durableId="1455639219">
    <w:abstractNumId w:val="49"/>
  </w:num>
  <w:num w:numId="39" w16cid:durableId="1804958307">
    <w:abstractNumId w:val="15"/>
  </w:num>
  <w:num w:numId="40" w16cid:durableId="1690184655">
    <w:abstractNumId w:val="46"/>
  </w:num>
  <w:num w:numId="41" w16cid:durableId="944340633">
    <w:abstractNumId w:val="36"/>
  </w:num>
  <w:num w:numId="42" w16cid:durableId="1531138483">
    <w:abstractNumId w:val="47"/>
  </w:num>
  <w:num w:numId="43" w16cid:durableId="1511067297">
    <w:abstractNumId w:val="29"/>
  </w:num>
  <w:num w:numId="44" w16cid:durableId="1841580137">
    <w:abstractNumId w:val="44"/>
  </w:num>
  <w:num w:numId="45" w16cid:durableId="906184223">
    <w:abstractNumId w:val="27"/>
  </w:num>
  <w:num w:numId="46" w16cid:durableId="1094669190">
    <w:abstractNumId w:val="11"/>
  </w:num>
  <w:num w:numId="47" w16cid:durableId="847216447">
    <w:abstractNumId w:val="43"/>
  </w:num>
  <w:num w:numId="48" w16cid:durableId="1728801892">
    <w:abstractNumId w:val="50"/>
  </w:num>
  <w:num w:numId="49" w16cid:durableId="1403865142">
    <w:abstractNumId w:val="10"/>
  </w:num>
  <w:num w:numId="50" w16cid:durableId="1028262603">
    <w:abstractNumId w:val="39"/>
  </w:num>
  <w:num w:numId="51" w16cid:durableId="866140528">
    <w:abstractNumId w:val="21"/>
  </w:num>
  <w:num w:numId="52" w16cid:durableId="1843545826">
    <w:abstractNumId w:val="20"/>
  </w:num>
  <w:numIdMacAtCleanup w:val="49"/>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6"/>
  <w:doNotDisplayPageBoundarie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3CF"/>
    <w:rsid w:val="00002C2E"/>
    <w:rsid w:val="000114A0"/>
    <w:rsid w:val="00022101"/>
    <w:rsid w:val="00024815"/>
    <w:rsid w:val="00024ABD"/>
    <w:rsid w:val="00030F75"/>
    <w:rsid w:val="0003271E"/>
    <w:rsid w:val="00044F6F"/>
    <w:rsid w:val="00057424"/>
    <w:rsid w:val="00065276"/>
    <w:rsid w:val="0007036E"/>
    <w:rsid w:val="0007673D"/>
    <w:rsid w:val="00090FF9"/>
    <w:rsid w:val="000B5F9B"/>
    <w:rsid w:val="000B6B54"/>
    <w:rsid w:val="000B7601"/>
    <w:rsid w:val="000C3D5E"/>
    <w:rsid w:val="001141D7"/>
    <w:rsid w:val="00123783"/>
    <w:rsid w:val="0013225F"/>
    <w:rsid w:val="001342AD"/>
    <w:rsid w:val="00134EB1"/>
    <w:rsid w:val="001352C5"/>
    <w:rsid w:val="00140BE3"/>
    <w:rsid w:val="00147BFE"/>
    <w:rsid w:val="00154F5E"/>
    <w:rsid w:val="00161775"/>
    <w:rsid w:val="00164873"/>
    <w:rsid w:val="00166553"/>
    <w:rsid w:val="0017321B"/>
    <w:rsid w:val="00176A1F"/>
    <w:rsid w:val="001841D3"/>
    <w:rsid w:val="00192987"/>
    <w:rsid w:val="00197FD9"/>
    <w:rsid w:val="001A256A"/>
    <w:rsid w:val="001A732D"/>
    <w:rsid w:val="001B7A03"/>
    <w:rsid w:val="001C415B"/>
    <w:rsid w:val="001D7722"/>
    <w:rsid w:val="001E2522"/>
    <w:rsid w:val="001E309C"/>
    <w:rsid w:val="001F29C2"/>
    <w:rsid w:val="001F7B36"/>
    <w:rsid w:val="00201F7E"/>
    <w:rsid w:val="0021439C"/>
    <w:rsid w:val="00215644"/>
    <w:rsid w:val="002272C6"/>
    <w:rsid w:val="002343CF"/>
    <w:rsid w:val="00244E93"/>
    <w:rsid w:val="0024513D"/>
    <w:rsid w:val="002460A2"/>
    <w:rsid w:val="002568F0"/>
    <w:rsid w:val="00271B24"/>
    <w:rsid w:val="00281262"/>
    <w:rsid w:val="00285C5A"/>
    <w:rsid w:val="00286CDB"/>
    <w:rsid w:val="0028727E"/>
    <w:rsid w:val="00292825"/>
    <w:rsid w:val="00295B2A"/>
    <w:rsid w:val="002A132A"/>
    <w:rsid w:val="002B1DAC"/>
    <w:rsid w:val="002B2C5A"/>
    <w:rsid w:val="002C5E17"/>
    <w:rsid w:val="002D05EB"/>
    <w:rsid w:val="002D19EB"/>
    <w:rsid w:val="002E3907"/>
    <w:rsid w:val="002E55AF"/>
    <w:rsid w:val="002F03F8"/>
    <w:rsid w:val="002F7DAE"/>
    <w:rsid w:val="003017C5"/>
    <w:rsid w:val="003129C4"/>
    <w:rsid w:val="00312E44"/>
    <w:rsid w:val="0033415A"/>
    <w:rsid w:val="00341DE9"/>
    <w:rsid w:val="00346B3D"/>
    <w:rsid w:val="00355500"/>
    <w:rsid w:val="00362261"/>
    <w:rsid w:val="00365C82"/>
    <w:rsid w:val="00373695"/>
    <w:rsid w:val="00375BE8"/>
    <w:rsid w:val="00390637"/>
    <w:rsid w:val="0039730A"/>
    <w:rsid w:val="003A4796"/>
    <w:rsid w:val="003A7DDA"/>
    <w:rsid w:val="003B36D7"/>
    <w:rsid w:val="003C725C"/>
    <w:rsid w:val="003D07AB"/>
    <w:rsid w:val="003E1E3F"/>
    <w:rsid w:val="00403D20"/>
    <w:rsid w:val="00404B9C"/>
    <w:rsid w:val="004144B0"/>
    <w:rsid w:val="0042378B"/>
    <w:rsid w:val="00436EEB"/>
    <w:rsid w:val="00443CB4"/>
    <w:rsid w:val="00452E0F"/>
    <w:rsid w:val="00455199"/>
    <w:rsid w:val="0046370F"/>
    <w:rsid w:val="00471720"/>
    <w:rsid w:val="004766D7"/>
    <w:rsid w:val="00484BFB"/>
    <w:rsid w:val="004B2E3F"/>
    <w:rsid w:val="004B5520"/>
    <w:rsid w:val="004B563D"/>
    <w:rsid w:val="004C5DBE"/>
    <w:rsid w:val="004D3EF5"/>
    <w:rsid w:val="004D7DA8"/>
    <w:rsid w:val="004E582F"/>
    <w:rsid w:val="004E5BA7"/>
    <w:rsid w:val="004F11CF"/>
    <w:rsid w:val="004F52FA"/>
    <w:rsid w:val="00533B71"/>
    <w:rsid w:val="00534856"/>
    <w:rsid w:val="00542A45"/>
    <w:rsid w:val="00542C70"/>
    <w:rsid w:val="005466DC"/>
    <w:rsid w:val="00556526"/>
    <w:rsid w:val="00561800"/>
    <w:rsid w:val="0057365B"/>
    <w:rsid w:val="00581A1F"/>
    <w:rsid w:val="00591137"/>
    <w:rsid w:val="00593183"/>
    <w:rsid w:val="00593F60"/>
    <w:rsid w:val="005B376D"/>
    <w:rsid w:val="005D2125"/>
    <w:rsid w:val="005D53E7"/>
    <w:rsid w:val="005E18C8"/>
    <w:rsid w:val="005E43D0"/>
    <w:rsid w:val="006037FA"/>
    <w:rsid w:val="00607AC6"/>
    <w:rsid w:val="0061225A"/>
    <w:rsid w:val="00613D68"/>
    <w:rsid w:val="00622176"/>
    <w:rsid w:val="006321D7"/>
    <w:rsid w:val="006353B7"/>
    <w:rsid w:val="006444CE"/>
    <w:rsid w:val="00647009"/>
    <w:rsid w:val="00651B5C"/>
    <w:rsid w:val="006532F5"/>
    <w:rsid w:val="006630CC"/>
    <w:rsid w:val="00676301"/>
    <w:rsid w:val="00685E0E"/>
    <w:rsid w:val="006A34AA"/>
    <w:rsid w:val="006B2E3B"/>
    <w:rsid w:val="006B50E4"/>
    <w:rsid w:val="006C41C7"/>
    <w:rsid w:val="006C4ED2"/>
    <w:rsid w:val="006D21E7"/>
    <w:rsid w:val="006D4A66"/>
    <w:rsid w:val="006E2860"/>
    <w:rsid w:val="006E43A6"/>
    <w:rsid w:val="006E7F97"/>
    <w:rsid w:val="006F6B54"/>
    <w:rsid w:val="007059F0"/>
    <w:rsid w:val="00707CD4"/>
    <w:rsid w:val="0071249D"/>
    <w:rsid w:val="00722463"/>
    <w:rsid w:val="007375C6"/>
    <w:rsid w:val="007423E4"/>
    <w:rsid w:val="0076060B"/>
    <w:rsid w:val="00781808"/>
    <w:rsid w:val="00782912"/>
    <w:rsid w:val="007A0065"/>
    <w:rsid w:val="007A0D97"/>
    <w:rsid w:val="007A2EF7"/>
    <w:rsid w:val="007C5131"/>
    <w:rsid w:val="007D7BAB"/>
    <w:rsid w:val="007E1990"/>
    <w:rsid w:val="007E293E"/>
    <w:rsid w:val="007E3C0E"/>
    <w:rsid w:val="007F6AE4"/>
    <w:rsid w:val="00800D2C"/>
    <w:rsid w:val="008019FB"/>
    <w:rsid w:val="0082013F"/>
    <w:rsid w:val="008210D4"/>
    <w:rsid w:val="00821E13"/>
    <w:rsid w:val="00831540"/>
    <w:rsid w:val="008354A5"/>
    <w:rsid w:val="0083773E"/>
    <w:rsid w:val="0085664B"/>
    <w:rsid w:val="008626FA"/>
    <w:rsid w:val="008749DA"/>
    <w:rsid w:val="008820DC"/>
    <w:rsid w:val="008821D3"/>
    <w:rsid w:val="00885307"/>
    <w:rsid w:val="00895ADF"/>
    <w:rsid w:val="008B0CAF"/>
    <w:rsid w:val="008B6B65"/>
    <w:rsid w:val="008B7D80"/>
    <w:rsid w:val="008D6288"/>
    <w:rsid w:val="008D7EEE"/>
    <w:rsid w:val="008E2886"/>
    <w:rsid w:val="008E3450"/>
    <w:rsid w:val="008E3773"/>
    <w:rsid w:val="008E7947"/>
    <w:rsid w:val="008E7EAE"/>
    <w:rsid w:val="008F0617"/>
    <w:rsid w:val="009055E4"/>
    <w:rsid w:val="00914B3E"/>
    <w:rsid w:val="0091516F"/>
    <w:rsid w:val="00945D80"/>
    <w:rsid w:val="009554CB"/>
    <w:rsid w:val="00960245"/>
    <w:rsid w:val="00963DCC"/>
    <w:rsid w:val="009677FD"/>
    <w:rsid w:val="00975B0F"/>
    <w:rsid w:val="00981E7A"/>
    <w:rsid w:val="009832DB"/>
    <w:rsid w:val="00983C22"/>
    <w:rsid w:val="00986946"/>
    <w:rsid w:val="00991DCD"/>
    <w:rsid w:val="009A6AB4"/>
    <w:rsid w:val="009C1BC7"/>
    <w:rsid w:val="009D4F0D"/>
    <w:rsid w:val="009E2F97"/>
    <w:rsid w:val="00A04BD7"/>
    <w:rsid w:val="00A262AF"/>
    <w:rsid w:val="00A33BEC"/>
    <w:rsid w:val="00A4165D"/>
    <w:rsid w:val="00A42EA9"/>
    <w:rsid w:val="00A43503"/>
    <w:rsid w:val="00A474C5"/>
    <w:rsid w:val="00A51DFB"/>
    <w:rsid w:val="00A74BF2"/>
    <w:rsid w:val="00A7509F"/>
    <w:rsid w:val="00A8013F"/>
    <w:rsid w:val="00AB54EC"/>
    <w:rsid w:val="00AB7BFE"/>
    <w:rsid w:val="00AD7B3A"/>
    <w:rsid w:val="00AE5E18"/>
    <w:rsid w:val="00B002A8"/>
    <w:rsid w:val="00B068A0"/>
    <w:rsid w:val="00B278E9"/>
    <w:rsid w:val="00B43670"/>
    <w:rsid w:val="00B63846"/>
    <w:rsid w:val="00B66F6A"/>
    <w:rsid w:val="00B73915"/>
    <w:rsid w:val="00B82E5C"/>
    <w:rsid w:val="00B83D61"/>
    <w:rsid w:val="00B940E0"/>
    <w:rsid w:val="00B951B6"/>
    <w:rsid w:val="00BA214F"/>
    <w:rsid w:val="00BB3B35"/>
    <w:rsid w:val="00BD7C7D"/>
    <w:rsid w:val="00BF6C59"/>
    <w:rsid w:val="00C01529"/>
    <w:rsid w:val="00C148EC"/>
    <w:rsid w:val="00C14F6B"/>
    <w:rsid w:val="00C16070"/>
    <w:rsid w:val="00C22507"/>
    <w:rsid w:val="00C248AE"/>
    <w:rsid w:val="00C253A3"/>
    <w:rsid w:val="00C31F32"/>
    <w:rsid w:val="00C32DAC"/>
    <w:rsid w:val="00C51F4F"/>
    <w:rsid w:val="00C609AB"/>
    <w:rsid w:val="00C6143C"/>
    <w:rsid w:val="00C64D3B"/>
    <w:rsid w:val="00CA1C8C"/>
    <w:rsid w:val="00CA79FA"/>
    <w:rsid w:val="00CF4BF1"/>
    <w:rsid w:val="00CF5934"/>
    <w:rsid w:val="00D07803"/>
    <w:rsid w:val="00D3483F"/>
    <w:rsid w:val="00D35488"/>
    <w:rsid w:val="00D42E32"/>
    <w:rsid w:val="00D525AB"/>
    <w:rsid w:val="00D676A9"/>
    <w:rsid w:val="00D711DD"/>
    <w:rsid w:val="00D761EA"/>
    <w:rsid w:val="00D911BB"/>
    <w:rsid w:val="00DB20F0"/>
    <w:rsid w:val="00DF370A"/>
    <w:rsid w:val="00E00D0E"/>
    <w:rsid w:val="00E01559"/>
    <w:rsid w:val="00E07C5D"/>
    <w:rsid w:val="00E31483"/>
    <w:rsid w:val="00E46E87"/>
    <w:rsid w:val="00E55CB5"/>
    <w:rsid w:val="00E57D69"/>
    <w:rsid w:val="00E66B09"/>
    <w:rsid w:val="00EA5ADD"/>
    <w:rsid w:val="00EA6FA1"/>
    <w:rsid w:val="00EB6A46"/>
    <w:rsid w:val="00EB7ED3"/>
    <w:rsid w:val="00ED44C2"/>
    <w:rsid w:val="00EE3D84"/>
    <w:rsid w:val="00F02AE9"/>
    <w:rsid w:val="00F152DD"/>
    <w:rsid w:val="00F17694"/>
    <w:rsid w:val="00F22010"/>
    <w:rsid w:val="00F2252C"/>
    <w:rsid w:val="00F23CBF"/>
    <w:rsid w:val="00F2645D"/>
    <w:rsid w:val="00F40F25"/>
    <w:rsid w:val="00F566E3"/>
    <w:rsid w:val="00F6330E"/>
    <w:rsid w:val="00F6332D"/>
    <w:rsid w:val="00F80A95"/>
    <w:rsid w:val="00F914AB"/>
    <w:rsid w:val="00FA700C"/>
    <w:rsid w:val="00FB482E"/>
    <w:rsid w:val="00FC2081"/>
    <w:rsid w:val="00FD6583"/>
    <w:rsid w:val="00FD77B6"/>
    <w:rsid w:val="00FE0D07"/>
    <w:rsid w:val="00FE2FF6"/>
    <w:rsid w:val="00FF1E30"/>
    <w:rsid w:val="00FF44F8"/>
    <w:rsid w:val="00FF60F2"/>
    <w:rsid w:val="3B7AF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99FED"/>
  <w15:docId w15:val="{ED58DAA6-8DDF-4EFC-B201-6639ADB34B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uiPriority="0" w:semiHidden="1" w:unhideWhenUsed="1"/>
    <w:lsdException w:name="index 2" w:uiPriority="0" w:semiHidden="1" w:unhideWhenUsed="1"/>
    <w:lsdException w:name="index 3" w:uiPriority="0" w:semiHidden="1" w:unhideWhenUsed="1"/>
    <w:lsdException w:name="index 4" w:uiPriority="0" w:semiHidden="1" w:unhideWhenUsed="1"/>
    <w:lsdException w:name="index 5" w:uiPriority="0" w:semiHidden="1" w:unhideWhenUsed="1"/>
    <w:lsdException w:name="index 6" w:uiPriority="0" w:semiHidden="1" w:unhideWhenUsed="1"/>
    <w:lsdException w:name="index 7" w:uiPriority="0" w:semiHidden="1" w:unhideWhenUsed="1"/>
    <w:lsdException w:name="index 8" w:uiPriority="0" w:semiHidden="1" w:unhideWhenUsed="1"/>
    <w:lsdException w:name="index 9" w:uiPriority="0"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uiPriority="0"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uiPriority="0" w:semiHidden="1" w:unhideWhenUsed="1"/>
    <w:lsdException w:name="caption" w:uiPriority="0" w:semiHidden="1" w:unhideWhenUsed="1" w:qFormat="1"/>
    <w:lsdException w:name="table of figures" w:semiHidden="1" w:unhideWhenUsed="1"/>
    <w:lsdException w:name="envelope address" w:uiPriority="0" w:semiHidden="1" w:unhideWhenUsed="1"/>
    <w:lsdException w:name="envelope return" w:uiPriority="0"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uiPriority="0" w:semiHidden="1" w:unhideWhenUsed="1"/>
    <w:lsdException w:name="macro" w:uiPriority="0" w:semiHidden="1" w:unhideWhenUsed="1"/>
    <w:lsdException w:name="toa heading" w:uiPriority="0" w:semiHidden="1" w:unhideWhenUsed="1"/>
    <w:lsdException w:name="List" w:uiPriority="0" w:semiHidden="1" w:unhideWhenUsed="1"/>
    <w:lsdException w:name="List Bullet" w:uiPriority="0" w:semiHidden="1" w:unhideWhenUsed="1" w:qFormat="1"/>
    <w:lsdException w:name="List Number" w:uiPriority="0" w:semiHidden="1" w:unhideWhenUsed="1" w:qFormat="1"/>
    <w:lsdException w:name="List 2" w:uiPriority="0" w:semiHidden="1" w:unhideWhenUsed="1"/>
    <w:lsdException w:name="List 3" w:uiPriority="0" w:semiHidden="1" w:unhideWhenUsed="1"/>
    <w:lsdException w:name="List 4" w:uiPriority="0" w:semiHidden="1" w:unhideWhenUsed="1"/>
    <w:lsdException w:name="List 5" w:uiPriority="0"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uiPriority="0" w:semiHidden="1" w:unhideWhenUsed="1"/>
    <w:lsdException w:name="Title" w:uiPriority="10" w:qFormat="1"/>
    <w:lsdException w:name="Closing" w:uiPriority="0" w:semiHidden="1" w:unhideWhenUsed="1"/>
    <w:lsdException w:name="Signature" w:uiPriority="0"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uiPriority="0" w:semiHidden="1" w:unhideWhenUsed="1"/>
    <w:lsdException w:name="List Continue 2" w:uiPriority="0" w:semiHidden="1" w:unhideWhenUsed="1"/>
    <w:lsdException w:name="List Continue 3" w:uiPriority="0" w:semiHidden="1" w:unhideWhenUsed="1"/>
    <w:lsdException w:name="List Continue 4" w:uiPriority="0" w:semiHidden="1" w:unhideWhenUsed="1"/>
    <w:lsdException w:name="List Continue 5" w:uiPriority="0" w:semiHidden="1" w:unhideWhenUsed="1"/>
    <w:lsdException w:name="Message Header" w:uiPriority="0" w:semiHidden="1" w:unhideWhenUsed="1"/>
    <w:lsdException w:name="Subtitle" w:uiPriority="11" w:qFormat="1"/>
    <w:lsdException w:name="Salutation" w:uiPriority="0" w:semiHidden="1" w:unhideWhenUsed="1"/>
    <w:lsdException w:name="Date" w:uiPriority="0" w:semiHidden="1" w:unhideWhenUsed="1"/>
    <w:lsdException w:name="Body Text First Indent" w:uiPriority="0" w:semiHidden="1" w:unhideWhenUsed="1"/>
    <w:lsdException w:name="Body Text First Indent 2" w:uiPriority="0" w:semiHidden="1" w:unhideWhenUsed="1"/>
    <w:lsdException w:name="Note Heading" w:uiPriority="0"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uiPriority="0" w:semiHidden="1" w:unhideWhenUsed="1"/>
    <w:lsdException w:name="Strong" w:uiPriority="0" w:qFormat="1"/>
    <w:lsdException w:name="Emphasis" w:uiPriority="20" w:qFormat="1"/>
    <w:lsdException w:name="Document Map" w:uiPriority="0" w:semiHidden="1" w:unhideWhenUsed="1"/>
    <w:lsdException w:name="Plain Text" w:uiPriority="0" w:semiHidden="1" w:unhideWhenUsed="1"/>
    <w:lsdException w:name="E-mail Signature" w:uiPriority="0"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uiPriority="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uiPriority="0"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uiPriority="0"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6C94"/>
    <w:pPr>
      <w:suppressAutoHyphens/>
      <w:spacing w:before="120" w:after="120"/>
    </w:pPr>
    <w:rPr>
      <w:sz w:val="24"/>
      <w:szCs w:val="24"/>
    </w:rPr>
  </w:style>
  <w:style w:type="paragraph" w:styleId="Heading10">
    <w:name w:val="heading 1"/>
    <w:basedOn w:val="GHBodytext"/>
    <w:next w:val="GHBodytext"/>
    <w:link w:val="Heading1Char"/>
    <w:autoRedefine/>
    <w:qFormat/>
    <w:rsid w:val="00A42EA9"/>
    <w:pPr>
      <w:keepNext/>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pPr>
      <w:spacing w:before="80"/>
      <w:outlineLvl w:val="1"/>
    </w:pPr>
    <w:rPr>
      <w:bCs w:val="0"/>
      <w:i/>
      <w:iCs/>
      <w:sz w:val="28"/>
      <w:szCs w:val="28"/>
    </w:rPr>
  </w:style>
  <w:style w:type="paragraph" w:styleId="Heading3">
    <w:name w:val="heading 3"/>
    <w:basedOn w:val="Heading2"/>
    <w:next w:val="GHBodytext"/>
    <w:unhideWhenUsed/>
    <w:qFormat/>
    <w:pPr>
      <w:outlineLvl w:val="2"/>
    </w:pPr>
    <w:rPr>
      <w:bCs/>
      <w:i w:val="0"/>
      <w:sz w:val="26"/>
      <w:szCs w:val="26"/>
    </w:rPr>
  </w:style>
  <w:style w:type="paragraph" w:styleId="Heading4">
    <w:name w:val="heading 4"/>
    <w:basedOn w:val="Heading3"/>
    <w:next w:val="GHBodytext"/>
    <w:link w:val="Heading4Char"/>
    <w:unhideWhenUsed/>
    <w:qFormat/>
    <w:pPr>
      <w:outlineLvl w:val="3"/>
    </w:pPr>
    <w:rPr>
      <w:bCs w:val="0"/>
      <w:sz w:val="24"/>
      <w:szCs w:val="28"/>
    </w:rPr>
  </w:style>
  <w:style w:type="paragraph" w:styleId="Heading5">
    <w:name w:val="heading 5"/>
    <w:aliases w:val="Append Level 1"/>
    <w:basedOn w:val="Heading4"/>
    <w:next w:val="GHBodytext"/>
    <w:link w:val="Heading5Char"/>
    <w:unhideWhenUsed/>
    <w:qFormat/>
    <w:pPr>
      <w:outlineLvl w:val="4"/>
    </w:pPr>
    <w:rPr>
      <w:bCs/>
      <w:i/>
      <w:iCs w:val="0"/>
      <w:szCs w:val="26"/>
    </w:rPr>
  </w:style>
  <w:style w:type="paragraph" w:styleId="Heading6">
    <w:name w:val="heading 6"/>
    <w:aliases w:val="Append Level 2"/>
    <w:basedOn w:val="Heading10"/>
    <w:next w:val="GHBodytext"/>
    <w:link w:val="Heading6Char"/>
    <w:unhideWhenUsed/>
    <w:qFormat/>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pPr>
      <w:ind w:left="576" w:hanging="576"/>
      <w:outlineLvl w:val="6"/>
    </w:pPr>
    <w:rPr>
      <w:bCs/>
      <w:szCs w:val="32"/>
    </w:rPr>
  </w:style>
  <w:style w:type="paragraph" w:styleId="Heading8">
    <w:name w:val="heading 8"/>
    <w:aliases w:val="Exec Sum Level 1,Append Level 4"/>
    <w:basedOn w:val="Heading3"/>
    <w:next w:val="GHBodytext"/>
    <w:link w:val="Heading8Char"/>
    <w:qFormat/>
    <w:pPr>
      <w:tabs>
        <w:tab w:val="left" w:pos="792"/>
      </w:tabs>
      <w:ind w:left="792" w:hanging="792"/>
      <w:outlineLvl w:val="7"/>
    </w:pPr>
    <w:rPr>
      <w:iCs w:val="0"/>
    </w:rPr>
  </w:style>
  <w:style w:type="paragraph" w:styleId="Heading9">
    <w:name w:val="heading 9"/>
    <w:aliases w:val="Exec Sum Level 2"/>
    <w:basedOn w:val="Heading4"/>
    <w:next w:val="GHBodytext"/>
    <w:link w:val="Heading9Char"/>
    <w:qFormat/>
    <w:pPr>
      <w:ind w:left="936" w:hanging="936"/>
      <w:outlineLvl w:val="8"/>
    </w:pPr>
    <w:rPr>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GHBodytext" w:customStyle="1">
    <w:name w:val="GH_Bodytext"/>
    <w:basedOn w:val="Normal"/>
    <w:pPr>
      <w:spacing w:before="0" w:after="80"/>
    </w:pPr>
    <w:rPr>
      <w:rFonts w:ascii="Arial" w:hAnsi="Arial"/>
    </w:rPr>
  </w:style>
  <w:style w:type="paragraph" w:styleId="GHBullet1" w:customStyle="1">
    <w:name w:val="GH_Bullet1"/>
    <w:basedOn w:val="GHBodytext"/>
    <w:pPr>
      <w:numPr>
        <w:numId w:val="1"/>
      </w:numPr>
      <w:contextualSpacing/>
    </w:pPr>
  </w:style>
  <w:style w:type="paragraph" w:styleId="GHBullet2" w:customStyle="1">
    <w:name w:val="GH_Bullet2"/>
    <w:basedOn w:val="GHBodytext"/>
    <w:pPr>
      <w:numPr>
        <w:numId w:val="2"/>
      </w:numPr>
      <w:contextualSpacing/>
    </w:pPr>
  </w:style>
  <w:style w:type="paragraph" w:styleId="GHBullet3" w:customStyle="1">
    <w:name w:val="GH_Bullet3"/>
    <w:basedOn w:val="GHBodytext"/>
    <w:pPr>
      <w:numPr>
        <w:numId w:val="3"/>
      </w:numPr>
      <w:contextualSpacing/>
    </w:pPr>
  </w:style>
  <w:style w:type="paragraph" w:styleId="GHBullet1Indent" w:customStyle="1">
    <w:name w:val="GH_Bullet1_Indent"/>
    <w:basedOn w:val="GHBodytext"/>
    <w:pPr>
      <w:ind w:left="346"/>
    </w:pPr>
  </w:style>
  <w:style w:type="paragraph" w:styleId="GHBullet2Indent" w:customStyle="1">
    <w:name w:val="GH_Bullet2_Indent"/>
    <w:basedOn w:val="GHBodytext"/>
    <w:pPr>
      <w:ind w:left="518"/>
    </w:pPr>
  </w:style>
  <w:style w:type="paragraph" w:styleId="GHBullet3Indent" w:customStyle="1">
    <w:name w:val="GH_Bullet3_Indent"/>
    <w:basedOn w:val="GHBodytext"/>
    <w:pPr>
      <w:ind w:left="691"/>
    </w:pPr>
  </w:style>
  <w:style w:type="paragraph" w:styleId="Header">
    <w:name w:val="header"/>
    <w:basedOn w:val="GHBodytext"/>
    <w:link w:val="HeaderChar"/>
    <w:pPr>
      <w:tabs>
        <w:tab w:val="center" w:pos="4320"/>
        <w:tab w:val="right" w:pos="8640"/>
      </w:tabs>
      <w:spacing w:after="0"/>
    </w:pPr>
    <w:rPr>
      <w:sz w:val="20"/>
    </w:rPr>
  </w:style>
  <w:style w:type="paragraph" w:styleId="Footer">
    <w:name w:val="footer"/>
    <w:basedOn w:val="GHBodytext"/>
    <w:link w:val="FooterChar"/>
    <w:pPr>
      <w:tabs>
        <w:tab w:val="center" w:pos="4320"/>
        <w:tab w:val="right" w:pos="8640"/>
      </w:tabs>
      <w:spacing w:after="0"/>
    </w:pPr>
  </w:style>
  <w:style w:type="paragraph" w:styleId="GHPPandResTableBullet2" w:customStyle="1">
    <w:name w:val="GH_PP and Res_TableBullet2"/>
    <w:basedOn w:val="GHPPandResTablebody"/>
    <w:pPr>
      <w:numPr>
        <w:numId w:val="16"/>
      </w:numPr>
    </w:pPr>
  </w:style>
  <w:style w:type="paragraph" w:styleId="GHFigureCaption" w:customStyle="1">
    <w:name w:val="GH_Figure_Caption"/>
    <w:basedOn w:val="GHBodytext"/>
    <w:next w:val="GHBodytext"/>
    <w:pPr>
      <w:numPr>
        <w:numId w:val="4"/>
      </w:numPr>
      <w:tabs>
        <w:tab w:val="left" w:pos="-432"/>
      </w:tabs>
      <w:spacing w:before="60"/>
      <w:jc w:val="center"/>
    </w:pPr>
    <w:rPr>
      <w:b/>
    </w:rPr>
  </w:style>
  <w:style w:type="paragraph" w:styleId="GHTableCaption" w:customStyle="1">
    <w:name w:val="GH_Table_Caption"/>
    <w:basedOn w:val="GHBodytext"/>
    <w:next w:val="GHBodytext"/>
    <w:pPr>
      <w:numPr>
        <w:numId w:val="5"/>
      </w:numPr>
      <w:tabs>
        <w:tab w:val="left" w:pos="-432"/>
      </w:tabs>
      <w:spacing w:after="0"/>
      <w:jc w:val="center"/>
    </w:pPr>
    <w:rPr>
      <w:b/>
    </w:rPr>
  </w:style>
  <w:style w:type="paragraph" w:styleId="GHNumberLevel1" w:customStyle="1">
    <w:name w:val="GH_NumberLevel_1"/>
    <w:basedOn w:val="GHBodytext"/>
    <w:pPr>
      <w:numPr>
        <w:numId w:val="6"/>
      </w:numPr>
      <w:contextualSpacing/>
    </w:pPr>
  </w:style>
  <w:style w:type="paragraph" w:styleId="GHNumberLevel2" w:customStyle="1">
    <w:name w:val="GH_NumberLevel_2"/>
    <w:basedOn w:val="GHBodytext"/>
    <w:pPr>
      <w:numPr>
        <w:numId w:val="7"/>
      </w:numPr>
      <w:contextualSpacing/>
    </w:pPr>
  </w:style>
  <w:style w:type="paragraph" w:styleId="GHNumberLevel3" w:customStyle="1">
    <w:name w:val="GH_NumberLevel_3"/>
    <w:basedOn w:val="GHBodytext"/>
    <w:pPr>
      <w:numPr>
        <w:numId w:val="8"/>
      </w:numPr>
      <w:contextualSpacing/>
    </w:pPr>
  </w:style>
  <w:style w:type="paragraph" w:styleId="GHTablebody" w:customStyle="1">
    <w:name w:val="GH_Tablebody"/>
    <w:basedOn w:val="GHBodytext"/>
    <w:pPr>
      <w:spacing w:after="0"/>
    </w:pPr>
    <w:rPr>
      <w:sz w:val="18"/>
    </w:rPr>
  </w:style>
  <w:style w:type="paragraph" w:styleId="GHTableBullet1" w:customStyle="1">
    <w:name w:val="GH_TableBullet1"/>
    <w:basedOn w:val="GHTablebody"/>
    <w:pPr>
      <w:numPr>
        <w:numId w:val="9"/>
      </w:numPr>
    </w:pPr>
  </w:style>
  <w:style w:type="paragraph" w:styleId="GHTableBullet2" w:customStyle="1">
    <w:name w:val="GH_TableBullet2"/>
    <w:basedOn w:val="GHTablebody"/>
    <w:pPr>
      <w:numPr>
        <w:numId w:val="10"/>
      </w:numPr>
    </w:pPr>
  </w:style>
  <w:style w:type="paragraph" w:styleId="GHTableBullet3" w:customStyle="1">
    <w:name w:val="GH_TableBullet3"/>
    <w:basedOn w:val="GHTablebody"/>
    <w:pPr>
      <w:numPr>
        <w:numId w:val="11"/>
      </w:numPr>
    </w:pPr>
  </w:style>
  <w:style w:type="paragraph" w:styleId="GHTableheader" w:customStyle="1">
    <w:name w:val="GH_Tableheader"/>
    <w:basedOn w:val="GHTablebody"/>
    <w:rPr>
      <w:b/>
    </w:rPr>
  </w:style>
  <w:style w:type="paragraph" w:styleId="GHTablesideheading" w:customStyle="1">
    <w:name w:val="GH_Tablesideheading"/>
    <w:basedOn w:val="GHTablebody"/>
    <w:rPr>
      <w:b/>
    </w:rPr>
  </w:style>
  <w:style w:type="paragraph" w:styleId="GHGraphic" w:customStyle="1">
    <w:name w:val="GH_Graphic"/>
    <w:basedOn w:val="GHTablebody"/>
    <w:next w:val="GHFigureCaption"/>
    <w:pPr>
      <w:jc w:val="center"/>
    </w:pPr>
  </w:style>
  <w:style w:type="character" w:styleId="PageNumber">
    <w:name w:val="page number"/>
    <w:basedOn w:val="DefaultParagraphFont"/>
    <w:rPr>
      <w:sz w:val="20"/>
    </w:rPr>
  </w:style>
  <w:style w:type="paragraph" w:styleId="GHPPandResTableNumberLevel2" w:customStyle="1">
    <w:name w:val="GH_PP and Res_TableNumberLevel_2"/>
    <w:basedOn w:val="GHPPandResTablebody"/>
    <w:pPr>
      <w:numPr>
        <w:numId w:val="19"/>
      </w:numPr>
    </w:pPr>
  </w:style>
  <w:style w:type="paragraph" w:styleId="TOC1">
    <w:name w:val="toc 1"/>
    <w:basedOn w:val="GHBodytext"/>
    <w:next w:val="Normal"/>
    <w:link w:val="TOC1Char"/>
    <w:uiPriority w:val="39"/>
    <w:pPr>
      <w:tabs>
        <w:tab w:val="right" w:leader="dot" w:pos="9360"/>
      </w:tabs>
      <w:spacing w:before="120" w:after="0"/>
      <w:ind w:left="576" w:right="547" w:hanging="576"/>
    </w:pPr>
    <w:rPr>
      <w:b/>
    </w:rPr>
  </w:style>
  <w:style w:type="paragraph" w:styleId="TOC2">
    <w:name w:val="toc 2"/>
    <w:basedOn w:val="GHBodytext"/>
    <w:next w:val="Normal"/>
    <w:uiPriority w:val="39"/>
    <w:pPr>
      <w:tabs>
        <w:tab w:val="right" w:leader="dot" w:pos="9360"/>
      </w:tabs>
      <w:spacing w:after="0"/>
      <w:ind w:left="1008" w:right="547" w:hanging="576"/>
    </w:pPr>
  </w:style>
  <w:style w:type="paragraph" w:styleId="TOC3">
    <w:name w:val="toc 3"/>
    <w:basedOn w:val="GHBodytext"/>
    <w:next w:val="Normal"/>
    <w:uiPriority w:val="39"/>
    <w:pPr>
      <w:tabs>
        <w:tab w:val="right" w:leader="dot" w:pos="9360"/>
      </w:tabs>
      <w:spacing w:after="0"/>
      <w:ind w:left="1584" w:right="547" w:hanging="720"/>
    </w:pPr>
  </w:style>
  <w:style w:type="paragraph" w:styleId="TOC4">
    <w:name w:val="toc 4"/>
    <w:basedOn w:val="GHBodytext"/>
    <w:next w:val="Normal"/>
    <w:uiPriority w:val="39"/>
    <w:pPr>
      <w:tabs>
        <w:tab w:val="right" w:leader="dot" w:pos="9360"/>
      </w:tabs>
      <w:spacing w:after="0"/>
      <w:ind w:left="2304" w:right="547" w:hanging="864"/>
    </w:pPr>
  </w:style>
  <w:style w:type="paragraph" w:styleId="TOC5">
    <w:name w:val="toc 5"/>
    <w:basedOn w:val="GHBodytext"/>
    <w:next w:val="Normal"/>
    <w:uiPriority w:val="39"/>
    <w:pPr>
      <w:tabs>
        <w:tab w:val="right" w:leader="dot" w:pos="9360"/>
      </w:tabs>
      <w:spacing w:after="0"/>
      <w:ind w:left="3168" w:right="547" w:hanging="1008"/>
    </w:pPr>
  </w:style>
  <w:style w:type="paragraph" w:styleId="GHPPandResTableBullet3" w:customStyle="1">
    <w:name w:val="GH_PP and Res_TableBullet3"/>
    <w:basedOn w:val="GHPPandResTablebody"/>
    <w:pPr>
      <w:numPr>
        <w:numId w:val="17"/>
      </w:numPr>
    </w:pPr>
  </w:style>
  <w:style w:type="paragraph" w:styleId="TableofFigures">
    <w:name w:val="table of figures"/>
    <w:basedOn w:val="GHBodytext"/>
    <w:next w:val="Normal"/>
    <w:uiPriority w:val="99"/>
    <w:pPr>
      <w:tabs>
        <w:tab w:val="right" w:leader="dot" w:pos="9360"/>
      </w:tabs>
      <w:spacing w:after="0"/>
      <w:ind w:left="1008" w:right="547" w:hanging="1008"/>
    </w:pPr>
  </w:style>
  <w:style w:type="paragraph" w:styleId="GHCoverLetterDate" w:customStyle="1">
    <w:name w:val="GH_Cover_Letter_Date"/>
    <w:basedOn w:val="GHBodytext"/>
    <w:next w:val="GHCoverLetterAddress"/>
    <w:pPr>
      <w:spacing w:after="720"/>
    </w:pPr>
  </w:style>
  <w:style w:type="paragraph" w:styleId="GHCoverLetterSubjectLine" w:customStyle="1">
    <w:name w:val="GH_Cover_Letter_Subject_Line"/>
    <w:basedOn w:val="GHBodytext"/>
    <w:next w:val="GHBodytext"/>
    <w:pPr>
      <w:spacing w:before="240" w:after="240"/>
      <w:ind w:left="1008" w:hanging="1008"/>
    </w:pPr>
    <w:rPr>
      <w:b/>
    </w:rPr>
  </w:style>
  <w:style w:type="paragraph" w:styleId="ProvidedTo-By" w:customStyle="1">
    <w:name w:val="Provided To-By"/>
    <w:basedOn w:val="AgencyTitle"/>
    <w:qFormat/>
    <w:rPr>
      <w:sz w:val="16"/>
    </w:rPr>
  </w:style>
  <w:style w:type="paragraph" w:styleId="GHNumberLevel1Indent" w:customStyle="1">
    <w:name w:val="GH_NumberLevel_1_Indent"/>
    <w:basedOn w:val="GHBodytext"/>
    <w:pPr>
      <w:ind w:left="461"/>
    </w:pPr>
  </w:style>
  <w:style w:type="paragraph" w:styleId="GHNumberLevel2Indent" w:customStyle="1">
    <w:name w:val="GH_NumberLevel_2_Indent"/>
    <w:basedOn w:val="GHBodytext"/>
    <w:pPr>
      <w:ind w:left="720"/>
    </w:pPr>
  </w:style>
  <w:style w:type="paragraph" w:styleId="GHNumberLevel3Indent" w:customStyle="1">
    <w:name w:val="GH_NumberLevel_3_Indent"/>
    <w:basedOn w:val="GHBodytext"/>
    <w:pPr>
      <w:ind w:left="1152"/>
    </w:pPr>
  </w:style>
  <w:style w:type="paragraph" w:styleId="GHTableBullet1Indent" w:customStyle="1">
    <w:name w:val="GH_TableBullet1_Indent"/>
    <w:basedOn w:val="GHTablebody"/>
    <w:pPr>
      <w:ind w:left="173"/>
    </w:pPr>
  </w:style>
  <w:style w:type="paragraph" w:styleId="GHTableBullet2Indent" w:customStyle="1">
    <w:name w:val="GH_TableBullet2_Indent"/>
    <w:basedOn w:val="GHTablebody"/>
    <w:pPr>
      <w:ind w:left="346"/>
    </w:pPr>
  </w:style>
  <w:style w:type="paragraph" w:styleId="GHTableBullet3Indent" w:customStyle="1">
    <w:name w:val="GH_TableBullet3_Indent"/>
    <w:basedOn w:val="GHTablebody"/>
    <w:pPr>
      <w:ind w:left="518"/>
    </w:pPr>
  </w:style>
  <w:style w:type="paragraph" w:styleId="AgencyTitle" w:customStyle="1">
    <w:name w:val="Agency Title"/>
    <w:basedOn w:val="GHBodytext"/>
    <w:pPr>
      <w:spacing w:after="0"/>
    </w:pPr>
  </w:style>
  <w:style w:type="paragraph" w:styleId="AgencySub-Title" w:customStyle="1">
    <w:name w:val="Agency Sub-Title"/>
    <w:basedOn w:val="AgencyTitle"/>
  </w:style>
  <w:style w:type="paragraph" w:styleId="SolicitationNumber" w:customStyle="1">
    <w:name w:val="Solicitation Number"/>
    <w:basedOn w:val="AgencyTitle"/>
  </w:style>
  <w:style w:type="paragraph" w:styleId="WPTitle" w:customStyle="1">
    <w:name w:val="WP Title"/>
    <w:basedOn w:val="AgencyTitle"/>
    <w:pPr>
      <w:spacing w:after="240"/>
    </w:pPr>
    <w:rPr>
      <w:b/>
      <w:sz w:val="44"/>
    </w:rPr>
  </w:style>
  <w:style w:type="paragraph" w:styleId="WPSub-Title" w:customStyle="1">
    <w:name w:val="WP Sub-Title"/>
    <w:basedOn w:val="AgencyTitle"/>
    <w:rPr>
      <w:sz w:val="32"/>
    </w:rPr>
  </w:style>
  <w:style w:type="paragraph" w:styleId="WPVersion" w:customStyle="1">
    <w:name w:val="WP Version"/>
    <w:basedOn w:val="AgencyTitle"/>
    <w:pPr>
      <w:spacing w:after="240"/>
    </w:pPr>
    <w:rPr>
      <w:sz w:val="32"/>
    </w:rPr>
  </w:style>
  <w:style w:type="paragraph" w:styleId="WPDate" w:customStyle="1">
    <w:name w:val="WP Date"/>
    <w:basedOn w:val="AgencyTitle"/>
    <w:rPr>
      <w:sz w:val="32"/>
    </w:rPr>
  </w:style>
  <w:style w:type="paragraph" w:styleId="TitlepageRestriction" w:customStyle="1">
    <w:name w:val="Titlepage_Restriction"/>
    <w:basedOn w:val="AgencyTitle"/>
    <w:rPr>
      <w:sz w:val="16"/>
    </w:rPr>
  </w:style>
  <w:style w:type="paragraph" w:styleId="GHTableNumberLevel1" w:customStyle="1">
    <w:name w:val="GH_TableNumberLevel_1"/>
    <w:basedOn w:val="GHTablebody"/>
    <w:pPr>
      <w:numPr>
        <w:numId w:val="12"/>
      </w:numPr>
    </w:pPr>
  </w:style>
  <w:style w:type="paragraph" w:styleId="GHTableNumberLevel2" w:customStyle="1">
    <w:name w:val="GH_TableNumberLevel_2"/>
    <w:basedOn w:val="GHTablebody"/>
    <w:pPr>
      <w:numPr>
        <w:numId w:val="13"/>
      </w:numPr>
    </w:pPr>
  </w:style>
  <w:style w:type="paragraph" w:styleId="GHTableNumberLevel3" w:customStyle="1">
    <w:name w:val="GH_TableNumberLevel_3"/>
    <w:basedOn w:val="GHTablebody"/>
    <w:pPr>
      <w:numPr>
        <w:numId w:val="14"/>
      </w:numPr>
    </w:pPr>
  </w:style>
  <w:style w:type="paragraph" w:styleId="GHTableNumberLevel1Indent" w:customStyle="1">
    <w:name w:val="GH_TableNumberLevel_1_Indent"/>
    <w:basedOn w:val="GHTablebody"/>
    <w:pPr>
      <w:ind w:left="288"/>
    </w:pPr>
  </w:style>
  <w:style w:type="paragraph" w:styleId="GHTableNumberLevel2Indent" w:customStyle="1">
    <w:name w:val="GH_TableNumberLevel_2_Indent"/>
    <w:basedOn w:val="GHTablebody"/>
    <w:pPr>
      <w:ind w:left="576"/>
    </w:pPr>
  </w:style>
  <w:style w:type="paragraph" w:styleId="GHTableNumberLevel3Indent" w:customStyle="1">
    <w:name w:val="GH_TableNumberLevel_3_Indent"/>
    <w:basedOn w:val="GHTablebody"/>
    <w:pPr>
      <w:ind w:left="792"/>
    </w:pPr>
  </w:style>
  <w:style w:type="paragraph" w:styleId="GHPPandResTableBullet1Indent" w:customStyle="1">
    <w:name w:val="GH_PP and Res_TableBullet1_Indent"/>
    <w:basedOn w:val="GHPPandResTablebody"/>
    <w:pPr>
      <w:ind w:left="173"/>
    </w:pPr>
  </w:style>
  <w:style w:type="paragraph" w:styleId="GHPPandResTableBullet2Indent" w:customStyle="1">
    <w:name w:val="GH_PP and Res_TableBullet2_Indent"/>
    <w:basedOn w:val="GHPPandResTablebody"/>
    <w:pPr>
      <w:ind w:left="346"/>
    </w:pPr>
  </w:style>
  <w:style w:type="character" w:styleId="PlaceholderText">
    <w:name w:val="Placeholder Text"/>
    <w:basedOn w:val="DefaultParagraphFont"/>
    <w:uiPriority w:val="99"/>
    <w:rPr>
      <w:color w:val="808080"/>
    </w:rPr>
  </w:style>
  <w:style w:type="paragraph" w:styleId="GHPPandResTableBullet3Indent" w:customStyle="1">
    <w:name w:val="GH_PP and Res_TableBullet3_Indent"/>
    <w:basedOn w:val="GHPPandResTablebody"/>
    <w:pPr>
      <w:ind w:left="518"/>
    </w:pPr>
  </w:style>
  <w:style w:type="paragraph" w:styleId="GHPPandResTableNumberLevel2Indent" w:customStyle="1">
    <w:name w:val="GH_PP and Res_TableNumberLevel_2_Indent"/>
    <w:basedOn w:val="GHPPandResTablebody"/>
    <w:pPr>
      <w:ind w:left="576"/>
    </w:pPr>
  </w:style>
  <w:style w:type="paragraph" w:styleId="GHPPandResTablesideheading" w:customStyle="1">
    <w:name w:val="GH_PP and Res_Tablesideheading"/>
    <w:basedOn w:val="GHPPandResTablebody"/>
    <w:rPr>
      <w:b/>
    </w:rPr>
  </w:style>
  <w:style w:type="paragraph" w:styleId="GHPPandResTableNumberLevel3" w:customStyle="1">
    <w:name w:val="GH_PP and Res_TableNumberLevel_3"/>
    <w:basedOn w:val="GHPPandResTablebody"/>
    <w:pPr>
      <w:numPr>
        <w:numId w:val="20"/>
      </w:numPr>
    </w:pPr>
  </w:style>
  <w:style w:type="character" w:styleId="Hyperlink">
    <w:name w:val="Hyperlink"/>
    <w:basedOn w:val="DefaultParagraphFont"/>
    <w:uiPriority w:val="99"/>
    <w:rPr>
      <w:color w:val="0000FF"/>
      <w:u w:val="single"/>
    </w:rPr>
  </w:style>
  <w:style w:type="paragraph" w:styleId="GHCoverLetterAddress" w:customStyle="1">
    <w:name w:val="GH_Cover_Letter_Address"/>
    <w:basedOn w:val="GHBodytext"/>
    <w:next w:val="GHCoverLetterSubjectLine"/>
    <w:pPr>
      <w:spacing w:after="0"/>
    </w:pPr>
  </w:style>
  <w:style w:type="paragraph" w:styleId="GHPPandResTablebody" w:customStyle="1">
    <w:name w:val="GH_PP and Res_Tablebody"/>
    <w:basedOn w:val="GHBodytext"/>
    <w:pPr>
      <w:spacing w:after="0"/>
    </w:pPr>
  </w:style>
  <w:style w:type="paragraph" w:styleId="GHPPandResTableBullet1" w:customStyle="1">
    <w:name w:val="GH_PP and Res_TableBullet1"/>
    <w:basedOn w:val="GHPPandResTablebody"/>
    <w:pPr>
      <w:numPr>
        <w:numId w:val="15"/>
      </w:numPr>
    </w:pPr>
  </w:style>
  <w:style w:type="paragraph" w:styleId="GHPPandResTableNumberLevel1" w:customStyle="1">
    <w:name w:val="GH_PP and Res_TableNumberLevel_1"/>
    <w:basedOn w:val="GHPPandResTablebody"/>
    <w:pPr>
      <w:numPr>
        <w:numId w:val="18"/>
      </w:numPr>
    </w:pPr>
  </w:style>
  <w:style w:type="paragraph" w:styleId="GHPPandResTableNumberLevel1Indent" w:customStyle="1">
    <w:name w:val="GH_PP and Res_TableNumberLevel_1_Indent"/>
    <w:basedOn w:val="GHPPandResTablebody"/>
    <w:pPr>
      <w:ind w:left="288"/>
    </w:pPr>
  </w:style>
  <w:style w:type="paragraph" w:styleId="GHPPandResTableNumberLevel3Indent" w:customStyle="1">
    <w:name w:val="GH_PP and Res_TableNumberLevel_3_Indent"/>
    <w:basedOn w:val="GHPPandResTablebody"/>
    <w:pPr>
      <w:ind w:left="792"/>
    </w:pPr>
  </w:style>
  <w:style w:type="paragraph" w:styleId="GHPPandResTableheader" w:customStyle="1">
    <w:name w:val="GH_PP and Res_Tableheader"/>
    <w:basedOn w:val="GHPPandResTablebody"/>
    <w:rPr>
      <w:b/>
    </w:rPr>
  </w:style>
  <w:style w:type="paragraph" w:styleId="BalloonText">
    <w:name w:val="Balloon Text"/>
    <w:basedOn w:val="Normal"/>
    <w:pPr>
      <w:spacing w:before="0" w:after="0"/>
    </w:pPr>
    <w:rPr>
      <w:rFonts w:ascii="Tahoma" w:hAnsi="Tahoma" w:cs="Tahoma"/>
      <w:sz w:val="16"/>
      <w:szCs w:val="16"/>
    </w:rPr>
  </w:style>
  <w:style w:type="character" w:styleId="BalloonTextChar" w:customStyle="1">
    <w:name w:val="Balloon Text Char"/>
    <w:basedOn w:val="DefaultParagraphFont"/>
    <w:rPr>
      <w:rFonts w:ascii="Tahoma" w:hAnsi="Tahoma" w:cs="Tahoma"/>
      <w:sz w:val="16"/>
      <w:szCs w:val="16"/>
    </w:rPr>
  </w:style>
  <w:style w:type="paragraph" w:styleId="GHTOC" w:customStyle="1">
    <w:name w:val="GH_TOC"/>
    <w:basedOn w:val="Heading10"/>
    <w:rsid w:val="0073059A"/>
  </w:style>
  <w:style w:type="character" w:styleId="Heading3Char" w:customStyle="1">
    <w:name w:val="Heading 3 Char"/>
    <w:basedOn w:val="DefaultParagraphFont"/>
    <w:rPr>
      <w:rFonts w:cs="Arial"/>
      <w:b/>
      <w:bCs/>
      <w:iCs/>
      <w:color w:val="DC6900"/>
      <w:kern w:val="3"/>
      <w:sz w:val="26"/>
      <w:szCs w:val="26"/>
    </w:rPr>
  </w:style>
  <w:style w:type="paragraph" w:styleId="TermsandConditions" w:customStyle="1">
    <w:name w:val="Terms and Conditions"/>
    <w:basedOn w:val="GHBodytext"/>
    <w:pPr>
      <w:pageBreakBefore/>
    </w:pPr>
    <w:rPr>
      <w:color w:val="FF0000"/>
      <w:sz w:val="36"/>
    </w:rPr>
  </w:style>
  <w:style w:type="paragraph" w:styleId="GHBodytextHeading" w:customStyle="1">
    <w:name w:val="GH_Bodytext_Heading"/>
    <w:basedOn w:val="GHBodytext"/>
    <w:next w:val="GHBodytext"/>
    <w:rPr>
      <w:b/>
    </w:rPr>
  </w:style>
  <w:style w:type="paragraph" w:styleId="GHTablenote" w:customStyle="1">
    <w:name w:val="GH_Tablenote"/>
    <w:basedOn w:val="GHTablebody"/>
    <w:rPr>
      <w:i/>
    </w:rPr>
  </w:style>
  <w:style w:type="paragraph" w:styleId="GHPPandResTablenote" w:customStyle="1">
    <w:name w:val="GH_PP and Res_Tablenote"/>
    <w:basedOn w:val="GHPPandResTablebody"/>
    <w:rPr>
      <w:i/>
    </w:rPr>
  </w:style>
  <w:style w:type="paragraph" w:styleId="ASectionLorInstructions" w:customStyle="1">
    <w:name w:val="A_Section L or Instructions"/>
    <w:basedOn w:val="GHBodytext"/>
    <w:rPr>
      <w:color w:val="00B050"/>
    </w:rPr>
  </w:style>
  <w:style w:type="paragraph" w:styleId="ASectionMorEvaluationCriteria" w:customStyle="1">
    <w:name w:val="A_Section M or Evaluation Criteria"/>
    <w:basedOn w:val="GHBodytext"/>
    <w:rPr>
      <w:color w:val="0070C0"/>
    </w:rPr>
  </w:style>
  <w:style w:type="paragraph" w:styleId="ASectionCorSOWPWS" w:customStyle="1">
    <w:name w:val="A_Section C or SOW/PWS"/>
    <w:basedOn w:val="GHBodytext"/>
    <w:rPr>
      <w:color w:val="7030A0"/>
    </w:rPr>
  </w:style>
  <w:style w:type="paragraph" w:styleId="GHBodytext6Before" w:customStyle="1">
    <w:name w:val="GH_Bodytext 6 Before"/>
    <w:basedOn w:val="GHBodytext"/>
    <w:next w:val="GHBodytext"/>
    <w:pPr>
      <w:spacing w:before="80"/>
    </w:pPr>
  </w:style>
  <w:style w:type="character" w:styleId="GHBodytextChar" w:customStyle="1">
    <w:name w:val="GH_Bodytext Char"/>
    <w:basedOn w:val="DefaultParagraphFont"/>
    <w:rPr>
      <w:rFonts w:ascii="Arial" w:hAnsi="Arial"/>
      <w:sz w:val="24"/>
      <w:szCs w:val="24"/>
    </w:rPr>
  </w:style>
  <w:style w:type="paragraph" w:styleId="GHTablesubheader" w:customStyle="1">
    <w:name w:val="GH_Tablesubheader"/>
    <w:basedOn w:val="GHTableheader"/>
  </w:style>
  <w:style w:type="paragraph" w:styleId="GHPPandResTablesubheader" w:customStyle="1">
    <w:name w:val="GH_PP and Res_Tablesubheader"/>
    <w:basedOn w:val="GHPPandResTableheade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character" w:styleId="Heading1Char" w:customStyle="1">
    <w:name w:val="Heading 1 Char"/>
    <w:basedOn w:val="DefaultParagraphFont"/>
    <w:link w:val="Heading10"/>
    <w:rsid w:val="00A42EA9"/>
    <w:rPr>
      <w:rFonts w:ascii="Arial Bold" w:hAnsi="Arial Bold" w:cs="Arial"/>
      <w:b/>
      <w:bCs/>
      <w:kern w:val="3"/>
      <w:sz w:val="44"/>
      <w:szCs w:val="32"/>
    </w:rPr>
  </w:style>
  <w:style w:type="character" w:styleId="Heading2Char" w:customStyle="1">
    <w:name w:val="Heading 2 Char"/>
    <w:basedOn w:val="DefaultParagraphFont"/>
    <w:link w:val="Heading2"/>
    <w:rsid w:val="007D6383"/>
    <w:rPr>
      <w:rFonts w:ascii="Arial" w:hAnsi="Arial" w:cs="Arial"/>
      <w:b/>
      <w:iCs/>
      <w:kern w:val="3"/>
      <w:sz w:val="28"/>
      <w:szCs w:val="28"/>
    </w:rPr>
  </w:style>
  <w:style w:type="character" w:styleId="Heading4Char" w:customStyle="1">
    <w:name w:val="Heading 4 Char"/>
    <w:basedOn w:val="DefaultParagraphFont"/>
    <w:link w:val="Heading4"/>
    <w:rsid w:val="007D6383"/>
    <w:rPr>
      <w:rFonts w:ascii="Arial" w:hAnsi="Arial" w:cs="Arial"/>
      <w:b/>
      <w:i/>
      <w:iCs/>
      <w:kern w:val="3"/>
      <w:sz w:val="24"/>
      <w:szCs w:val="28"/>
    </w:rPr>
  </w:style>
  <w:style w:type="character" w:styleId="Heading5Char" w:customStyle="1">
    <w:name w:val="Heading 5 Char"/>
    <w:aliases w:val="Append Level 1 Char"/>
    <w:basedOn w:val="DefaultParagraphFont"/>
    <w:link w:val="Heading5"/>
    <w:rsid w:val="007D6383"/>
    <w:rPr>
      <w:rFonts w:ascii="Arial" w:hAnsi="Arial" w:cs="Arial"/>
      <w:b/>
      <w:bCs/>
      <w:kern w:val="3"/>
      <w:sz w:val="24"/>
      <w:szCs w:val="26"/>
    </w:rPr>
  </w:style>
  <w:style w:type="character" w:styleId="Heading6Char" w:customStyle="1">
    <w:name w:val="Heading 6 Char"/>
    <w:aliases w:val="Append Level 2 Char"/>
    <w:basedOn w:val="DefaultParagraphFont"/>
    <w:link w:val="Heading6"/>
    <w:rsid w:val="007D6383"/>
    <w:rPr>
      <w:rFonts w:ascii="Arial" w:hAnsi="Arial" w:cs="Arial"/>
      <w:b/>
      <w:i/>
      <w:kern w:val="3"/>
      <w:sz w:val="48"/>
      <w:szCs w:val="22"/>
    </w:rPr>
  </w:style>
  <w:style w:type="character" w:styleId="Heading7Char" w:customStyle="1">
    <w:name w:val="Heading 7 Char"/>
    <w:aliases w:val="Append Level 3 Char"/>
    <w:basedOn w:val="DefaultParagraphFont"/>
    <w:link w:val="Heading7"/>
    <w:rsid w:val="007D6383"/>
    <w:rPr>
      <w:rFonts w:ascii="Arial" w:hAnsi="Arial" w:cs="Arial"/>
      <w:b/>
      <w:bCs/>
      <w:iCs/>
      <w:kern w:val="3"/>
      <w:sz w:val="28"/>
      <w:szCs w:val="32"/>
    </w:rPr>
  </w:style>
  <w:style w:type="character" w:styleId="Heading8Char" w:customStyle="1">
    <w:name w:val="Heading 8 Char"/>
    <w:aliases w:val="Exec Sum Level 1 Char,Append Level 4 Char"/>
    <w:basedOn w:val="DefaultParagraphFont"/>
    <w:link w:val="Heading8"/>
    <w:rsid w:val="007D6383"/>
    <w:rPr>
      <w:rFonts w:ascii="Arial" w:hAnsi="Arial" w:cs="Arial"/>
      <w:b/>
      <w:bCs/>
      <w:i/>
      <w:kern w:val="3"/>
      <w:sz w:val="26"/>
      <w:szCs w:val="26"/>
    </w:rPr>
  </w:style>
  <w:style w:type="character" w:styleId="Heading9Char" w:customStyle="1">
    <w:name w:val="Heading 9 Char"/>
    <w:aliases w:val="Exec Sum Level 2 Char"/>
    <w:basedOn w:val="DefaultParagraphFont"/>
    <w:link w:val="Heading9"/>
    <w:rsid w:val="007D6383"/>
    <w:rPr>
      <w:rFonts w:ascii="Arial" w:hAnsi="Arial" w:cs="Arial"/>
      <w:b/>
      <w:i/>
      <w:iCs/>
      <w:kern w:val="3"/>
      <w:sz w:val="24"/>
      <w:szCs w:val="22"/>
    </w:rPr>
  </w:style>
  <w:style w:type="table" w:styleId="TableClassic2">
    <w:name w:val="Table Classic 2"/>
    <w:basedOn w:val="TableNormal"/>
    <w:rsid w:val="007D6383"/>
    <w:pPr>
      <w:tabs>
        <w:tab w:val="left" w:pos="360"/>
        <w:tab w:val="left" w:pos="720"/>
        <w:tab w:val="left" w:pos="1080"/>
        <w:tab w:val="left" w:pos="1440"/>
      </w:tabs>
      <w:autoSpaceDN/>
    </w:pPr>
    <w:rPr>
      <w:rFonts w:ascii="Arial" w:hAnsi="Arial"/>
      <w:sz w:val="18"/>
      <w:szCs w:val="18"/>
    </w:rPr>
    <w:tblPr>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color="000000" w:sz="6" w:space="0"/>
          <w:left w:val="single" w:color="000000" w:sz="6" w:space="0"/>
          <w:bottom w:val="single" w:color="000000" w:sz="6" w:space="0"/>
          <w:right w:val="single" w:color="000000" w:sz="6" w:space="0"/>
          <w:insideH w:val="single" w:color="000000" w:sz="6" w:space="0"/>
          <w:insideV w:val="single" w:color="000000" w:sz="6" w:space="0"/>
          <w:tl2br w:val="nil"/>
          <w:tr2bl w:val="nil"/>
        </w:tcBorders>
        <w:shd w:val="clear" w:color="auto" w:fill="CCCCFF"/>
      </w:tcPr>
    </w:tblStylePr>
    <w:tblStylePr w:type="lastRow">
      <w:rPr>
        <w:rFonts w:ascii="Arial" w:hAnsi="Arial"/>
        <w:color w:val="auto"/>
        <w:sz w:val="18"/>
      </w:rPr>
      <w:tblPr/>
      <w:tcPr>
        <w:tcBorders>
          <w:top w:val="single" w:color="000000" w:sz="6" w:space="0"/>
          <w:tl2br w:val="none" w:color="auto" w:sz="0" w:space="0"/>
          <w:tr2bl w:val="none" w:color="auto" w:sz="0" w:space="0"/>
        </w:tcBorders>
      </w:tcPr>
    </w:tblStylePr>
    <w:tblStylePr w:type="firstCol">
      <w:rPr>
        <w:rFonts w:ascii="Arial" w:hAnsi="Arial"/>
        <w:b/>
        <w:bCs/>
        <w:sz w:val="18"/>
      </w:rPr>
      <w:tblPr/>
      <w:tcPr>
        <w:shd w:val="clear" w:color="auto" w:fill="FFFF99"/>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numbering" w:styleId="StyleBulleted6" w:customStyle="1">
    <w:name w:val="Style Bulleted6"/>
    <w:rsid w:val="007D6383"/>
    <w:pPr>
      <w:numPr>
        <w:numId w:val="21"/>
      </w:numPr>
    </w:pPr>
  </w:style>
  <w:style w:type="numbering" w:styleId="StyleBulleted9" w:customStyle="1">
    <w:name w:val="Style Bulleted9"/>
    <w:basedOn w:val="NoList"/>
    <w:rsid w:val="007D6383"/>
    <w:pPr>
      <w:numPr>
        <w:numId w:val="22"/>
      </w:numPr>
    </w:pPr>
  </w:style>
  <w:style w:type="character" w:styleId="HeaderChar" w:customStyle="1">
    <w:name w:val="Header Char"/>
    <w:basedOn w:val="DefaultParagraphFont"/>
    <w:link w:val="Header"/>
    <w:rsid w:val="007D6383"/>
    <w:rPr>
      <w:rFonts w:ascii="Arial" w:hAnsi="Arial"/>
      <w:szCs w:val="24"/>
    </w:rPr>
  </w:style>
  <w:style w:type="character" w:styleId="FooterChar" w:customStyle="1">
    <w:name w:val="Footer Char"/>
    <w:basedOn w:val="DefaultParagraphFont"/>
    <w:link w:val="Footer"/>
    <w:rsid w:val="007D6383"/>
    <w:rPr>
      <w:rFonts w:ascii="Arial" w:hAnsi="Arial"/>
      <w:sz w:val="24"/>
      <w:szCs w:val="24"/>
    </w:rPr>
  </w:style>
  <w:style w:type="paragraph" w:styleId="Title">
    <w:name w:val="Title"/>
    <w:aliases w:val="Cover_Title,Report Title"/>
    <w:basedOn w:val="Normal"/>
    <w:next w:val="Normal"/>
    <w:link w:val="TitleChar"/>
    <w:uiPriority w:val="10"/>
    <w:qFormat/>
    <w:rsid w:val="007D6383"/>
    <w:pPr>
      <w:widowControl w:val="0"/>
      <w:suppressAutoHyphens w:val="0"/>
      <w:autoSpaceDN/>
      <w:spacing w:before="0"/>
    </w:pPr>
    <w:rPr>
      <w:rFonts w:ascii="Arial" w:hAnsi="Arial"/>
      <w:b/>
      <w:spacing w:val="-10"/>
      <w:kern w:val="28"/>
      <w:sz w:val="48"/>
      <w:szCs w:val="56"/>
    </w:rPr>
  </w:style>
  <w:style w:type="character" w:styleId="TitleChar" w:customStyle="1">
    <w:name w:val="Title Char"/>
    <w:aliases w:val="Cover_Title Char,Report Title Char"/>
    <w:basedOn w:val="DefaultParagraphFont"/>
    <w:link w:val="Title"/>
    <w:uiPriority w:val="10"/>
    <w:rsid w:val="007D6383"/>
    <w:rPr>
      <w:rFonts w:ascii="Arial" w:hAnsi="Arial"/>
      <w:b/>
      <w:spacing w:val="-10"/>
      <w:kern w:val="28"/>
      <w:sz w:val="48"/>
      <w:szCs w:val="56"/>
    </w:rPr>
  </w:style>
  <w:style w:type="paragraph" w:styleId="Subtitle">
    <w:name w:val="Subtitle"/>
    <w:aliases w:val="Cover_Subtitle,Report Subtitle"/>
    <w:basedOn w:val="Normal"/>
    <w:next w:val="Normal"/>
    <w:link w:val="SubtitleChar"/>
    <w:uiPriority w:val="11"/>
    <w:qFormat/>
    <w:rsid w:val="007D6383"/>
    <w:pPr>
      <w:widowControl w:val="0"/>
      <w:numPr>
        <w:ilvl w:val="1"/>
      </w:numPr>
      <w:suppressAutoHyphens w:val="0"/>
      <w:autoSpaceDN/>
      <w:spacing w:before="240" w:after="520"/>
    </w:pPr>
    <w:rPr>
      <w:rFonts w:ascii="Arial" w:hAnsi="Arial"/>
      <w:b/>
      <w:sz w:val="28"/>
      <w:szCs w:val="22"/>
    </w:rPr>
  </w:style>
  <w:style w:type="character" w:styleId="SubtitleChar" w:customStyle="1">
    <w:name w:val="Subtitle Char"/>
    <w:aliases w:val="Cover_Subtitle Char,Report Subtitle Char"/>
    <w:basedOn w:val="DefaultParagraphFont"/>
    <w:link w:val="Subtitle"/>
    <w:uiPriority w:val="11"/>
    <w:rsid w:val="007D6383"/>
    <w:rPr>
      <w:rFonts w:ascii="Arial" w:hAnsi="Arial"/>
      <w:b/>
      <w:sz w:val="28"/>
      <w:szCs w:val="22"/>
    </w:rPr>
  </w:style>
  <w:style w:type="character" w:styleId="CoverText" w:customStyle="1">
    <w:name w:val="Cover Text"/>
    <w:rsid w:val="007D6383"/>
    <w:rPr>
      <w:rFonts w:ascii="Arial" w:hAnsi="Arial"/>
      <w:color w:val="auto"/>
      <w:sz w:val="22"/>
    </w:rPr>
  </w:style>
  <w:style w:type="paragraph" w:styleId="TOCHeading">
    <w:name w:val="TOC Heading"/>
    <w:aliases w:val="TOC Heading (Not in TOC)"/>
    <w:basedOn w:val="Heading10"/>
    <w:next w:val="BodyText"/>
    <w:link w:val="TOCHeadingChar"/>
    <w:autoRedefine/>
    <w:uiPriority w:val="39"/>
    <w:unhideWhenUsed/>
    <w:qFormat/>
    <w:rsid w:val="0073059A"/>
    <w:pPr>
      <w:suppressAutoHyphens w:val="0"/>
      <w:autoSpaceDN/>
      <w:spacing w:before="120" w:after="240"/>
      <w:outlineLvl w:val="9"/>
    </w:pPr>
    <w:rPr>
      <w:rFonts w:eastAsia="Calibri" w:cs="Times New Roman"/>
      <w:bCs w:val="0"/>
      <w:kern w:val="0"/>
      <w:szCs w:val="22"/>
    </w:rPr>
  </w:style>
  <w:style w:type="numbering" w:styleId="StyleNumberedLeft025Hanging025" w:customStyle="1">
    <w:name w:val="Style Numbered Left:  0.25&quot; Hanging:  0.25&quot;"/>
    <w:basedOn w:val="NoList"/>
    <w:rsid w:val="007D6383"/>
    <w:pPr>
      <w:numPr>
        <w:numId w:val="23"/>
      </w:numPr>
    </w:pPr>
  </w:style>
  <w:style w:type="paragraph" w:styleId="FootnoteText">
    <w:name w:val="footnote text"/>
    <w:basedOn w:val="BodyText"/>
    <w:link w:val="FootnoteTextChar"/>
    <w:uiPriority w:val="99"/>
    <w:qFormat/>
    <w:rsid w:val="007D6383"/>
    <w:pPr>
      <w:keepLines/>
      <w:tabs>
        <w:tab w:val="left" w:pos="360"/>
        <w:tab w:val="left" w:pos="720"/>
        <w:tab w:val="left" w:pos="1080"/>
        <w:tab w:val="left" w:pos="1440"/>
        <w:tab w:val="left" w:pos="1800"/>
        <w:tab w:val="left" w:pos="2160"/>
      </w:tabs>
      <w:spacing w:after="40"/>
    </w:pPr>
    <w:rPr>
      <w:sz w:val="18"/>
    </w:rPr>
  </w:style>
  <w:style w:type="character" w:styleId="FootnoteTextChar" w:customStyle="1">
    <w:name w:val="Footnote Text Char"/>
    <w:basedOn w:val="DefaultParagraphFont"/>
    <w:link w:val="FootnoteText"/>
    <w:uiPriority w:val="99"/>
    <w:rsid w:val="007D6383"/>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7D6383"/>
    <w:rPr>
      <w:rFonts w:ascii="Arial" w:hAnsi="Arial"/>
      <w:color w:val="auto"/>
      <w:vertAlign w:val="superscript"/>
    </w:rPr>
  </w:style>
  <w:style w:type="paragraph" w:styleId="Caption">
    <w:name w:val="caption"/>
    <w:aliases w:val="Table/Figure Caption"/>
    <w:basedOn w:val="Normal"/>
    <w:next w:val="Normal"/>
    <w:link w:val="CaptionChar"/>
    <w:qFormat/>
    <w:rsid w:val="007D6383"/>
    <w:pPr>
      <w:keepNext/>
      <w:suppressAutoHyphens w:val="0"/>
      <w:autoSpaceDN/>
      <w:spacing w:before="0"/>
      <w:jc w:val="center"/>
    </w:pPr>
    <w:rPr>
      <w:rFonts w:ascii="Arial" w:hAnsi="Arial" w:cs="Arial"/>
      <w:b/>
      <w:bCs/>
      <w:sz w:val="22"/>
      <w:szCs w:val="20"/>
    </w:rPr>
  </w:style>
  <w:style w:type="numbering" w:styleId="StyleBulletedLeft0Hanging03" w:customStyle="1">
    <w:name w:val="Style Bulleted Left:  0&quot; Hanging:  0.3&quot;"/>
    <w:basedOn w:val="NoList"/>
    <w:rsid w:val="007D6383"/>
    <w:pPr>
      <w:numPr>
        <w:numId w:val="24"/>
      </w:numPr>
    </w:pPr>
  </w:style>
  <w:style w:type="numbering" w:styleId="StyleBulleted" w:customStyle="1">
    <w:name w:val="Style Bulleted"/>
    <w:basedOn w:val="NoList"/>
    <w:rsid w:val="007D6383"/>
    <w:pPr>
      <w:numPr>
        <w:numId w:val="25"/>
      </w:numPr>
    </w:p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7D6383"/>
    <w:pPr>
      <w:spacing w:before="120" w:after="120"/>
      <w:ind w:left="720"/>
    </w:pPr>
  </w:style>
  <w:style w:type="table" w:styleId="TableGrid">
    <w:name w:val="Table Grid"/>
    <w:basedOn w:val="TableNormal"/>
    <w:uiPriority w:val="59"/>
    <w:rsid w:val="007D6383"/>
    <w:pPr>
      <w:autoSpaceDN/>
    </w:pPr>
    <w:rPr>
      <w:rFonts w:ascii="Arial" w:hAnsi="Arial"/>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List7">
    <w:name w:val="Table List 7"/>
    <w:basedOn w:val="TableNormal"/>
    <w:rsid w:val="007D6383"/>
    <w:pPr>
      <w:autoSpaceDN/>
    </w:pPr>
    <w:rPr>
      <w:rFonts w:ascii="Arial" w:hAnsi="Arial"/>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paragraph" w:styleId="HeaderTitle" w:customStyle="1">
    <w:name w:val="Header Title"/>
    <w:basedOn w:val="Normal"/>
    <w:rsid w:val="007D6383"/>
    <w:pPr>
      <w:suppressAutoHyphens w:val="0"/>
      <w:autoSpaceDN/>
    </w:pPr>
    <w:rPr>
      <w:rFonts w:ascii="Arial" w:hAnsi="Arial"/>
      <w:b/>
      <w:szCs w:val="20"/>
    </w:rPr>
  </w:style>
  <w:style w:type="character" w:styleId="TOCHeadingChar" w:customStyle="1">
    <w:name w:val="TOC Heading Char"/>
    <w:aliases w:val="TOC Heading (Not in TOC) Char"/>
    <w:link w:val="TOCHeading"/>
    <w:uiPriority w:val="39"/>
    <w:rsid w:val="0073059A"/>
    <w:rPr>
      <w:rFonts w:ascii="Arial Bold" w:hAnsi="Arial Bold" w:eastAsia="Calibri"/>
      <w:b/>
      <w:color w:val="03647A" w:themeColor="accent4"/>
      <w:sz w:val="44"/>
      <w:szCs w:val="22"/>
    </w:rPr>
  </w:style>
  <w:style w:type="character" w:styleId="CaptionChar" w:customStyle="1">
    <w:name w:val="Caption Char"/>
    <w:aliases w:val="Table/Figure Caption Char"/>
    <w:link w:val="Caption"/>
    <w:rsid w:val="007D6383"/>
    <w:rPr>
      <w:rFonts w:ascii="Arial" w:hAnsi="Arial" w:cs="Arial"/>
      <w:b/>
      <w:bCs/>
      <w:sz w:val="22"/>
    </w:rPr>
  </w:style>
  <w:style w:type="paragraph" w:styleId="TableFigureSource" w:customStyle="1">
    <w:name w:val="Table/Figure Source"/>
    <w:basedOn w:val="Normal"/>
    <w:next w:val="BodyText"/>
    <w:link w:val="TableFigureSourceChar"/>
    <w:qFormat/>
    <w:rsid w:val="007D6383"/>
    <w:pPr>
      <w:suppressAutoHyphens w:val="0"/>
      <w:autoSpaceDN/>
      <w:spacing w:before="60" w:after="240"/>
    </w:pPr>
    <w:rPr>
      <w:rFonts w:ascii="Arial" w:hAnsi="Arial"/>
      <w:i/>
      <w:sz w:val="18"/>
      <w:szCs w:val="20"/>
    </w:rPr>
  </w:style>
  <w:style w:type="character" w:styleId="TableFigureSourceChar" w:customStyle="1">
    <w:name w:val="Table/Figure Source Char"/>
    <w:link w:val="TableFigureSource"/>
    <w:rsid w:val="007D6383"/>
    <w:rPr>
      <w:rFonts w:ascii="Arial" w:hAnsi="Arial"/>
      <w:i/>
      <w:sz w:val="18"/>
    </w:rPr>
  </w:style>
  <w:style w:type="character" w:styleId="ListParagraphChar" w:customStyle="1">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7D6383"/>
    <w:rPr>
      <w:rFonts w:ascii="Arial" w:hAnsi="Arial"/>
      <w:sz w:val="22"/>
    </w:rPr>
  </w:style>
  <w:style w:type="table" w:styleId="MediumShading1-Accent6">
    <w:name w:val="Medium Shading 1 Accent 6"/>
    <w:basedOn w:val="TableNormal"/>
    <w:uiPriority w:val="63"/>
    <w:rsid w:val="007D6383"/>
    <w:pPr>
      <w:autoSpaceDN/>
    </w:pPr>
    <w:rPr>
      <w:rFonts w:ascii="Arial" w:hAnsi="Arial"/>
    </w:rPr>
    <w:tblPr>
      <w:tblStyleRowBandSize w:val="1"/>
      <w:tblStyleColBandSize w:val="1"/>
      <w:tblBorders>
        <w:top w:val="single" w:color="FF015F" w:sz="8" w:space="0"/>
        <w:left w:val="single" w:color="FF015F" w:sz="8" w:space="0"/>
        <w:bottom w:val="single" w:color="FF015F" w:sz="8" w:space="0"/>
        <w:right w:val="single" w:color="FF015F" w:sz="8" w:space="0"/>
        <w:insideH w:val="single" w:color="FF015F" w:sz="8" w:space="0"/>
      </w:tblBorders>
    </w:tblPr>
    <w:tblStylePr w:type="firstRow">
      <w:pPr>
        <w:spacing w:before="0" w:after="0" w:line="240" w:lineRule="auto"/>
      </w:pPr>
      <w:rPr>
        <w:b/>
        <w:bCs/>
        <w:color w:val="FFFFFF"/>
      </w:rPr>
      <w:tblPr/>
      <w:tcPr>
        <w:tcBorders>
          <w:top w:val="single" w:color="FF015F" w:sz="8" w:space="0"/>
          <w:left w:val="single" w:color="FF015F" w:sz="8" w:space="0"/>
          <w:bottom w:val="single" w:color="FF015F" w:sz="8" w:space="0"/>
          <w:right w:val="single" w:color="FF015F" w:sz="8" w:space="0"/>
          <w:insideH w:val="nil"/>
          <w:insideV w:val="nil"/>
        </w:tcBorders>
        <w:shd w:val="clear" w:color="auto" w:fill="AC0040"/>
      </w:tcPr>
    </w:tblStylePr>
    <w:tblStylePr w:type="lastRow">
      <w:pPr>
        <w:spacing w:before="0" w:after="0" w:line="240" w:lineRule="auto"/>
      </w:pPr>
      <w:rPr>
        <w:b/>
        <w:bCs/>
      </w:rPr>
      <w:tblPr/>
      <w:tcPr>
        <w:tcBorders>
          <w:top w:val="double" w:color="FF015F" w:sz="6" w:space="0"/>
          <w:left w:val="single" w:color="FF015F" w:sz="8" w:space="0"/>
          <w:bottom w:val="single" w:color="FF015F" w:sz="8" w:space="0"/>
          <w:right w:val="single" w:color="FF015F" w:sz="8" w:space="0"/>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styleId="EndnoteText">
    <w:name w:val="endnote text"/>
    <w:basedOn w:val="Normal"/>
    <w:link w:val="EndnoteTextChar"/>
    <w:rsid w:val="007D6383"/>
    <w:pPr>
      <w:suppressAutoHyphens w:val="0"/>
      <w:autoSpaceDN/>
      <w:spacing w:before="0" w:after="0"/>
    </w:pPr>
    <w:rPr>
      <w:rFonts w:ascii="Arial" w:hAnsi="Arial"/>
      <w:sz w:val="22"/>
      <w:szCs w:val="20"/>
    </w:rPr>
  </w:style>
  <w:style w:type="character" w:styleId="EndnoteTextChar" w:customStyle="1">
    <w:name w:val="Endnote Text Char"/>
    <w:basedOn w:val="DefaultParagraphFont"/>
    <w:link w:val="EndnoteText"/>
    <w:rsid w:val="007D6383"/>
    <w:rPr>
      <w:rFonts w:ascii="Arial" w:hAnsi="Arial"/>
      <w:sz w:val="22"/>
    </w:rPr>
  </w:style>
  <w:style w:type="character" w:styleId="EndnoteReference">
    <w:name w:val="endnote reference"/>
    <w:rsid w:val="007D6383"/>
    <w:rPr>
      <w:rFonts w:ascii="Arial" w:hAnsi="Arial"/>
      <w:color w:val="555759"/>
      <w:vertAlign w:val="superscript"/>
    </w:rPr>
  </w:style>
  <w:style w:type="paragraph" w:styleId="TableBullet" w:customStyle="1">
    <w:name w:val="Table Bullet"/>
    <w:basedOn w:val="Normal"/>
    <w:link w:val="TableBulletChar"/>
    <w:qFormat/>
    <w:rsid w:val="007D6383"/>
    <w:pPr>
      <w:keepNext/>
      <w:numPr>
        <w:numId w:val="26"/>
      </w:numPr>
      <w:suppressAutoHyphens w:val="0"/>
      <w:autoSpaceDN/>
      <w:spacing w:before="40" w:after="40" w:line="240" w:lineRule="atLeast"/>
      <w:ind w:left="259" w:hanging="187"/>
    </w:pPr>
    <w:rPr>
      <w:rFonts w:ascii="Arial" w:hAnsi="Arial" w:cs="Arial"/>
      <w:sz w:val="22"/>
      <w:szCs w:val="20"/>
    </w:rPr>
  </w:style>
  <w:style w:type="character" w:styleId="TableBulletChar" w:customStyle="1">
    <w:name w:val="Table Bullet Char"/>
    <w:link w:val="TableBullet"/>
    <w:rsid w:val="007D6383"/>
    <w:rPr>
      <w:rFonts w:ascii="Arial" w:hAnsi="Arial" w:cs="Arial"/>
      <w:sz w:val="22"/>
    </w:rPr>
  </w:style>
  <w:style w:type="paragraph" w:styleId="Revision">
    <w:name w:val="Revision"/>
    <w:hidden/>
    <w:uiPriority w:val="99"/>
    <w:semiHidden/>
    <w:rsid w:val="007D6383"/>
    <w:pPr>
      <w:autoSpaceDN/>
    </w:pPr>
    <w:rPr>
      <w:rFonts w:ascii="Palatino Linotype" w:hAnsi="Palatino Linotype"/>
      <w:szCs w:val="24"/>
    </w:rPr>
  </w:style>
  <w:style w:type="paragraph" w:styleId="FooterAddress" w:customStyle="1">
    <w:name w:val="Footer Address"/>
    <w:basedOn w:val="Footer"/>
    <w:link w:val="FooterAddressChar"/>
    <w:rsid w:val="007D6383"/>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styleId="FooterAddressChar" w:customStyle="1">
    <w:name w:val="Footer Address Char"/>
    <w:link w:val="FooterAddress"/>
    <w:rsid w:val="007D6383"/>
    <w:rPr>
      <w:rFonts w:ascii="Arial" w:hAnsi="Arial"/>
      <w:color w:val="555759"/>
      <w:sz w:val="16"/>
    </w:rPr>
  </w:style>
  <w:style w:type="paragraph" w:styleId="BodyText">
    <w:name w:val="Body Text"/>
    <w:basedOn w:val="Normal"/>
    <w:link w:val="BodyTextChar"/>
    <w:unhideWhenUsed/>
    <w:qFormat/>
    <w:rsid w:val="00486A1D"/>
    <w:pPr>
      <w:autoSpaceDN/>
      <w:spacing w:before="0" w:after="240"/>
    </w:pPr>
    <w:rPr>
      <w:rFonts w:ascii="Arial" w:hAnsi="Arial"/>
      <w:sz w:val="22"/>
      <w:szCs w:val="20"/>
    </w:rPr>
  </w:style>
  <w:style w:type="character" w:styleId="BodyTextChar" w:customStyle="1">
    <w:name w:val="Body Text Char"/>
    <w:basedOn w:val="DefaultParagraphFont"/>
    <w:link w:val="BodyText"/>
    <w:rsid w:val="00486A1D"/>
    <w:rPr>
      <w:rFonts w:ascii="Arial" w:hAnsi="Arial"/>
      <w:sz w:val="22"/>
    </w:rPr>
  </w:style>
  <w:style w:type="character" w:styleId="TOC1Char" w:customStyle="1">
    <w:name w:val="TOC 1 Char"/>
    <w:link w:val="TOC1"/>
    <w:uiPriority w:val="39"/>
    <w:rsid w:val="007D6383"/>
    <w:rPr>
      <w:rFonts w:ascii="Arial" w:hAnsi="Arial"/>
      <w:b/>
      <w:sz w:val="24"/>
      <w:szCs w:val="24"/>
    </w:rPr>
  </w:style>
  <w:style w:type="table" w:styleId="TableGridLight">
    <w:name w:val="Grid Table Light"/>
    <w:basedOn w:val="TableNormal"/>
    <w:uiPriority w:val="40"/>
    <w:rsid w:val="007D6383"/>
    <w:pPr>
      <w:autoSpaceDN/>
    </w:pPr>
    <w:rPr>
      <w:rFonts w:ascii="Arial" w:hAnsi="Arial"/>
    </w:rPr>
    <w:tblPr>
      <w:tblBorders>
        <w:top w:val="single" w:color="B6B6B6" w:themeColor="background1" w:themeShade="BF" w:sz="4" w:space="0"/>
        <w:left w:val="single" w:color="B6B6B6" w:themeColor="background1" w:themeShade="BF" w:sz="4" w:space="0"/>
        <w:bottom w:val="single" w:color="B6B6B6" w:themeColor="background1" w:themeShade="BF" w:sz="4" w:space="0"/>
        <w:right w:val="single" w:color="B6B6B6" w:themeColor="background1" w:themeShade="BF" w:sz="4" w:space="0"/>
        <w:insideH w:val="single" w:color="B6B6B6" w:themeColor="background1" w:themeShade="BF" w:sz="4" w:space="0"/>
        <w:insideV w:val="single" w:color="B6B6B6" w:themeColor="background1" w:themeShade="BF" w:sz="4" w:space="0"/>
      </w:tblBorders>
    </w:tblPr>
  </w:style>
  <w:style w:type="table" w:styleId="ListTable3-Accent1">
    <w:name w:val="List Table 3 Accent 1"/>
    <w:aliases w:val="Energy Table"/>
    <w:basedOn w:val="TableNormal"/>
    <w:uiPriority w:val="99"/>
    <w:qFormat/>
    <w:rsid w:val="007D6383"/>
    <w:pPr>
      <w:autoSpaceDN/>
      <w:jc w:val="center"/>
    </w:pPr>
    <w:rPr>
      <w:rFonts w:ascii="Arial" w:hAnsi="Arial"/>
    </w:rPr>
    <w:tblPr>
      <w:tblStyleRowBandSize w:val="1"/>
      <w:tblStyleColBandSize w:val="1"/>
      <w:tblBorders>
        <w:top w:val="single" w:color="95D600" w:sz="4" w:space="0"/>
        <w:bottom w:val="single" w:color="95D600" w:sz="4" w:space="0"/>
        <w:insideH w:val="single" w:color="95D600" w:sz="4" w:space="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color="95D600" w:sz="4" w:space="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color="95D600" w:sz="4" w:space="0"/>
          <w:right w:val="single" w:color="95D600" w:sz="4" w:space="0"/>
        </w:tcBorders>
      </w:tcPr>
    </w:tblStylePr>
    <w:tblStylePr w:type="band1Horz">
      <w:tblPr/>
      <w:tcPr>
        <w:tcBorders>
          <w:top w:val="single" w:color="95D600" w:sz="4" w:space="0"/>
          <w:bottom w:val="single" w:color="95D600"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5D600" w:sz="4" w:space="0"/>
          <w:left w:val="nil"/>
        </w:tcBorders>
      </w:tcPr>
    </w:tblStylePr>
    <w:tblStylePr w:type="swCell">
      <w:tblPr/>
      <w:tcPr>
        <w:tcBorders>
          <w:top w:val="double" w:color="95D600" w:sz="4" w:space="0"/>
          <w:right w:val="nil"/>
        </w:tcBorders>
      </w:tcPr>
    </w:tblStylePr>
  </w:style>
  <w:style w:type="paragraph" w:styleId="ExecSummaryLevel3" w:customStyle="1">
    <w:name w:val="Exec Summary Level 3"/>
    <w:basedOn w:val="Normal"/>
    <w:next w:val="BodyText"/>
    <w:link w:val="ExecSummaryLevel3Char"/>
    <w:qFormat/>
    <w:rsid w:val="007D6383"/>
    <w:pPr>
      <w:suppressAutoHyphens w:val="0"/>
      <w:autoSpaceDN/>
      <w:spacing w:before="240" w:after="240"/>
    </w:pPr>
    <w:rPr>
      <w:rFonts w:ascii="Arial" w:hAnsi="Arial" w:cs="Arial"/>
      <w:b/>
      <w:iCs/>
      <w:kern w:val="3"/>
      <w:szCs w:val="22"/>
    </w:rPr>
  </w:style>
  <w:style w:type="character" w:styleId="ExecSummaryLevel3Char" w:customStyle="1">
    <w:name w:val="Exec Summary Level 3 Char"/>
    <w:basedOn w:val="Heading9Char"/>
    <w:link w:val="ExecSummaryLevel3"/>
    <w:rsid w:val="007D6383"/>
    <w:rPr>
      <w:rFonts w:ascii="Arial" w:hAnsi="Arial" w:cs="Arial"/>
      <w:b/>
      <w:i w:val="0"/>
      <w:iCs/>
      <w:kern w:val="3"/>
      <w:sz w:val="24"/>
      <w:szCs w:val="22"/>
    </w:rPr>
  </w:style>
  <w:style w:type="paragraph" w:styleId="BlockText">
    <w:name w:val="Block Text"/>
    <w:basedOn w:val="Normal"/>
    <w:unhideWhenUsed/>
    <w:rsid w:val="007D6383"/>
    <w:pPr>
      <w:pBdr>
        <w:top w:val="single" w:color="648C1A" w:sz="12" w:space="10"/>
        <w:left w:val="single" w:color="648C1A" w:sz="12" w:space="10"/>
        <w:bottom w:val="single" w:color="648C1A" w:sz="12" w:space="10"/>
        <w:right w:val="single" w:color="648C1A" w:sz="12" w:space="10"/>
      </w:pBdr>
      <w:shd w:val="clear" w:color="auto" w:fill="E6E6E6" w:themeFill="background1" w:themeFillShade="F2"/>
      <w:suppressAutoHyphens w:val="0"/>
      <w:autoSpaceDN/>
      <w:spacing w:before="0" w:after="0"/>
      <w:ind w:left="1152" w:right="1152"/>
    </w:pPr>
    <w:rPr>
      <w:rFonts w:ascii="Arial" w:hAnsi="Arial" w:eastAsiaTheme="minorEastAsia" w:cstheme="minorBidi"/>
      <w:b/>
      <w:i/>
      <w:iCs/>
      <w:color w:val="93D500" w:themeColor="accent1"/>
      <w:sz w:val="22"/>
      <w:szCs w:val="20"/>
    </w:rPr>
  </w:style>
  <w:style w:type="paragraph" w:styleId="NormalIndent">
    <w:name w:val="Normal Indent"/>
    <w:basedOn w:val="Normal"/>
    <w:semiHidden/>
    <w:unhideWhenUsed/>
    <w:rsid w:val="007D6383"/>
    <w:pPr>
      <w:suppressAutoHyphens w:val="0"/>
      <w:autoSpaceDN/>
      <w:spacing w:before="0" w:after="0"/>
      <w:ind w:left="720"/>
    </w:pPr>
    <w:rPr>
      <w:rFonts w:ascii="Arial" w:hAnsi="Arial"/>
      <w:sz w:val="22"/>
      <w:szCs w:val="20"/>
    </w:rPr>
  </w:style>
  <w:style w:type="character" w:styleId="UnresolvedMention">
    <w:name w:val="Unresolved Mention"/>
    <w:basedOn w:val="DefaultParagraphFont"/>
    <w:uiPriority w:val="99"/>
    <w:unhideWhenUsed/>
    <w:rsid w:val="007D6383"/>
    <w:rPr>
      <w:color w:val="808080"/>
      <w:shd w:val="clear" w:color="auto" w:fill="E6E6E6"/>
    </w:rPr>
  </w:style>
  <w:style w:type="character" w:styleId="FollowedHyperlink">
    <w:name w:val="FollowedHyperlink"/>
    <w:basedOn w:val="DefaultParagraphFont"/>
    <w:semiHidden/>
    <w:unhideWhenUsed/>
    <w:rsid w:val="007D6383"/>
    <w:rPr>
      <w:color w:val="036479" w:themeColor="followedHyperlink"/>
      <w:u w:val="single"/>
    </w:rPr>
  </w:style>
  <w:style w:type="paragraph" w:styleId="ListBullet">
    <w:name w:val="List Bullet"/>
    <w:basedOn w:val="BodyText"/>
    <w:unhideWhenUsed/>
    <w:qFormat/>
    <w:rsid w:val="007D6383"/>
    <w:pPr>
      <w:numPr>
        <w:numId w:val="27"/>
      </w:numPr>
      <w:tabs>
        <w:tab w:val="clear" w:pos="360"/>
        <w:tab w:val="num" w:pos="720"/>
      </w:tabs>
      <w:spacing w:after="120"/>
      <w:ind w:left="720"/>
    </w:pPr>
  </w:style>
  <w:style w:type="paragraph" w:styleId="CoverClientName" w:customStyle="1">
    <w:name w:val="Cover_Client Name"/>
    <w:basedOn w:val="Subtitle"/>
    <w:next w:val="BodyText"/>
    <w:rsid w:val="007D6383"/>
    <w:pPr>
      <w:spacing w:before="0" w:after="2000"/>
    </w:pPr>
  </w:style>
  <w:style w:type="paragraph" w:styleId="Preparedfor" w:customStyle="1">
    <w:name w:val="Prepared for"/>
    <w:basedOn w:val="Subtitle"/>
    <w:next w:val="CoverClientName"/>
    <w:rsid w:val="007D6383"/>
    <w:pPr>
      <w:spacing w:after="120"/>
    </w:pPr>
  </w:style>
  <w:style w:type="paragraph" w:styleId="TableFigureNote" w:customStyle="1">
    <w:name w:val="Table/Figure Note"/>
    <w:basedOn w:val="TableFigureSource"/>
    <w:next w:val="TableFigureSource"/>
    <w:qFormat/>
    <w:rsid w:val="00862621"/>
    <w:pPr>
      <w:keepNext/>
      <w:spacing w:before="20" w:after="20"/>
    </w:pPr>
    <w:rPr>
      <w:i w:val="0"/>
    </w:rPr>
  </w:style>
  <w:style w:type="character" w:styleId="Strong">
    <w:name w:val="Strong"/>
    <w:basedOn w:val="DefaultParagraphFont"/>
    <w:rsid w:val="007D6383"/>
    <w:rPr>
      <w:b/>
      <w:bCs/>
      <w:lang w:val="en-US"/>
    </w:rPr>
  </w:style>
  <w:style w:type="paragraph" w:styleId="Bibliography">
    <w:name w:val="Bibliography"/>
    <w:basedOn w:val="Normal"/>
    <w:next w:val="Normal"/>
    <w:uiPriority w:val="37"/>
    <w:semiHidden/>
    <w:unhideWhenUsed/>
    <w:rsid w:val="007D6383"/>
    <w:pPr>
      <w:suppressAutoHyphens w:val="0"/>
      <w:autoSpaceDN/>
      <w:spacing w:before="0" w:after="0"/>
    </w:pPr>
    <w:rPr>
      <w:rFonts w:ascii="Arial" w:hAnsi="Arial"/>
      <w:sz w:val="22"/>
      <w:szCs w:val="20"/>
    </w:rPr>
  </w:style>
  <w:style w:type="paragraph" w:styleId="BodyText2">
    <w:name w:val="Body Text 2"/>
    <w:basedOn w:val="Normal"/>
    <w:link w:val="BodyText2Char"/>
    <w:semiHidden/>
    <w:unhideWhenUsed/>
    <w:rsid w:val="007D6383"/>
    <w:pPr>
      <w:suppressAutoHyphens w:val="0"/>
      <w:autoSpaceDN/>
      <w:spacing w:before="0" w:line="480" w:lineRule="auto"/>
    </w:pPr>
    <w:rPr>
      <w:rFonts w:ascii="Arial" w:hAnsi="Arial"/>
      <w:sz w:val="22"/>
      <w:szCs w:val="20"/>
    </w:rPr>
  </w:style>
  <w:style w:type="character" w:styleId="BodyText2Char" w:customStyle="1">
    <w:name w:val="Body Text 2 Char"/>
    <w:basedOn w:val="DefaultParagraphFont"/>
    <w:link w:val="BodyText2"/>
    <w:semiHidden/>
    <w:rsid w:val="007D6383"/>
    <w:rPr>
      <w:rFonts w:ascii="Arial" w:hAnsi="Arial"/>
      <w:sz w:val="22"/>
    </w:rPr>
  </w:style>
  <w:style w:type="paragraph" w:styleId="BodyText3">
    <w:name w:val="Body Text 3"/>
    <w:basedOn w:val="Normal"/>
    <w:link w:val="BodyText3Char"/>
    <w:semiHidden/>
    <w:unhideWhenUsed/>
    <w:rsid w:val="007D6383"/>
    <w:pPr>
      <w:suppressAutoHyphens w:val="0"/>
      <w:autoSpaceDN/>
      <w:spacing w:before="0"/>
    </w:pPr>
    <w:rPr>
      <w:rFonts w:ascii="Arial" w:hAnsi="Arial"/>
      <w:sz w:val="16"/>
      <w:szCs w:val="16"/>
    </w:rPr>
  </w:style>
  <w:style w:type="character" w:styleId="BodyText3Char" w:customStyle="1">
    <w:name w:val="Body Text 3 Char"/>
    <w:basedOn w:val="DefaultParagraphFont"/>
    <w:link w:val="BodyText3"/>
    <w:semiHidden/>
    <w:rsid w:val="007D6383"/>
    <w:rPr>
      <w:rFonts w:ascii="Arial" w:hAnsi="Arial"/>
      <w:sz w:val="16"/>
      <w:szCs w:val="16"/>
    </w:rPr>
  </w:style>
  <w:style w:type="paragraph" w:styleId="BodyTextFirstIndent">
    <w:name w:val="Body Text First Indent"/>
    <w:basedOn w:val="BodyText"/>
    <w:link w:val="BodyTextFirstIndentChar"/>
    <w:rsid w:val="007D6383"/>
    <w:pPr>
      <w:spacing w:after="0"/>
      <w:ind w:firstLine="360"/>
    </w:pPr>
  </w:style>
  <w:style w:type="character" w:styleId="BodyTextFirstIndentChar" w:customStyle="1">
    <w:name w:val="Body Text First Indent Char"/>
    <w:basedOn w:val="BodyTextChar"/>
    <w:link w:val="BodyTextFirstIndent"/>
    <w:rsid w:val="007D6383"/>
    <w:rPr>
      <w:rFonts w:ascii="Arial" w:hAnsi="Arial"/>
      <w:sz w:val="22"/>
    </w:rPr>
  </w:style>
  <w:style w:type="paragraph" w:styleId="BodyTextIndent">
    <w:name w:val="Body Text Indent"/>
    <w:basedOn w:val="Normal"/>
    <w:link w:val="BodyTextIndentChar"/>
    <w:semiHidden/>
    <w:unhideWhenUsed/>
    <w:rsid w:val="007D6383"/>
    <w:pPr>
      <w:suppressAutoHyphens w:val="0"/>
      <w:autoSpaceDN/>
      <w:spacing w:before="0"/>
      <w:ind w:left="360"/>
    </w:pPr>
    <w:rPr>
      <w:rFonts w:ascii="Arial" w:hAnsi="Arial"/>
      <w:sz w:val="22"/>
      <w:szCs w:val="20"/>
    </w:rPr>
  </w:style>
  <w:style w:type="character" w:styleId="BodyTextIndentChar" w:customStyle="1">
    <w:name w:val="Body Text Indent Char"/>
    <w:basedOn w:val="DefaultParagraphFont"/>
    <w:link w:val="BodyTextIndent"/>
    <w:semiHidden/>
    <w:rsid w:val="007D6383"/>
    <w:rPr>
      <w:rFonts w:ascii="Arial" w:hAnsi="Arial"/>
      <w:sz w:val="22"/>
    </w:rPr>
  </w:style>
  <w:style w:type="paragraph" w:styleId="BodyTextFirstIndent2">
    <w:name w:val="Body Text First Indent 2"/>
    <w:basedOn w:val="BodyTextIndent"/>
    <w:link w:val="BodyTextFirstIndent2Char"/>
    <w:semiHidden/>
    <w:unhideWhenUsed/>
    <w:rsid w:val="007D6383"/>
    <w:pPr>
      <w:spacing w:after="0"/>
      <w:ind w:firstLine="360"/>
    </w:pPr>
  </w:style>
  <w:style w:type="character" w:styleId="BodyTextFirstIndent2Char" w:customStyle="1">
    <w:name w:val="Body Text First Indent 2 Char"/>
    <w:basedOn w:val="BodyTextIndentChar"/>
    <w:link w:val="BodyTextFirstIndent2"/>
    <w:semiHidden/>
    <w:rsid w:val="007D6383"/>
    <w:rPr>
      <w:rFonts w:ascii="Arial" w:hAnsi="Arial"/>
      <w:sz w:val="22"/>
    </w:rPr>
  </w:style>
  <w:style w:type="paragraph" w:styleId="BodyTextIndent2">
    <w:name w:val="Body Text Indent 2"/>
    <w:basedOn w:val="Normal"/>
    <w:link w:val="BodyTextIndent2Char"/>
    <w:semiHidden/>
    <w:unhideWhenUsed/>
    <w:rsid w:val="007D6383"/>
    <w:pPr>
      <w:suppressAutoHyphens w:val="0"/>
      <w:autoSpaceDN/>
      <w:spacing w:before="0" w:line="480" w:lineRule="auto"/>
      <w:ind w:left="360"/>
    </w:pPr>
    <w:rPr>
      <w:rFonts w:ascii="Arial" w:hAnsi="Arial"/>
      <w:sz w:val="22"/>
      <w:szCs w:val="20"/>
    </w:rPr>
  </w:style>
  <w:style w:type="character" w:styleId="BodyTextIndent2Char" w:customStyle="1">
    <w:name w:val="Body Text Indent 2 Char"/>
    <w:basedOn w:val="DefaultParagraphFont"/>
    <w:link w:val="BodyTextIndent2"/>
    <w:semiHidden/>
    <w:rsid w:val="007D6383"/>
    <w:rPr>
      <w:rFonts w:ascii="Arial" w:hAnsi="Arial"/>
      <w:sz w:val="22"/>
    </w:rPr>
  </w:style>
  <w:style w:type="paragraph" w:styleId="BodyTextIndent3">
    <w:name w:val="Body Text Indent 3"/>
    <w:basedOn w:val="Normal"/>
    <w:link w:val="BodyTextIndent3Char"/>
    <w:semiHidden/>
    <w:unhideWhenUsed/>
    <w:rsid w:val="007D6383"/>
    <w:pPr>
      <w:suppressAutoHyphens w:val="0"/>
      <w:autoSpaceDN/>
      <w:spacing w:before="0"/>
      <w:ind w:left="360"/>
    </w:pPr>
    <w:rPr>
      <w:rFonts w:ascii="Arial" w:hAnsi="Arial"/>
      <w:sz w:val="16"/>
      <w:szCs w:val="16"/>
    </w:rPr>
  </w:style>
  <w:style w:type="character" w:styleId="BodyTextIndent3Char" w:customStyle="1">
    <w:name w:val="Body Text Indent 3 Char"/>
    <w:basedOn w:val="DefaultParagraphFont"/>
    <w:link w:val="BodyTextIndent3"/>
    <w:semiHidden/>
    <w:rsid w:val="007D6383"/>
    <w:rPr>
      <w:rFonts w:ascii="Arial" w:hAnsi="Arial"/>
      <w:sz w:val="16"/>
      <w:szCs w:val="16"/>
    </w:rPr>
  </w:style>
  <w:style w:type="paragraph" w:styleId="Closing">
    <w:name w:val="Closing"/>
    <w:basedOn w:val="Normal"/>
    <w:link w:val="ClosingChar"/>
    <w:semiHidden/>
    <w:unhideWhenUsed/>
    <w:rsid w:val="007D6383"/>
    <w:pPr>
      <w:suppressAutoHyphens w:val="0"/>
      <w:autoSpaceDN/>
      <w:spacing w:before="0" w:after="0"/>
      <w:ind w:left="4320"/>
    </w:pPr>
    <w:rPr>
      <w:rFonts w:ascii="Arial" w:hAnsi="Arial"/>
      <w:sz w:val="22"/>
      <w:szCs w:val="20"/>
    </w:rPr>
  </w:style>
  <w:style w:type="character" w:styleId="ClosingChar" w:customStyle="1">
    <w:name w:val="Closing Char"/>
    <w:basedOn w:val="DefaultParagraphFont"/>
    <w:link w:val="Closing"/>
    <w:semiHidden/>
    <w:rsid w:val="007D6383"/>
    <w:rPr>
      <w:rFonts w:ascii="Arial" w:hAnsi="Arial"/>
      <w:sz w:val="22"/>
    </w:rPr>
  </w:style>
  <w:style w:type="paragraph" w:styleId="Date">
    <w:name w:val="Date"/>
    <w:basedOn w:val="Normal"/>
    <w:next w:val="Normal"/>
    <w:link w:val="DateChar"/>
    <w:rsid w:val="007D6383"/>
    <w:pPr>
      <w:suppressAutoHyphens w:val="0"/>
      <w:autoSpaceDN/>
      <w:spacing w:before="0" w:after="0"/>
    </w:pPr>
    <w:rPr>
      <w:rFonts w:ascii="Arial" w:hAnsi="Arial"/>
      <w:sz w:val="22"/>
      <w:szCs w:val="20"/>
    </w:rPr>
  </w:style>
  <w:style w:type="character" w:styleId="DateChar" w:customStyle="1">
    <w:name w:val="Date Char"/>
    <w:basedOn w:val="DefaultParagraphFont"/>
    <w:link w:val="Date"/>
    <w:rsid w:val="007D6383"/>
    <w:rPr>
      <w:rFonts w:ascii="Arial" w:hAnsi="Arial"/>
      <w:sz w:val="22"/>
    </w:rPr>
  </w:style>
  <w:style w:type="paragraph" w:styleId="DocumentMap">
    <w:name w:val="Document Map"/>
    <w:basedOn w:val="Normal"/>
    <w:link w:val="DocumentMapChar"/>
    <w:semiHidden/>
    <w:unhideWhenUsed/>
    <w:rsid w:val="007D6383"/>
    <w:pPr>
      <w:suppressAutoHyphens w:val="0"/>
      <w:autoSpaceDN/>
      <w:spacing w:before="0" w:after="0"/>
    </w:pPr>
    <w:rPr>
      <w:rFonts w:ascii="Segoe UI" w:hAnsi="Segoe UI" w:cs="Segoe UI"/>
      <w:sz w:val="16"/>
      <w:szCs w:val="16"/>
    </w:rPr>
  </w:style>
  <w:style w:type="character" w:styleId="DocumentMapChar" w:customStyle="1">
    <w:name w:val="Document Map Char"/>
    <w:basedOn w:val="DefaultParagraphFont"/>
    <w:link w:val="DocumentMap"/>
    <w:semiHidden/>
    <w:rsid w:val="007D6383"/>
    <w:rPr>
      <w:rFonts w:ascii="Segoe UI" w:hAnsi="Segoe UI" w:cs="Segoe UI"/>
      <w:sz w:val="16"/>
      <w:szCs w:val="16"/>
    </w:rPr>
  </w:style>
  <w:style w:type="numbering" w:styleId="LFO1" w:customStyle="1">
    <w:name w:val="LFO1"/>
    <w:basedOn w:val="NoList"/>
    <w:pPr>
      <w:numPr>
        <w:numId w:val="1"/>
      </w:numPr>
    </w:pPr>
  </w:style>
  <w:style w:type="numbering" w:styleId="LFO2" w:customStyle="1">
    <w:name w:val="LFO2"/>
    <w:basedOn w:val="NoList"/>
    <w:pPr>
      <w:numPr>
        <w:numId w:val="2"/>
      </w:numPr>
    </w:pPr>
  </w:style>
  <w:style w:type="numbering" w:styleId="LFO3" w:customStyle="1">
    <w:name w:val="LFO3"/>
    <w:basedOn w:val="NoList"/>
    <w:pPr>
      <w:numPr>
        <w:numId w:val="3"/>
      </w:numPr>
    </w:pPr>
  </w:style>
  <w:style w:type="numbering" w:styleId="LFO5" w:customStyle="1">
    <w:name w:val="LFO5"/>
    <w:basedOn w:val="NoList"/>
    <w:pPr>
      <w:numPr>
        <w:numId w:val="4"/>
      </w:numPr>
    </w:pPr>
  </w:style>
  <w:style w:type="numbering" w:styleId="LFO6" w:customStyle="1">
    <w:name w:val="LFO6"/>
    <w:basedOn w:val="NoList"/>
    <w:pPr>
      <w:numPr>
        <w:numId w:val="5"/>
      </w:numPr>
    </w:pPr>
  </w:style>
  <w:style w:type="numbering" w:styleId="LFO7" w:customStyle="1">
    <w:name w:val="LFO7"/>
    <w:basedOn w:val="NoList"/>
    <w:pPr>
      <w:numPr>
        <w:numId w:val="6"/>
      </w:numPr>
    </w:pPr>
  </w:style>
  <w:style w:type="numbering" w:styleId="LFO8" w:customStyle="1">
    <w:name w:val="LFO8"/>
    <w:basedOn w:val="NoList"/>
    <w:pPr>
      <w:numPr>
        <w:numId w:val="7"/>
      </w:numPr>
    </w:pPr>
  </w:style>
  <w:style w:type="numbering" w:styleId="LFO9" w:customStyle="1">
    <w:name w:val="LFO9"/>
    <w:basedOn w:val="NoList"/>
    <w:pPr>
      <w:numPr>
        <w:numId w:val="8"/>
      </w:numPr>
    </w:pPr>
  </w:style>
  <w:style w:type="numbering" w:styleId="LFO10" w:customStyle="1">
    <w:name w:val="LFO10"/>
    <w:basedOn w:val="NoList"/>
    <w:pPr>
      <w:numPr>
        <w:numId w:val="9"/>
      </w:numPr>
    </w:pPr>
  </w:style>
  <w:style w:type="numbering" w:styleId="LFO11" w:customStyle="1">
    <w:name w:val="LFO11"/>
    <w:basedOn w:val="NoList"/>
    <w:pPr>
      <w:numPr>
        <w:numId w:val="10"/>
      </w:numPr>
    </w:pPr>
  </w:style>
  <w:style w:type="numbering" w:styleId="LFO12" w:customStyle="1">
    <w:name w:val="LFO12"/>
    <w:basedOn w:val="NoList"/>
    <w:pPr>
      <w:numPr>
        <w:numId w:val="11"/>
      </w:numPr>
    </w:pPr>
  </w:style>
  <w:style w:type="numbering" w:styleId="LFO13" w:customStyle="1">
    <w:name w:val="LFO13"/>
    <w:basedOn w:val="NoList"/>
    <w:pPr>
      <w:numPr>
        <w:numId w:val="12"/>
      </w:numPr>
    </w:pPr>
  </w:style>
  <w:style w:type="numbering" w:styleId="LFO14" w:customStyle="1">
    <w:name w:val="LFO14"/>
    <w:basedOn w:val="NoList"/>
    <w:pPr>
      <w:numPr>
        <w:numId w:val="13"/>
      </w:numPr>
    </w:pPr>
  </w:style>
  <w:style w:type="numbering" w:styleId="LFO15" w:customStyle="1">
    <w:name w:val="LFO15"/>
    <w:basedOn w:val="NoList"/>
    <w:pPr>
      <w:numPr>
        <w:numId w:val="14"/>
      </w:numPr>
    </w:pPr>
  </w:style>
  <w:style w:type="numbering" w:styleId="LFO16" w:customStyle="1">
    <w:name w:val="LFO16"/>
    <w:basedOn w:val="NoList"/>
    <w:pPr>
      <w:numPr>
        <w:numId w:val="15"/>
      </w:numPr>
    </w:pPr>
  </w:style>
  <w:style w:type="numbering" w:styleId="LFO18" w:customStyle="1">
    <w:name w:val="LFO18"/>
    <w:basedOn w:val="NoList"/>
    <w:pPr>
      <w:numPr>
        <w:numId w:val="16"/>
      </w:numPr>
    </w:pPr>
  </w:style>
  <w:style w:type="numbering" w:styleId="LFO20" w:customStyle="1">
    <w:name w:val="LFO20"/>
    <w:basedOn w:val="NoList"/>
    <w:pPr>
      <w:numPr>
        <w:numId w:val="17"/>
      </w:numPr>
    </w:pPr>
  </w:style>
  <w:style w:type="numbering" w:styleId="LFO21" w:customStyle="1">
    <w:name w:val="LFO21"/>
    <w:basedOn w:val="NoList"/>
    <w:pPr>
      <w:numPr>
        <w:numId w:val="18"/>
      </w:numPr>
    </w:pPr>
  </w:style>
  <w:style w:type="numbering" w:styleId="LFO22" w:customStyle="1">
    <w:name w:val="LFO22"/>
    <w:basedOn w:val="NoList"/>
    <w:pPr>
      <w:numPr>
        <w:numId w:val="19"/>
      </w:numPr>
    </w:pPr>
  </w:style>
  <w:style w:type="numbering" w:styleId="LFO24" w:customStyle="1">
    <w:name w:val="LFO24"/>
    <w:basedOn w:val="NoList"/>
    <w:pPr>
      <w:numPr>
        <w:numId w:val="20"/>
      </w:numPr>
    </w:pPr>
  </w:style>
  <w:style w:type="paragraph" w:styleId="E-mailSignature">
    <w:name w:val="E-mail Signature"/>
    <w:basedOn w:val="Normal"/>
    <w:link w:val="E-mailSignatureChar"/>
    <w:semiHidden/>
    <w:unhideWhenUsed/>
    <w:rsid w:val="007D6383"/>
    <w:pPr>
      <w:suppressAutoHyphens w:val="0"/>
      <w:autoSpaceDN/>
      <w:spacing w:before="0" w:after="0"/>
    </w:pPr>
    <w:rPr>
      <w:rFonts w:ascii="Arial" w:hAnsi="Arial"/>
      <w:sz w:val="22"/>
      <w:szCs w:val="20"/>
    </w:rPr>
  </w:style>
  <w:style w:type="character" w:styleId="E-mailSignatureChar" w:customStyle="1">
    <w:name w:val="E-mail Signature Char"/>
    <w:basedOn w:val="DefaultParagraphFont"/>
    <w:link w:val="E-mailSignature"/>
    <w:semiHidden/>
    <w:rsid w:val="007D6383"/>
    <w:rPr>
      <w:rFonts w:ascii="Arial" w:hAnsi="Arial"/>
      <w:sz w:val="22"/>
    </w:rPr>
  </w:style>
  <w:style w:type="paragraph" w:styleId="EnvelopeAddress">
    <w:name w:val="envelope address"/>
    <w:basedOn w:val="Normal"/>
    <w:semiHidden/>
    <w:unhideWhenUsed/>
    <w:rsid w:val="007D6383"/>
    <w:pPr>
      <w:framePr w:w="7920" w:h="1980" w:hSpace="180" w:wrap="auto" w:hAnchor="page" w:xAlign="center" w:yAlign="bottom" w:hRule="exact"/>
      <w:suppressAutoHyphens w:val="0"/>
      <w:autoSpaceDN/>
      <w:spacing w:before="0" w:after="0"/>
      <w:ind w:left="2880"/>
    </w:pPr>
    <w:rPr>
      <w:rFonts w:asciiTheme="majorHAnsi" w:hAnsiTheme="majorHAnsi" w:eastAsiaTheme="majorEastAsia" w:cstheme="majorBidi"/>
    </w:rPr>
  </w:style>
  <w:style w:type="paragraph" w:styleId="EnvelopeReturn">
    <w:name w:val="envelope return"/>
    <w:basedOn w:val="Normal"/>
    <w:semiHidden/>
    <w:unhideWhenUsed/>
    <w:rsid w:val="007D6383"/>
    <w:pPr>
      <w:suppressAutoHyphens w:val="0"/>
      <w:autoSpaceDN/>
      <w:spacing w:before="0" w:after="0"/>
    </w:pPr>
    <w:rPr>
      <w:rFonts w:asciiTheme="majorHAnsi" w:hAnsiTheme="majorHAnsi" w:eastAsiaTheme="majorEastAsia" w:cstheme="majorBidi"/>
      <w:sz w:val="22"/>
      <w:szCs w:val="20"/>
    </w:rPr>
  </w:style>
  <w:style w:type="paragraph" w:styleId="HTMLAddress">
    <w:name w:val="HTML Address"/>
    <w:basedOn w:val="Normal"/>
    <w:link w:val="HTMLAddressChar"/>
    <w:semiHidden/>
    <w:unhideWhenUsed/>
    <w:rsid w:val="007D6383"/>
    <w:pPr>
      <w:suppressAutoHyphens w:val="0"/>
      <w:autoSpaceDN/>
      <w:spacing w:before="0" w:after="0"/>
    </w:pPr>
    <w:rPr>
      <w:rFonts w:ascii="Arial" w:hAnsi="Arial"/>
      <w:i/>
      <w:iCs/>
      <w:sz w:val="22"/>
      <w:szCs w:val="20"/>
    </w:rPr>
  </w:style>
  <w:style w:type="character" w:styleId="HTMLAddressChar" w:customStyle="1">
    <w:name w:val="HTML Address Char"/>
    <w:basedOn w:val="DefaultParagraphFont"/>
    <w:link w:val="HTMLAddress"/>
    <w:semiHidden/>
    <w:rsid w:val="007D6383"/>
    <w:rPr>
      <w:rFonts w:ascii="Arial" w:hAnsi="Arial"/>
      <w:i/>
      <w:iCs/>
      <w:sz w:val="22"/>
    </w:rPr>
  </w:style>
  <w:style w:type="paragraph" w:styleId="HTMLPreformatted">
    <w:name w:val="HTML Preformatted"/>
    <w:basedOn w:val="Normal"/>
    <w:link w:val="HTMLPreformattedChar"/>
    <w:semiHidden/>
    <w:unhideWhenUsed/>
    <w:rsid w:val="007D6383"/>
    <w:pPr>
      <w:suppressAutoHyphens w:val="0"/>
      <w:autoSpaceDN/>
      <w:spacing w:before="0" w:after="0"/>
    </w:pPr>
    <w:rPr>
      <w:rFonts w:ascii="Consolas" w:hAnsi="Consolas"/>
      <w:sz w:val="22"/>
      <w:szCs w:val="20"/>
    </w:rPr>
  </w:style>
  <w:style w:type="character" w:styleId="HTMLPreformattedChar" w:customStyle="1">
    <w:name w:val="HTML Preformatted Char"/>
    <w:basedOn w:val="DefaultParagraphFont"/>
    <w:link w:val="HTMLPreformatted"/>
    <w:semiHidden/>
    <w:rsid w:val="007D6383"/>
    <w:rPr>
      <w:rFonts w:ascii="Consolas" w:hAnsi="Consolas"/>
      <w:sz w:val="22"/>
    </w:rPr>
  </w:style>
  <w:style w:type="paragraph" w:styleId="Index1">
    <w:name w:val="index 1"/>
    <w:basedOn w:val="Normal"/>
    <w:next w:val="Normal"/>
    <w:autoRedefine/>
    <w:semiHidden/>
    <w:unhideWhenUsed/>
    <w:rsid w:val="007D6383"/>
    <w:pPr>
      <w:suppressAutoHyphens w:val="0"/>
      <w:autoSpaceDN/>
      <w:spacing w:before="0" w:after="0"/>
      <w:ind w:left="200" w:hanging="200"/>
    </w:pPr>
    <w:rPr>
      <w:rFonts w:ascii="Arial" w:hAnsi="Arial"/>
      <w:sz w:val="22"/>
      <w:szCs w:val="20"/>
    </w:rPr>
  </w:style>
  <w:style w:type="paragraph" w:styleId="Index2">
    <w:name w:val="index 2"/>
    <w:basedOn w:val="Normal"/>
    <w:next w:val="Normal"/>
    <w:autoRedefine/>
    <w:semiHidden/>
    <w:unhideWhenUsed/>
    <w:rsid w:val="007D6383"/>
    <w:pPr>
      <w:suppressAutoHyphens w:val="0"/>
      <w:autoSpaceDN/>
      <w:spacing w:before="0" w:after="0"/>
      <w:ind w:left="400" w:hanging="200"/>
    </w:pPr>
    <w:rPr>
      <w:rFonts w:ascii="Arial" w:hAnsi="Arial"/>
      <w:sz w:val="22"/>
      <w:szCs w:val="20"/>
    </w:rPr>
  </w:style>
  <w:style w:type="paragraph" w:styleId="Index3">
    <w:name w:val="index 3"/>
    <w:basedOn w:val="Normal"/>
    <w:next w:val="Normal"/>
    <w:autoRedefine/>
    <w:semiHidden/>
    <w:unhideWhenUsed/>
    <w:rsid w:val="007D6383"/>
    <w:pPr>
      <w:suppressAutoHyphens w:val="0"/>
      <w:autoSpaceDN/>
      <w:spacing w:before="0" w:after="0"/>
      <w:ind w:left="600" w:hanging="200"/>
    </w:pPr>
    <w:rPr>
      <w:rFonts w:ascii="Arial" w:hAnsi="Arial"/>
      <w:sz w:val="22"/>
      <w:szCs w:val="20"/>
    </w:rPr>
  </w:style>
  <w:style w:type="paragraph" w:styleId="Index4">
    <w:name w:val="index 4"/>
    <w:basedOn w:val="Normal"/>
    <w:next w:val="Normal"/>
    <w:autoRedefine/>
    <w:semiHidden/>
    <w:unhideWhenUsed/>
    <w:rsid w:val="007D6383"/>
    <w:pPr>
      <w:suppressAutoHyphens w:val="0"/>
      <w:autoSpaceDN/>
      <w:spacing w:before="0" w:after="0"/>
      <w:ind w:left="800" w:hanging="200"/>
    </w:pPr>
    <w:rPr>
      <w:rFonts w:ascii="Arial" w:hAnsi="Arial"/>
      <w:sz w:val="22"/>
      <w:szCs w:val="20"/>
    </w:rPr>
  </w:style>
  <w:style w:type="paragraph" w:styleId="Index5">
    <w:name w:val="index 5"/>
    <w:basedOn w:val="Normal"/>
    <w:next w:val="Normal"/>
    <w:autoRedefine/>
    <w:semiHidden/>
    <w:unhideWhenUsed/>
    <w:rsid w:val="007D6383"/>
    <w:pPr>
      <w:suppressAutoHyphens w:val="0"/>
      <w:autoSpaceDN/>
      <w:spacing w:before="0" w:after="0"/>
      <w:ind w:left="1000" w:hanging="200"/>
    </w:pPr>
    <w:rPr>
      <w:rFonts w:ascii="Arial" w:hAnsi="Arial"/>
      <w:sz w:val="22"/>
      <w:szCs w:val="20"/>
    </w:rPr>
  </w:style>
  <w:style w:type="paragraph" w:styleId="Index6">
    <w:name w:val="index 6"/>
    <w:basedOn w:val="Normal"/>
    <w:next w:val="Normal"/>
    <w:autoRedefine/>
    <w:semiHidden/>
    <w:unhideWhenUsed/>
    <w:rsid w:val="007D6383"/>
    <w:pPr>
      <w:suppressAutoHyphens w:val="0"/>
      <w:autoSpaceDN/>
      <w:spacing w:before="0" w:after="0"/>
      <w:ind w:left="1200" w:hanging="200"/>
    </w:pPr>
    <w:rPr>
      <w:rFonts w:ascii="Arial" w:hAnsi="Arial"/>
      <w:sz w:val="22"/>
      <w:szCs w:val="20"/>
    </w:rPr>
  </w:style>
  <w:style w:type="paragraph" w:styleId="Index7">
    <w:name w:val="index 7"/>
    <w:basedOn w:val="Normal"/>
    <w:next w:val="Normal"/>
    <w:autoRedefine/>
    <w:semiHidden/>
    <w:unhideWhenUsed/>
    <w:rsid w:val="007D6383"/>
    <w:pPr>
      <w:suppressAutoHyphens w:val="0"/>
      <w:autoSpaceDN/>
      <w:spacing w:before="0" w:after="0"/>
      <w:ind w:left="1400" w:hanging="200"/>
    </w:pPr>
    <w:rPr>
      <w:rFonts w:ascii="Arial" w:hAnsi="Arial"/>
      <w:sz w:val="22"/>
      <w:szCs w:val="20"/>
    </w:rPr>
  </w:style>
  <w:style w:type="paragraph" w:styleId="Index8">
    <w:name w:val="index 8"/>
    <w:basedOn w:val="Normal"/>
    <w:next w:val="Normal"/>
    <w:autoRedefine/>
    <w:semiHidden/>
    <w:unhideWhenUsed/>
    <w:rsid w:val="007D6383"/>
    <w:pPr>
      <w:suppressAutoHyphens w:val="0"/>
      <w:autoSpaceDN/>
      <w:spacing w:before="0" w:after="0"/>
      <w:ind w:left="1600" w:hanging="200"/>
    </w:pPr>
    <w:rPr>
      <w:rFonts w:ascii="Arial" w:hAnsi="Arial"/>
      <w:sz w:val="22"/>
      <w:szCs w:val="20"/>
    </w:rPr>
  </w:style>
  <w:style w:type="paragraph" w:styleId="Index9">
    <w:name w:val="index 9"/>
    <w:basedOn w:val="Normal"/>
    <w:next w:val="Normal"/>
    <w:autoRedefine/>
    <w:semiHidden/>
    <w:unhideWhenUsed/>
    <w:rsid w:val="007D6383"/>
    <w:pPr>
      <w:suppressAutoHyphens w:val="0"/>
      <w:autoSpaceDN/>
      <w:spacing w:before="0" w:after="0"/>
      <w:ind w:left="1800" w:hanging="200"/>
    </w:pPr>
    <w:rPr>
      <w:rFonts w:ascii="Arial" w:hAnsi="Arial"/>
      <w:sz w:val="22"/>
      <w:szCs w:val="20"/>
    </w:rPr>
  </w:style>
  <w:style w:type="paragraph" w:styleId="IndexHeading">
    <w:name w:val="index heading"/>
    <w:basedOn w:val="Normal"/>
    <w:next w:val="Index1"/>
    <w:semiHidden/>
    <w:unhideWhenUsed/>
    <w:rsid w:val="007D6383"/>
    <w:pPr>
      <w:suppressAutoHyphens w:val="0"/>
      <w:autoSpaceDN/>
      <w:spacing w:before="0" w:after="0"/>
    </w:pPr>
    <w:rPr>
      <w:rFonts w:asciiTheme="majorHAnsi" w:hAnsiTheme="majorHAnsi" w:eastAsiaTheme="majorEastAsia" w:cstheme="majorBidi"/>
      <w:b/>
      <w:bCs/>
      <w:sz w:val="22"/>
      <w:szCs w:val="20"/>
    </w:rPr>
  </w:style>
  <w:style w:type="paragraph" w:styleId="IntenseQuote">
    <w:name w:val="Intense Quote"/>
    <w:basedOn w:val="Normal"/>
    <w:next w:val="Normal"/>
    <w:link w:val="IntenseQuoteChar"/>
    <w:uiPriority w:val="30"/>
    <w:rsid w:val="007D6383"/>
    <w:pPr>
      <w:pBdr>
        <w:top w:val="single" w:color="93D500" w:themeColor="accent1" w:sz="4" w:space="10"/>
        <w:bottom w:val="single" w:color="93D500" w:themeColor="accent1" w:sz="4" w:space="10"/>
      </w:pBdr>
      <w:suppressAutoHyphens w:val="0"/>
      <w:autoSpaceDN/>
      <w:spacing w:before="360" w:after="360"/>
      <w:ind w:left="864" w:right="864"/>
      <w:jc w:val="center"/>
    </w:pPr>
    <w:rPr>
      <w:rFonts w:ascii="Arial" w:hAnsi="Arial"/>
      <w:i/>
      <w:iCs/>
      <w:color w:val="93D500" w:themeColor="accent1"/>
      <w:sz w:val="22"/>
      <w:szCs w:val="20"/>
    </w:rPr>
  </w:style>
  <w:style w:type="character" w:styleId="IntenseQuoteChar" w:customStyle="1">
    <w:name w:val="Intense Quote Char"/>
    <w:basedOn w:val="DefaultParagraphFont"/>
    <w:link w:val="IntenseQuote"/>
    <w:uiPriority w:val="30"/>
    <w:rsid w:val="007D6383"/>
    <w:rPr>
      <w:rFonts w:ascii="Arial" w:hAnsi="Arial"/>
      <w:i/>
      <w:iCs/>
      <w:color w:val="93D500" w:themeColor="accent1"/>
      <w:sz w:val="22"/>
    </w:rPr>
  </w:style>
  <w:style w:type="paragraph" w:styleId="List">
    <w:name w:val="List"/>
    <w:basedOn w:val="Normal"/>
    <w:semiHidden/>
    <w:unhideWhenUsed/>
    <w:rsid w:val="007D6383"/>
    <w:pPr>
      <w:suppressAutoHyphens w:val="0"/>
      <w:autoSpaceDN/>
      <w:spacing w:before="0" w:after="0"/>
      <w:ind w:left="360" w:hanging="360"/>
      <w:contextualSpacing/>
    </w:pPr>
    <w:rPr>
      <w:rFonts w:ascii="Arial" w:hAnsi="Arial"/>
      <w:sz w:val="22"/>
      <w:szCs w:val="20"/>
    </w:rPr>
  </w:style>
  <w:style w:type="paragraph" w:styleId="List2">
    <w:name w:val="List 2"/>
    <w:basedOn w:val="Normal"/>
    <w:semiHidden/>
    <w:unhideWhenUsed/>
    <w:rsid w:val="007D6383"/>
    <w:pPr>
      <w:suppressAutoHyphens w:val="0"/>
      <w:autoSpaceDN/>
      <w:spacing w:before="0" w:after="0"/>
      <w:ind w:left="720" w:hanging="360"/>
      <w:contextualSpacing/>
    </w:pPr>
    <w:rPr>
      <w:rFonts w:ascii="Arial" w:hAnsi="Arial"/>
      <w:sz w:val="22"/>
      <w:szCs w:val="20"/>
    </w:rPr>
  </w:style>
  <w:style w:type="paragraph" w:styleId="List3">
    <w:name w:val="List 3"/>
    <w:basedOn w:val="Normal"/>
    <w:semiHidden/>
    <w:unhideWhenUsed/>
    <w:rsid w:val="007D6383"/>
    <w:pPr>
      <w:suppressAutoHyphens w:val="0"/>
      <w:autoSpaceDN/>
      <w:spacing w:before="0" w:after="0"/>
      <w:ind w:left="1080" w:hanging="360"/>
      <w:contextualSpacing/>
    </w:pPr>
    <w:rPr>
      <w:rFonts w:ascii="Arial" w:hAnsi="Arial"/>
      <w:sz w:val="22"/>
      <w:szCs w:val="20"/>
    </w:rPr>
  </w:style>
  <w:style w:type="paragraph" w:styleId="List4">
    <w:name w:val="List 4"/>
    <w:basedOn w:val="Normal"/>
    <w:rsid w:val="007D6383"/>
    <w:pPr>
      <w:suppressAutoHyphens w:val="0"/>
      <w:autoSpaceDN/>
      <w:spacing w:before="0" w:after="0"/>
      <w:ind w:left="1440" w:hanging="360"/>
      <w:contextualSpacing/>
    </w:pPr>
    <w:rPr>
      <w:rFonts w:ascii="Arial" w:hAnsi="Arial"/>
      <w:sz w:val="22"/>
      <w:szCs w:val="20"/>
    </w:rPr>
  </w:style>
  <w:style w:type="paragraph" w:styleId="List5">
    <w:name w:val="List 5"/>
    <w:basedOn w:val="Normal"/>
    <w:rsid w:val="007D6383"/>
    <w:pPr>
      <w:suppressAutoHyphens w:val="0"/>
      <w:autoSpaceDN/>
      <w:spacing w:before="0" w:after="0"/>
      <w:ind w:left="1800" w:hanging="360"/>
      <w:contextualSpacing/>
    </w:pPr>
    <w:rPr>
      <w:rFonts w:ascii="Arial" w:hAnsi="Arial"/>
      <w:sz w:val="22"/>
      <w:szCs w:val="20"/>
    </w:rPr>
  </w:style>
  <w:style w:type="paragraph" w:styleId="ListBullet2">
    <w:name w:val="List Bullet 2"/>
    <w:basedOn w:val="Normal"/>
    <w:unhideWhenUsed/>
    <w:rsid w:val="007D6383"/>
    <w:pPr>
      <w:numPr>
        <w:numId w:val="28"/>
      </w:numPr>
      <w:suppressAutoHyphens w:val="0"/>
      <w:autoSpaceDN/>
      <w:spacing w:before="0" w:after="200"/>
    </w:pPr>
    <w:rPr>
      <w:rFonts w:ascii="Arial" w:hAnsi="Arial"/>
      <w:sz w:val="22"/>
      <w:szCs w:val="20"/>
    </w:rPr>
  </w:style>
  <w:style w:type="paragraph" w:styleId="ListBullet3">
    <w:name w:val="List Bullet 3"/>
    <w:basedOn w:val="Normal"/>
    <w:semiHidden/>
    <w:unhideWhenUsed/>
    <w:rsid w:val="007D6383"/>
    <w:pPr>
      <w:numPr>
        <w:numId w:val="29"/>
      </w:numPr>
      <w:suppressAutoHyphens w:val="0"/>
      <w:autoSpaceDN/>
      <w:spacing w:before="0" w:after="0"/>
      <w:contextualSpacing/>
    </w:pPr>
    <w:rPr>
      <w:rFonts w:ascii="Arial" w:hAnsi="Arial"/>
      <w:sz w:val="22"/>
      <w:szCs w:val="20"/>
    </w:rPr>
  </w:style>
  <w:style w:type="paragraph" w:styleId="ListBullet4">
    <w:name w:val="List Bullet 4"/>
    <w:basedOn w:val="Normal"/>
    <w:semiHidden/>
    <w:unhideWhenUsed/>
    <w:rsid w:val="007D6383"/>
    <w:pPr>
      <w:numPr>
        <w:numId w:val="30"/>
      </w:numPr>
      <w:suppressAutoHyphens w:val="0"/>
      <w:autoSpaceDN/>
      <w:spacing w:before="0" w:after="0"/>
      <w:contextualSpacing/>
    </w:pPr>
    <w:rPr>
      <w:rFonts w:ascii="Arial" w:hAnsi="Arial"/>
      <w:sz w:val="22"/>
      <w:szCs w:val="20"/>
    </w:rPr>
  </w:style>
  <w:style w:type="paragraph" w:styleId="ListBullet5">
    <w:name w:val="List Bullet 5"/>
    <w:basedOn w:val="Normal"/>
    <w:semiHidden/>
    <w:unhideWhenUsed/>
    <w:rsid w:val="007D6383"/>
    <w:pPr>
      <w:numPr>
        <w:numId w:val="31"/>
      </w:numPr>
      <w:suppressAutoHyphens w:val="0"/>
      <w:autoSpaceDN/>
      <w:spacing w:before="0" w:after="0"/>
      <w:contextualSpacing/>
    </w:pPr>
    <w:rPr>
      <w:rFonts w:ascii="Arial" w:hAnsi="Arial"/>
      <w:sz w:val="22"/>
      <w:szCs w:val="20"/>
    </w:rPr>
  </w:style>
  <w:style w:type="paragraph" w:styleId="ListContinue">
    <w:name w:val="List Continue"/>
    <w:basedOn w:val="Normal"/>
    <w:semiHidden/>
    <w:unhideWhenUsed/>
    <w:rsid w:val="007D6383"/>
    <w:pPr>
      <w:suppressAutoHyphens w:val="0"/>
      <w:autoSpaceDN/>
      <w:spacing w:before="0"/>
      <w:ind w:left="360"/>
      <w:contextualSpacing/>
    </w:pPr>
    <w:rPr>
      <w:rFonts w:ascii="Arial" w:hAnsi="Arial"/>
      <w:sz w:val="22"/>
      <w:szCs w:val="20"/>
    </w:rPr>
  </w:style>
  <w:style w:type="paragraph" w:styleId="ListContinue2">
    <w:name w:val="List Continue 2"/>
    <w:basedOn w:val="Normal"/>
    <w:semiHidden/>
    <w:unhideWhenUsed/>
    <w:rsid w:val="007D6383"/>
    <w:pPr>
      <w:suppressAutoHyphens w:val="0"/>
      <w:autoSpaceDN/>
      <w:spacing w:before="0"/>
      <w:ind w:left="720"/>
      <w:contextualSpacing/>
    </w:pPr>
    <w:rPr>
      <w:rFonts w:ascii="Arial" w:hAnsi="Arial"/>
      <w:sz w:val="22"/>
      <w:szCs w:val="20"/>
    </w:rPr>
  </w:style>
  <w:style w:type="paragraph" w:styleId="ListContinue3">
    <w:name w:val="List Continue 3"/>
    <w:basedOn w:val="Normal"/>
    <w:semiHidden/>
    <w:unhideWhenUsed/>
    <w:rsid w:val="007D6383"/>
    <w:pPr>
      <w:suppressAutoHyphens w:val="0"/>
      <w:autoSpaceDN/>
      <w:spacing w:before="0"/>
      <w:ind w:left="1080"/>
      <w:contextualSpacing/>
    </w:pPr>
    <w:rPr>
      <w:rFonts w:ascii="Arial" w:hAnsi="Arial"/>
      <w:sz w:val="22"/>
      <w:szCs w:val="20"/>
    </w:rPr>
  </w:style>
  <w:style w:type="paragraph" w:styleId="ListContinue4">
    <w:name w:val="List Continue 4"/>
    <w:basedOn w:val="Normal"/>
    <w:semiHidden/>
    <w:unhideWhenUsed/>
    <w:rsid w:val="007D6383"/>
    <w:pPr>
      <w:suppressAutoHyphens w:val="0"/>
      <w:autoSpaceDN/>
      <w:spacing w:before="0"/>
      <w:ind w:left="1440"/>
      <w:contextualSpacing/>
    </w:pPr>
    <w:rPr>
      <w:rFonts w:ascii="Arial" w:hAnsi="Arial"/>
      <w:sz w:val="22"/>
      <w:szCs w:val="20"/>
    </w:rPr>
  </w:style>
  <w:style w:type="paragraph" w:styleId="ListContinue5">
    <w:name w:val="List Continue 5"/>
    <w:basedOn w:val="Normal"/>
    <w:semiHidden/>
    <w:unhideWhenUsed/>
    <w:rsid w:val="007D6383"/>
    <w:pPr>
      <w:suppressAutoHyphens w:val="0"/>
      <w:autoSpaceDN/>
      <w:spacing w:before="0"/>
      <w:ind w:left="1800"/>
      <w:contextualSpacing/>
    </w:pPr>
    <w:rPr>
      <w:rFonts w:ascii="Arial" w:hAnsi="Arial"/>
      <w:sz w:val="22"/>
      <w:szCs w:val="20"/>
    </w:rPr>
  </w:style>
  <w:style w:type="paragraph" w:styleId="ListNumber">
    <w:name w:val="List Number"/>
    <w:basedOn w:val="Normal"/>
    <w:qFormat/>
    <w:rsid w:val="007D6383"/>
    <w:pPr>
      <w:numPr>
        <w:numId w:val="32"/>
      </w:numPr>
      <w:suppressAutoHyphens w:val="0"/>
      <w:autoSpaceDN/>
      <w:spacing w:before="0" w:after="0"/>
      <w:contextualSpacing/>
    </w:pPr>
    <w:rPr>
      <w:rFonts w:ascii="Arial" w:hAnsi="Arial"/>
      <w:sz w:val="22"/>
      <w:szCs w:val="20"/>
    </w:rPr>
  </w:style>
  <w:style w:type="paragraph" w:styleId="ListNumber2">
    <w:name w:val="List Number 2"/>
    <w:basedOn w:val="Normal"/>
    <w:semiHidden/>
    <w:unhideWhenUsed/>
    <w:rsid w:val="007D6383"/>
    <w:pPr>
      <w:numPr>
        <w:numId w:val="33"/>
      </w:numPr>
      <w:suppressAutoHyphens w:val="0"/>
      <w:autoSpaceDN/>
      <w:spacing w:before="0" w:after="0"/>
      <w:contextualSpacing/>
    </w:pPr>
    <w:rPr>
      <w:rFonts w:ascii="Arial" w:hAnsi="Arial"/>
      <w:sz w:val="22"/>
      <w:szCs w:val="20"/>
    </w:rPr>
  </w:style>
  <w:style w:type="paragraph" w:styleId="ListNumber3">
    <w:name w:val="List Number 3"/>
    <w:basedOn w:val="Normal"/>
    <w:semiHidden/>
    <w:unhideWhenUsed/>
    <w:rsid w:val="007D6383"/>
    <w:pPr>
      <w:numPr>
        <w:numId w:val="34"/>
      </w:numPr>
      <w:suppressAutoHyphens w:val="0"/>
      <w:autoSpaceDN/>
      <w:spacing w:before="0" w:after="0"/>
      <w:contextualSpacing/>
    </w:pPr>
    <w:rPr>
      <w:rFonts w:ascii="Arial" w:hAnsi="Arial"/>
      <w:sz w:val="22"/>
      <w:szCs w:val="20"/>
    </w:rPr>
  </w:style>
  <w:style w:type="paragraph" w:styleId="ListNumber4">
    <w:name w:val="List Number 4"/>
    <w:basedOn w:val="Normal"/>
    <w:semiHidden/>
    <w:unhideWhenUsed/>
    <w:rsid w:val="007D6383"/>
    <w:pPr>
      <w:numPr>
        <w:numId w:val="35"/>
      </w:numPr>
      <w:suppressAutoHyphens w:val="0"/>
      <w:autoSpaceDN/>
      <w:spacing w:before="0" w:after="0"/>
      <w:contextualSpacing/>
    </w:pPr>
    <w:rPr>
      <w:rFonts w:ascii="Arial" w:hAnsi="Arial"/>
      <w:sz w:val="22"/>
      <w:szCs w:val="20"/>
    </w:rPr>
  </w:style>
  <w:style w:type="paragraph" w:styleId="ListNumber5">
    <w:name w:val="List Number 5"/>
    <w:basedOn w:val="Normal"/>
    <w:semiHidden/>
    <w:unhideWhenUsed/>
    <w:rsid w:val="007D6383"/>
    <w:pPr>
      <w:numPr>
        <w:numId w:val="36"/>
      </w:numPr>
      <w:suppressAutoHyphens w:val="0"/>
      <w:autoSpaceDN/>
      <w:spacing w:before="0" w:after="0"/>
      <w:contextualSpacing/>
    </w:pPr>
    <w:rPr>
      <w:rFonts w:ascii="Arial" w:hAnsi="Arial"/>
      <w:sz w:val="22"/>
      <w:szCs w:val="20"/>
    </w:rPr>
  </w:style>
  <w:style w:type="paragraph" w:styleId="MacroText">
    <w:name w:val="macro"/>
    <w:link w:val="MacroTextChar"/>
    <w:semiHidden/>
    <w:unhideWhenUsed/>
    <w:rsid w:val="007D6383"/>
    <w:pPr>
      <w:tabs>
        <w:tab w:val="left" w:pos="480"/>
        <w:tab w:val="left" w:pos="960"/>
        <w:tab w:val="left" w:pos="1440"/>
        <w:tab w:val="left" w:pos="1920"/>
        <w:tab w:val="left" w:pos="2400"/>
        <w:tab w:val="left" w:pos="2880"/>
        <w:tab w:val="left" w:pos="3360"/>
        <w:tab w:val="left" w:pos="3840"/>
        <w:tab w:val="left" w:pos="4320"/>
      </w:tabs>
      <w:autoSpaceDN/>
    </w:pPr>
    <w:rPr>
      <w:rFonts w:ascii="Consolas" w:hAnsi="Consolas"/>
    </w:rPr>
  </w:style>
  <w:style w:type="character" w:styleId="MacroTextChar" w:customStyle="1">
    <w:name w:val="Macro Text Char"/>
    <w:basedOn w:val="DefaultParagraphFont"/>
    <w:link w:val="MacroText"/>
    <w:semiHidden/>
    <w:rsid w:val="007D6383"/>
    <w:rPr>
      <w:rFonts w:ascii="Consolas" w:hAnsi="Consolas"/>
    </w:rPr>
  </w:style>
  <w:style w:type="paragraph" w:styleId="MessageHeader">
    <w:name w:val="Message Header"/>
    <w:basedOn w:val="Normal"/>
    <w:link w:val="MessageHeaderChar"/>
    <w:semiHidden/>
    <w:unhideWhenUsed/>
    <w:rsid w:val="007D6383"/>
    <w:pPr>
      <w:pBdr>
        <w:top w:val="single" w:color="auto" w:sz="6" w:space="1"/>
        <w:left w:val="single" w:color="auto" w:sz="6" w:space="1"/>
        <w:bottom w:val="single" w:color="auto" w:sz="6" w:space="1"/>
        <w:right w:val="single" w:color="auto" w:sz="6" w:space="1"/>
      </w:pBdr>
      <w:shd w:val="pct20" w:color="auto" w:fill="auto"/>
      <w:suppressAutoHyphens w:val="0"/>
      <w:autoSpaceDN/>
      <w:spacing w:before="0" w:after="0"/>
      <w:ind w:left="1080" w:hanging="1080"/>
    </w:pPr>
    <w:rPr>
      <w:rFonts w:asciiTheme="majorHAnsi" w:hAnsiTheme="majorHAnsi" w:eastAsiaTheme="majorEastAsia" w:cstheme="majorBidi"/>
    </w:rPr>
  </w:style>
  <w:style w:type="character" w:styleId="MessageHeaderChar" w:customStyle="1">
    <w:name w:val="Message Header Char"/>
    <w:basedOn w:val="DefaultParagraphFont"/>
    <w:link w:val="MessageHeader"/>
    <w:semiHidden/>
    <w:rsid w:val="007D6383"/>
    <w:rPr>
      <w:rFonts w:asciiTheme="majorHAnsi" w:hAnsiTheme="majorHAnsi" w:eastAsiaTheme="majorEastAsia" w:cstheme="majorBidi"/>
      <w:sz w:val="24"/>
      <w:szCs w:val="24"/>
      <w:shd w:val="pct20" w:color="auto" w:fill="auto"/>
    </w:rPr>
  </w:style>
  <w:style w:type="paragraph" w:styleId="NoSpacing">
    <w:name w:val="No Spacing"/>
    <w:uiPriority w:val="1"/>
    <w:rsid w:val="007D6383"/>
    <w:pPr>
      <w:autoSpaceDN/>
    </w:pPr>
    <w:rPr>
      <w:rFonts w:ascii="Arial" w:hAnsi="Arial"/>
    </w:rPr>
  </w:style>
  <w:style w:type="paragraph" w:styleId="NormalWeb">
    <w:name w:val="Normal (Web)"/>
    <w:basedOn w:val="Normal"/>
    <w:uiPriority w:val="99"/>
    <w:semiHidden/>
    <w:unhideWhenUsed/>
    <w:rsid w:val="007D6383"/>
    <w:pPr>
      <w:suppressAutoHyphens w:val="0"/>
      <w:autoSpaceDN/>
      <w:spacing w:before="0" w:after="0"/>
    </w:pPr>
  </w:style>
  <w:style w:type="paragraph" w:styleId="NoteHeading">
    <w:name w:val="Note Heading"/>
    <w:basedOn w:val="Normal"/>
    <w:next w:val="Normal"/>
    <w:link w:val="NoteHeadingChar"/>
    <w:semiHidden/>
    <w:unhideWhenUsed/>
    <w:rsid w:val="007D6383"/>
    <w:pPr>
      <w:suppressAutoHyphens w:val="0"/>
      <w:autoSpaceDN/>
      <w:spacing w:before="0" w:after="0"/>
    </w:pPr>
    <w:rPr>
      <w:rFonts w:ascii="Arial" w:hAnsi="Arial"/>
      <w:sz w:val="22"/>
      <w:szCs w:val="20"/>
    </w:rPr>
  </w:style>
  <w:style w:type="character" w:styleId="NoteHeadingChar" w:customStyle="1">
    <w:name w:val="Note Heading Char"/>
    <w:basedOn w:val="DefaultParagraphFont"/>
    <w:link w:val="NoteHeading"/>
    <w:semiHidden/>
    <w:rsid w:val="007D6383"/>
    <w:rPr>
      <w:rFonts w:ascii="Arial" w:hAnsi="Arial"/>
      <w:sz w:val="22"/>
    </w:rPr>
  </w:style>
  <w:style w:type="paragraph" w:styleId="PlainText">
    <w:name w:val="Plain Text"/>
    <w:basedOn w:val="Normal"/>
    <w:link w:val="PlainTextChar"/>
    <w:semiHidden/>
    <w:unhideWhenUsed/>
    <w:rsid w:val="007D6383"/>
    <w:pPr>
      <w:suppressAutoHyphens w:val="0"/>
      <w:autoSpaceDN/>
      <w:spacing w:before="0" w:after="0"/>
    </w:pPr>
    <w:rPr>
      <w:rFonts w:ascii="Consolas" w:hAnsi="Consolas"/>
      <w:sz w:val="21"/>
      <w:szCs w:val="21"/>
    </w:rPr>
  </w:style>
  <w:style w:type="character" w:styleId="PlainTextChar" w:customStyle="1">
    <w:name w:val="Plain Text Char"/>
    <w:basedOn w:val="DefaultParagraphFont"/>
    <w:link w:val="PlainText"/>
    <w:semiHidden/>
    <w:rsid w:val="007D6383"/>
    <w:rPr>
      <w:rFonts w:ascii="Consolas" w:hAnsi="Consolas"/>
      <w:sz w:val="21"/>
      <w:szCs w:val="21"/>
    </w:rPr>
  </w:style>
  <w:style w:type="paragraph" w:styleId="Quote">
    <w:name w:val="Quote"/>
    <w:basedOn w:val="Normal"/>
    <w:next w:val="Normal"/>
    <w:link w:val="QuoteChar"/>
    <w:uiPriority w:val="29"/>
    <w:rsid w:val="007D6383"/>
    <w:pPr>
      <w:suppressAutoHyphens w:val="0"/>
      <w:autoSpaceDN/>
      <w:spacing w:before="200" w:after="160"/>
      <w:ind w:left="864" w:right="864"/>
      <w:jc w:val="center"/>
    </w:pPr>
    <w:rPr>
      <w:rFonts w:ascii="Arial" w:hAnsi="Arial"/>
      <w:i/>
      <w:iCs/>
      <w:color w:val="545454" w:themeColor="text1" w:themeTint="BF"/>
      <w:sz w:val="22"/>
      <w:szCs w:val="20"/>
    </w:rPr>
  </w:style>
  <w:style w:type="character" w:styleId="QuoteChar" w:customStyle="1">
    <w:name w:val="Quote Char"/>
    <w:basedOn w:val="DefaultParagraphFont"/>
    <w:link w:val="Quote"/>
    <w:uiPriority w:val="29"/>
    <w:rsid w:val="007D6383"/>
    <w:rPr>
      <w:rFonts w:ascii="Arial" w:hAnsi="Arial"/>
      <w:i/>
      <w:iCs/>
      <w:color w:val="545454" w:themeColor="text1" w:themeTint="BF"/>
      <w:sz w:val="22"/>
    </w:rPr>
  </w:style>
  <w:style w:type="paragraph" w:styleId="Salutation">
    <w:name w:val="Salutation"/>
    <w:basedOn w:val="Normal"/>
    <w:next w:val="Normal"/>
    <w:link w:val="SalutationChar"/>
    <w:rsid w:val="007D6383"/>
    <w:pPr>
      <w:suppressAutoHyphens w:val="0"/>
      <w:autoSpaceDN/>
      <w:spacing w:before="0" w:after="0"/>
    </w:pPr>
    <w:rPr>
      <w:rFonts w:ascii="Arial" w:hAnsi="Arial"/>
      <w:sz w:val="22"/>
      <w:szCs w:val="20"/>
    </w:rPr>
  </w:style>
  <w:style w:type="character" w:styleId="SalutationChar" w:customStyle="1">
    <w:name w:val="Salutation Char"/>
    <w:basedOn w:val="DefaultParagraphFont"/>
    <w:link w:val="Salutation"/>
    <w:rsid w:val="007D6383"/>
    <w:rPr>
      <w:rFonts w:ascii="Arial" w:hAnsi="Arial"/>
      <w:sz w:val="22"/>
    </w:rPr>
  </w:style>
  <w:style w:type="paragraph" w:styleId="Signature">
    <w:name w:val="Signature"/>
    <w:basedOn w:val="Normal"/>
    <w:link w:val="SignatureChar"/>
    <w:semiHidden/>
    <w:unhideWhenUsed/>
    <w:rsid w:val="007D6383"/>
    <w:pPr>
      <w:suppressAutoHyphens w:val="0"/>
      <w:autoSpaceDN/>
      <w:spacing w:before="0" w:after="0"/>
      <w:ind w:left="4320"/>
    </w:pPr>
    <w:rPr>
      <w:rFonts w:ascii="Arial" w:hAnsi="Arial"/>
      <w:sz w:val="22"/>
      <w:szCs w:val="20"/>
    </w:rPr>
  </w:style>
  <w:style w:type="character" w:styleId="SignatureChar" w:customStyle="1">
    <w:name w:val="Signature Char"/>
    <w:basedOn w:val="DefaultParagraphFont"/>
    <w:link w:val="Signature"/>
    <w:semiHidden/>
    <w:rsid w:val="007D6383"/>
    <w:rPr>
      <w:rFonts w:ascii="Arial" w:hAnsi="Arial"/>
      <w:sz w:val="22"/>
    </w:rPr>
  </w:style>
  <w:style w:type="paragraph" w:styleId="TableofAuthorities">
    <w:name w:val="table of authorities"/>
    <w:basedOn w:val="Normal"/>
    <w:next w:val="Normal"/>
    <w:semiHidden/>
    <w:unhideWhenUsed/>
    <w:rsid w:val="007D6383"/>
    <w:pPr>
      <w:suppressAutoHyphens w:val="0"/>
      <w:autoSpaceDN/>
      <w:spacing w:before="0" w:after="0"/>
      <w:ind w:left="200" w:hanging="200"/>
    </w:pPr>
    <w:rPr>
      <w:rFonts w:ascii="Arial" w:hAnsi="Arial"/>
      <w:sz w:val="22"/>
      <w:szCs w:val="20"/>
    </w:rPr>
  </w:style>
  <w:style w:type="paragraph" w:styleId="TOAHeading">
    <w:name w:val="toa heading"/>
    <w:basedOn w:val="Normal"/>
    <w:next w:val="Normal"/>
    <w:semiHidden/>
    <w:unhideWhenUsed/>
    <w:rsid w:val="007D6383"/>
    <w:pPr>
      <w:suppressAutoHyphens w:val="0"/>
      <w:autoSpaceDN/>
      <w:spacing w:after="0"/>
    </w:pPr>
    <w:rPr>
      <w:rFonts w:asciiTheme="majorHAnsi" w:hAnsiTheme="majorHAnsi" w:eastAsiaTheme="majorEastAsia" w:cstheme="majorBidi"/>
      <w:b/>
      <w:bCs/>
    </w:rPr>
  </w:style>
  <w:style w:type="paragraph" w:styleId="TOC6">
    <w:name w:val="toc 6"/>
    <w:basedOn w:val="Normal"/>
    <w:next w:val="Normal"/>
    <w:autoRedefine/>
    <w:unhideWhenUsed/>
    <w:rsid w:val="007D6383"/>
    <w:pPr>
      <w:suppressAutoHyphens w:val="0"/>
      <w:autoSpaceDN/>
      <w:spacing w:before="0" w:after="100"/>
      <w:ind w:left="1000"/>
    </w:pPr>
    <w:rPr>
      <w:rFonts w:ascii="Arial" w:hAnsi="Arial"/>
      <w:sz w:val="22"/>
      <w:szCs w:val="20"/>
    </w:rPr>
  </w:style>
  <w:style w:type="paragraph" w:styleId="TOC7">
    <w:name w:val="toc 7"/>
    <w:basedOn w:val="Normal"/>
    <w:next w:val="Normal"/>
    <w:autoRedefine/>
    <w:unhideWhenUsed/>
    <w:rsid w:val="007D6383"/>
    <w:pPr>
      <w:suppressAutoHyphens w:val="0"/>
      <w:autoSpaceDN/>
      <w:spacing w:before="0" w:after="100"/>
      <w:ind w:left="1200"/>
    </w:pPr>
    <w:rPr>
      <w:rFonts w:ascii="Arial" w:hAnsi="Arial"/>
      <w:sz w:val="22"/>
      <w:szCs w:val="20"/>
    </w:rPr>
  </w:style>
  <w:style w:type="paragraph" w:styleId="TOC8">
    <w:name w:val="toc 8"/>
    <w:basedOn w:val="Normal"/>
    <w:next w:val="Normal"/>
    <w:autoRedefine/>
    <w:unhideWhenUsed/>
    <w:rsid w:val="007D6383"/>
    <w:pPr>
      <w:suppressAutoHyphens w:val="0"/>
      <w:autoSpaceDN/>
      <w:spacing w:before="0" w:after="100"/>
      <w:ind w:left="1400"/>
    </w:pPr>
    <w:rPr>
      <w:rFonts w:ascii="Arial" w:hAnsi="Arial"/>
      <w:sz w:val="22"/>
      <w:szCs w:val="20"/>
    </w:rPr>
  </w:style>
  <w:style w:type="paragraph" w:styleId="TOC9">
    <w:name w:val="toc 9"/>
    <w:basedOn w:val="Normal"/>
    <w:next w:val="Normal"/>
    <w:autoRedefine/>
    <w:unhideWhenUsed/>
    <w:rsid w:val="007D6383"/>
    <w:pPr>
      <w:suppressAutoHyphens w:val="0"/>
      <w:autoSpaceDN/>
      <w:spacing w:before="0" w:after="100"/>
      <w:ind w:left="1600"/>
    </w:pPr>
    <w:rPr>
      <w:rFonts w:ascii="Arial" w:hAnsi="Arial"/>
      <w:sz w:val="22"/>
      <w:szCs w:val="20"/>
    </w:rPr>
  </w:style>
  <w:style w:type="paragraph" w:styleId="ProposalTitle" w:customStyle="1">
    <w:name w:val="Proposal Title"/>
    <w:basedOn w:val="Normal"/>
    <w:rsid w:val="007D6383"/>
    <w:pPr>
      <w:suppressAutoHyphens w:val="0"/>
      <w:autoSpaceDN/>
      <w:spacing w:before="0" w:after="240"/>
    </w:pPr>
    <w:rPr>
      <w:rFonts w:ascii="Arial" w:hAnsi="Arial"/>
      <w:b/>
      <w:sz w:val="44"/>
    </w:rPr>
  </w:style>
  <w:style w:type="paragraph" w:styleId="ProposalSub-Title" w:customStyle="1">
    <w:name w:val="Proposal Sub-Title"/>
    <w:basedOn w:val="Normal"/>
    <w:rsid w:val="007D6383"/>
    <w:pPr>
      <w:suppressAutoHyphens w:val="0"/>
      <w:autoSpaceDN/>
      <w:spacing w:before="0" w:after="0"/>
    </w:pPr>
    <w:rPr>
      <w:rFonts w:ascii="Arial" w:hAnsi="Arial"/>
      <w:sz w:val="32"/>
    </w:rPr>
  </w:style>
  <w:style w:type="paragraph" w:styleId="ProposalVolumeNumber" w:customStyle="1">
    <w:name w:val="Proposal Volume Number"/>
    <w:basedOn w:val="Normal"/>
    <w:rsid w:val="007D6383"/>
    <w:pPr>
      <w:suppressAutoHyphens w:val="0"/>
      <w:autoSpaceDN/>
      <w:spacing w:before="0" w:after="240"/>
    </w:pPr>
    <w:rPr>
      <w:rFonts w:ascii="Arial" w:hAnsi="Arial"/>
      <w:sz w:val="32"/>
    </w:rPr>
  </w:style>
  <w:style w:type="paragraph" w:styleId="ProposalDueDate" w:customStyle="1">
    <w:name w:val="Proposal Due Date"/>
    <w:basedOn w:val="Normal"/>
    <w:rsid w:val="007D6383"/>
    <w:pPr>
      <w:framePr w:wrap="around" w:hAnchor="text"/>
      <w:suppressAutoHyphens w:val="0"/>
      <w:autoSpaceDN/>
      <w:spacing w:before="0" w:after="0"/>
    </w:pPr>
    <w:rPr>
      <w:rFonts w:ascii="Arial" w:hAnsi="Arial"/>
      <w:sz w:val="32"/>
    </w:rPr>
  </w:style>
  <w:style w:type="paragraph" w:styleId="BodyTextBold" w:customStyle="1">
    <w:name w:val="Body Text Bold"/>
    <w:basedOn w:val="BodyText"/>
    <w:link w:val="BodyTextBoldChar"/>
    <w:qFormat/>
    <w:rsid w:val="007D6383"/>
    <w:rPr>
      <w:b/>
      <w:noProof/>
      <w:szCs w:val="16"/>
    </w:rPr>
  </w:style>
  <w:style w:type="character" w:styleId="BodyTextBoldChar" w:customStyle="1">
    <w:name w:val="Body Text Bold Char"/>
    <w:basedOn w:val="BodyTextChar"/>
    <w:link w:val="BodyTextBold"/>
    <w:rsid w:val="007D6383"/>
    <w:rPr>
      <w:rFonts w:ascii="Arial" w:hAnsi="Arial"/>
      <w:b/>
      <w:noProof/>
      <w:sz w:val="22"/>
      <w:szCs w:val="16"/>
    </w:rPr>
  </w:style>
  <w:style w:type="paragraph" w:styleId="BodyTextNoSpacingAfter" w:customStyle="1">
    <w:name w:val="Body Text No Spacing After"/>
    <w:basedOn w:val="BodyText"/>
    <w:link w:val="BodyTextNoSpacingAfterChar"/>
    <w:qFormat/>
    <w:rsid w:val="007D6383"/>
    <w:pPr>
      <w:spacing w:after="0"/>
    </w:pPr>
    <w:rPr>
      <w:iCs/>
      <w:szCs w:val="16"/>
    </w:rPr>
  </w:style>
  <w:style w:type="paragraph" w:styleId="Bodytext0" w:customStyle="1">
    <w:name w:val="Bodytext"/>
    <w:basedOn w:val="Normal"/>
    <w:link w:val="BodytextChar0"/>
    <w:rsid w:val="007D6383"/>
    <w:pPr>
      <w:suppressAutoHyphens w:val="0"/>
      <w:autoSpaceDN/>
      <w:spacing w:before="0" w:after="160"/>
    </w:pPr>
    <w:rPr>
      <w:rFonts w:ascii="Arial" w:hAnsi="Arial"/>
      <w:sz w:val="22"/>
    </w:rPr>
  </w:style>
  <w:style w:type="paragraph" w:styleId="BodytextHeading" w:customStyle="1">
    <w:name w:val="Bodytext_Heading"/>
    <w:basedOn w:val="Bodytext0"/>
    <w:next w:val="Bodytext0"/>
    <w:rsid w:val="007D6383"/>
    <w:pPr>
      <w:spacing w:before="160"/>
    </w:pPr>
    <w:rPr>
      <w:b/>
    </w:rPr>
  </w:style>
  <w:style w:type="character" w:styleId="BodytextChar0" w:customStyle="1">
    <w:name w:val="Bodytext Char"/>
    <w:basedOn w:val="DefaultParagraphFont"/>
    <w:link w:val="Bodytext0"/>
    <w:locked/>
    <w:rsid w:val="007D6383"/>
    <w:rPr>
      <w:rFonts w:ascii="Arial" w:hAnsi="Arial"/>
      <w:sz w:val="22"/>
      <w:szCs w:val="24"/>
    </w:rPr>
  </w:style>
  <w:style w:type="table" w:styleId="ESIReport" w:customStyle="1">
    <w:name w:val="ESI Report"/>
    <w:basedOn w:val="TableNormal"/>
    <w:uiPriority w:val="99"/>
    <w:rsid w:val="007D6383"/>
    <w:pPr>
      <w:autoSpaceDN/>
      <w:spacing w:before="40" w:after="40"/>
    </w:pPr>
    <w:rPr>
      <w:rFonts w:ascii="Arial" w:hAnsi="Arial"/>
    </w:rPr>
    <w:tblPr>
      <w:jc w:val="center"/>
      <w:tblBorders>
        <w:top w:val="single" w:color="A7A7A7" w:themeColor="background2" w:themeShade="BF" w:sz="4" w:space="0"/>
        <w:bottom w:val="single" w:color="A7A7A7" w:themeColor="background2" w:themeShade="BF" w:sz="4" w:space="0"/>
        <w:insideH w:val="single" w:color="A7A7A7" w:themeColor="background2" w:themeShade="BF" w:sz="4" w:space="0"/>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color="A7A7A7" w:themeColor="background2" w:themeShade="BF" w:sz="4" w:space="0"/>
          <w:left w:val="nil"/>
          <w:bottom w:val="single" w:color="A7A7A7" w:themeColor="background2" w:themeShade="BF" w:sz="4" w:space="0"/>
          <w:right w:val="nil"/>
          <w:insideH w:val="nil"/>
          <w:insideV w:val="nil"/>
          <w:tl2br w:val="nil"/>
          <w:tr2bl w:val="nil"/>
        </w:tcBorders>
      </w:tcPr>
    </w:tblStylePr>
  </w:style>
  <w:style w:type="paragraph" w:styleId="Tablebody" w:customStyle="1">
    <w:name w:val="Tablebody"/>
    <w:basedOn w:val="Bodytext0"/>
    <w:rsid w:val="007D6383"/>
    <w:pPr>
      <w:spacing w:before="40" w:after="40"/>
    </w:pPr>
    <w:rPr>
      <w:sz w:val="20"/>
    </w:rPr>
  </w:style>
  <w:style w:type="paragraph" w:styleId="TableBullet1" w:customStyle="1">
    <w:name w:val="TableBullet1"/>
    <w:basedOn w:val="Tablebody"/>
    <w:rsid w:val="007D6383"/>
    <w:pPr>
      <w:numPr>
        <w:numId w:val="37"/>
      </w:numPr>
      <w:tabs>
        <w:tab w:val="clear" w:pos="360"/>
      </w:tabs>
      <w:ind w:left="173" w:hanging="173"/>
    </w:pPr>
  </w:style>
  <w:style w:type="paragraph" w:styleId="Tablenote" w:customStyle="1">
    <w:name w:val="Tablenote"/>
    <w:basedOn w:val="Tablebody"/>
    <w:rsid w:val="007D6383"/>
    <w:rPr>
      <w:sz w:val="18"/>
    </w:rPr>
  </w:style>
  <w:style w:type="paragraph" w:styleId="Tablesubheader" w:customStyle="1">
    <w:name w:val="Tablesubheader"/>
    <w:basedOn w:val="Normal"/>
    <w:rsid w:val="007D6383"/>
    <w:pPr>
      <w:suppressAutoHyphens w:val="0"/>
      <w:autoSpaceDN/>
      <w:spacing w:before="40" w:after="40"/>
    </w:pPr>
    <w:rPr>
      <w:rFonts w:ascii="Arial" w:hAnsi="Arial"/>
      <w:b/>
      <w:sz w:val="20"/>
    </w:rPr>
  </w:style>
  <w:style w:type="paragraph" w:styleId="AnswerNumbered" w:customStyle="1">
    <w:name w:val="Answer Numbered"/>
    <w:basedOn w:val="Normal"/>
    <w:uiPriority w:val="99"/>
    <w:rsid w:val="007D6383"/>
    <w:pPr>
      <w:numPr>
        <w:numId w:val="38"/>
      </w:numPr>
      <w:suppressAutoHyphens w:val="0"/>
      <w:autoSpaceDN/>
      <w:spacing w:before="0" w:after="0"/>
    </w:pPr>
    <w:rPr>
      <w:sz w:val="22"/>
      <w:szCs w:val="20"/>
    </w:rPr>
  </w:style>
  <w:style w:type="table" w:styleId="GridTable4">
    <w:name w:val="Grid Table 4"/>
    <w:basedOn w:val="TableNormal"/>
    <w:uiPriority w:val="49"/>
    <w:rsid w:val="007D6383"/>
    <w:pPr>
      <w:autoSpaceDN/>
    </w:pPr>
    <w:rPr>
      <w:rFonts w:ascii="MS Gothic" w:hAnsi="MS Gothic" w:eastAsia="Consolas" w:cs="Consolas"/>
    </w:rPr>
    <w:tblPr>
      <w:tblStyleRowBandSize w:val="1"/>
      <w:tblStyleColBandSize w:val="1"/>
      <w:tblBorders>
        <w:top w:val="single" w:color="767676" w:themeColor="text1" w:themeTint="99" w:sz="4" w:space="0"/>
        <w:left w:val="single" w:color="767676" w:themeColor="text1" w:themeTint="99" w:sz="4" w:space="0"/>
        <w:bottom w:val="single" w:color="767676" w:themeColor="text1" w:themeTint="99" w:sz="4" w:space="0"/>
        <w:right w:val="single" w:color="767676" w:themeColor="text1" w:themeTint="99" w:sz="4" w:space="0"/>
        <w:insideH w:val="single" w:color="767676" w:themeColor="text1" w:themeTint="99" w:sz="4" w:space="0"/>
        <w:insideV w:val="single" w:color="767676" w:themeColor="text1" w:themeTint="99" w:sz="4" w:space="0"/>
      </w:tblBorders>
    </w:tblPr>
    <w:tblStylePr w:type="firstRow">
      <w:rPr>
        <w:b/>
        <w:bCs/>
        <w:color w:val="F3F3F3" w:themeColor="background1"/>
      </w:rPr>
      <w:tblPr/>
      <w:tcPr>
        <w:tcBorders>
          <w:top w:val="single" w:color="1B1B1B" w:themeColor="text1" w:sz="4" w:space="0"/>
          <w:left w:val="single" w:color="1B1B1B" w:themeColor="text1" w:sz="4" w:space="0"/>
          <w:bottom w:val="single" w:color="1B1B1B" w:themeColor="text1" w:sz="4" w:space="0"/>
          <w:right w:val="single" w:color="1B1B1B" w:themeColor="text1" w:sz="4" w:space="0"/>
          <w:insideH w:val="nil"/>
          <w:insideV w:val="nil"/>
        </w:tcBorders>
        <w:shd w:val="clear" w:color="auto" w:fill="1B1B1B" w:themeFill="text1"/>
      </w:tcPr>
    </w:tblStylePr>
    <w:tblStylePr w:type="lastRow">
      <w:rPr>
        <w:b/>
        <w:bCs/>
      </w:rPr>
      <w:tblPr/>
      <w:tcPr>
        <w:tcBorders>
          <w:top w:val="double" w:color="1B1B1B" w:themeColor="text1" w:sz="4" w:space="0"/>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2">
    <w:name w:val="List Table 2"/>
    <w:basedOn w:val="TableNormal"/>
    <w:uiPriority w:val="47"/>
    <w:rsid w:val="007D6383"/>
    <w:pPr>
      <w:autoSpaceDN/>
    </w:pPr>
    <w:rPr>
      <w:rFonts w:ascii="MS Gothic" w:hAnsi="MS Gothic" w:eastAsia="Consolas" w:cs="Consolas"/>
    </w:rPr>
    <w:tblPr>
      <w:tblStyleRowBandSize w:val="1"/>
      <w:tblStyleColBandSize w:val="1"/>
      <w:tblBorders>
        <w:top w:val="single" w:color="767676" w:themeColor="text1" w:themeTint="99" w:sz="4" w:space="0"/>
        <w:bottom w:val="single" w:color="767676" w:themeColor="text1" w:themeTint="99" w:sz="4" w:space="0"/>
        <w:insideH w:val="single" w:color="76767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3">
    <w:name w:val="List Table 3"/>
    <w:basedOn w:val="TableNormal"/>
    <w:uiPriority w:val="48"/>
    <w:rsid w:val="007D6383"/>
    <w:pPr>
      <w:autoSpaceDN/>
    </w:pPr>
    <w:rPr>
      <w:rFonts w:ascii="MS Gothic" w:hAnsi="MS Gothic" w:eastAsia="Consolas" w:cs="Consolas"/>
    </w:rPr>
    <w:tblPr>
      <w:tblStyleRowBandSize w:val="1"/>
      <w:tblStyleColBandSize w:val="1"/>
      <w:tblBorders>
        <w:top w:val="single" w:color="1B1B1B" w:themeColor="text1" w:sz="4" w:space="0"/>
        <w:left w:val="single" w:color="1B1B1B" w:themeColor="text1" w:sz="4" w:space="0"/>
        <w:bottom w:val="single" w:color="1B1B1B" w:themeColor="text1" w:sz="4" w:space="0"/>
        <w:right w:val="single" w:color="1B1B1B" w:themeColor="text1" w:sz="4" w:space="0"/>
      </w:tblBorders>
    </w:tblPr>
    <w:tblStylePr w:type="firstRow">
      <w:rPr>
        <w:b/>
        <w:bCs/>
        <w:color w:val="F3F3F3" w:themeColor="background1"/>
      </w:rPr>
      <w:tblPr/>
      <w:tcPr>
        <w:shd w:val="clear" w:color="auto" w:fill="1B1B1B" w:themeFill="text1"/>
      </w:tcPr>
    </w:tblStylePr>
    <w:tblStylePr w:type="lastRow">
      <w:rPr>
        <w:b/>
        <w:bCs/>
      </w:rPr>
      <w:tblPr/>
      <w:tcPr>
        <w:tcBorders>
          <w:top w:val="double" w:color="1B1B1B" w:themeColor="text1" w:sz="4" w:space="0"/>
        </w:tcBorders>
        <w:shd w:val="clear" w:color="auto" w:fill="F3F3F3" w:themeFill="background1"/>
      </w:tcPr>
    </w:tblStylePr>
    <w:tblStylePr w:type="firstCol">
      <w:rPr>
        <w:b/>
        <w:bCs/>
      </w:rPr>
      <w:tblPr/>
      <w:tcPr>
        <w:tcBorders>
          <w:right w:val="nil"/>
        </w:tcBorders>
        <w:shd w:val="clear" w:color="auto" w:fill="F3F3F3" w:themeFill="background1"/>
      </w:tcPr>
    </w:tblStylePr>
    <w:tblStylePr w:type="lastCol">
      <w:rPr>
        <w:b/>
        <w:bCs/>
      </w:rPr>
      <w:tblPr/>
      <w:tcPr>
        <w:tcBorders>
          <w:left w:val="nil"/>
        </w:tcBorders>
        <w:shd w:val="clear" w:color="auto" w:fill="F3F3F3" w:themeFill="background1"/>
      </w:tcPr>
    </w:tblStylePr>
    <w:tblStylePr w:type="band1Vert">
      <w:tblPr/>
      <w:tcPr>
        <w:tcBorders>
          <w:left w:val="single" w:color="1B1B1B" w:themeColor="text1" w:sz="4" w:space="0"/>
          <w:right w:val="single" w:color="1B1B1B" w:themeColor="text1" w:sz="4" w:space="0"/>
        </w:tcBorders>
      </w:tcPr>
    </w:tblStylePr>
    <w:tblStylePr w:type="band1Horz">
      <w:tblPr/>
      <w:tcPr>
        <w:tcBorders>
          <w:top w:val="single" w:color="1B1B1B" w:themeColor="text1" w:sz="4" w:space="0"/>
          <w:bottom w:val="single" w:color="1B1B1B"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1B1B1B" w:themeColor="text1" w:sz="4" w:space="0"/>
          <w:left w:val="nil"/>
        </w:tcBorders>
      </w:tcPr>
    </w:tblStylePr>
    <w:tblStylePr w:type="swCell">
      <w:tblPr/>
      <w:tcPr>
        <w:tcBorders>
          <w:top w:val="double" w:color="1B1B1B" w:themeColor="text1" w:sz="4" w:space="0"/>
          <w:right w:val="nil"/>
        </w:tcBorders>
      </w:tcPr>
    </w:tblStylePr>
  </w:style>
  <w:style w:type="table" w:styleId="ListTable4">
    <w:name w:val="List Table 4"/>
    <w:basedOn w:val="TableNormal"/>
    <w:uiPriority w:val="49"/>
    <w:rsid w:val="007D6383"/>
    <w:pPr>
      <w:autoSpaceDN/>
    </w:pPr>
    <w:rPr>
      <w:rFonts w:ascii="MS Gothic" w:hAnsi="MS Gothic" w:eastAsia="Consolas" w:cs="Consolas"/>
    </w:rPr>
    <w:tblPr>
      <w:tblStyleRowBandSize w:val="1"/>
      <w:tblStyleColBandSize w:val="1"/>
      <w:tblBorders>
        <w:top w:val="single" w:color="767676" w:themeColor="text1" w:themeTint="99" w:sz="4" w:space="0"/>
        <w:left w:val="single" w:color="767676" w:themeColor="text1" w:themeTint="99" w:sz="4" w:space="0"/>
        <w:bottom w:val="single" w:color="767676" w:themeColor="text1" w:themeTint="99" w:sz="4" w:space="0"/>
        <w:right w:val="single" w:color="767676" w:themeColor="text1" w:themeTint="99" w:sz="4" w:space="0"/>
        <w:insideH w:val="single" w:color="767676" w:themeColor="text1" w:themeTint="99" w:sz="4" w:space="0"/>
      </w:tblBorders>
    </w:tblPr>
    <w:tblStylePr w:type="firstRow">
      <w:rPr>
        <w:b/>
        <w:bCs/>
        <w:color w:val="F3F3F3" w:themeColor="background1"/>
      </w:rPr>
      <w:tblPr/>
      <w:tcPr>
        <w:tcBorders>
          <w:top w:val="single" w:color="1B1B1B" w:themeColor="text1" w:sz="4" w:space="0"/>
          <w:left w:val="single" w:color="1B1B1B" w:themeColor="text1" w:sz="4" w:space="0"/>
          <w:bottom w:val="single" w:color="1B1B1B" w:themeColor="text1" w:sz="4" w:space="0"/>
          <w:right w:val="single" w:color="1B1B1B" w:themeColor="text1" w:sz="4" w:space="0"/>
          <w:insideH w:val="nil"/>
        </w:tcBorders>
        <w:shd w:val="clear" w:color="auto" w:fill="1B1B1B" w:themeFill="text1"/>
      </w:tcPr>
    </w:tblStylePr>
    <w:tblStylePr w:type="lastRow">
      <w:rPr>
        <w:b/>
        <w:bCs/>
      </w:rPr>
      <w:tblPr/>
      <w:tcPr>
        <w:tcBorders>
          <w:top w:val="double" w:color="767676" w:themeColor="text1" w:themeTint="99" w:sz="4" w:space="0"/>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styleId="Mention">
    <w:name w:val="Mention"/>
    <w:basedOn w:val="DefaultParagraphFont"/>
    <w:uiPriority w:val="99"/>
    <w:unhideWhenUsed/>
    <w:rsid w:val="007D6383"/>
    <w:rPr>
      <w:color w:val="2B579A"/>
      <w:shd w:val="clear" w:color="auto" w:fill="E1DFDD"/>
    </w:rPr>
  </w:style>
  <w:style w:type="table" w:styleId="EnergyTable1" w:customStyle="1">
    <w:name w:val="Energy Table1"/>
    <w:basedOn w:val="TableNormal"/>
    <w:uiPriority w:val="99"/>
    <w:qFormat/>
    <w:rsid w:val="007D6383"/>
    <w:pPr>
      <w:autoSpaceDN/>
      <w:spacing w:before="40" w:after="40"/>
      <w:jc w:val="center"/>
    </w:pPr>
    <w:rPr>
      <w:rFonts w:ascii="MS Gothic" w:hAnsi="MS Gothic" w:eastAsia="Consolas" w:cs="Consolas"/>
    </w:rPr>
    <w:tblPr>
      <w:tblStyleRowBandSize w:val="1"/>
      <w:jc w:val="center"/>
      <w:tblBorders>
        <w:bottom w:val="single" w:color="555759" w:sz="8" w:space="0"/>
        <w:insideH w:val="single" w:color="DCDDDE" w:sz="4" w:space="0"/>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color="95D600" w:sz="12" w:space="0"/>
          <w:right w:val="nil"/>
          <w:insideH w:val="nil"/>
          <w:insideV w:val="nil"/>
          <w:tl2br w:val="nil"/>
          <w:tr2bl w:val="nil"/>
        </w:tcBorders>
        <w:shd w:val="clear" w:color="auto" w:fill="555759"/>
      </w:tcPr>
    </w:tblStylePr>
    <w:tblStylePr w:type="lastRow">
      <w:pPr>
        <w:jc w:val="center"/>
      </w:pPr>
      <w:rPr>
        <w:rFonts w:ascii="DejaVu Sans" w:hAnsi="DejaVu Sans"/>
        <w:b/>
      </w:rPr>
      <w:tblPr/>
      <w:tcPr>
        <w:tcBorders>
          <w:top w:val="double" w:color="545759" w:sz="4" w:space="0"/>
          <w:bottom w:val="single" w:color="545759" w:sz="4" w:space="0"/>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table" w:styleId="ESIReport2" w:customStyle="1">
    <w:name w:val="ESI Report 2"/>
    <w:basedOn w:val="TableNormal"/>
    <w:uiPriority w:val="99"/>
    <w:rsid w:val="007D6383"/>
    <w:pPr>
      <w:autoSpaceDN/>
      <w:spacing w:before="40" w:after="40"/>
    </w:pPr>
    <w:rPr>
      <w:rFonts w:ascii="MS Gothic" w:hAnsi="MS Gothic" w:eastAsia="Consolas" w:cs="Consolas"/>
    </w:rPr>
    <w:tblPr>
      <w:jc w:val="center"/>
      <w:tblBorders>
        <w:top w:val="single" w:color="036479" w:themeColor="text2" w:sz="4" w:space="0"/>
        <w:left w:val="single" w:color="036479" w:themeColor="text2" w:sz="4" w:space="0"/>
        <w:bottom w:val="single" w:color="036479" w:themeColor="text2" w:sz="4" w:space="0"/>
        <w:right w:val="single" w:color="036479" w:themeColor="text2" w:sz="4" w:space="0"/>
        <w:insideH w:val="single" w:color="036479" w:themeColor="text2" w:sz="4" w:space="0"/>
        <w:insideV w:val="single" w:color="036479" w:themeColor="text2" w:sz="4" w:space="0"/>
      </w:tblBorders>
    </w:tblPr>
    <w:trPr>
      <w:jc w:val="center"/>
    </w:trPr>
    <w:tcPr>
      <w:vAlign w:val="center"/>
    </w:tcPr>
    <w:tblStylePr w:type="firstRow">
      <w:rPr>
        <w:b/>
        <w:color w:val="auto"/>
      </w:rPr>
      <w:tblPr/>
      <w:tcPr>
        <w:tcBorders>
          <w:top w:val="single" w:color="036479" w:themeColor="text2" w:sz="4" w:space="0"/>
          <w:left w:val="single" w:color="036479" w:themeColor="text2" w:sz="4" w:space="0"/>
          <w:bottom w:val="single" w:color="036479" w:themeColor="text2" w:sz="4" w:space="0"/>
          <w:right w:val="single" w:color="036479" w:themeColor="text2" w:sz="4" w:space="0"/>
          <w:insideH w:val="single" w:color="036479" w:themeColor="text2" w:sz="4" w:space="0"/>
          <w:insideV w:val="single" w:color="036479" w:themeColor="text2" w:sz="4" w:space="0"/>
          <w:tl2br w:val="nil"/>
          <w:tr2bl w:val="nil"/>
        </w:tcBorders>
        <w:shd w:val="clear" w:color="auto" w:fill="93D500" w:themeFill="accent1"/>
      </w:tcPr>
    </w:tblStylePr>
    <w:tblStylePr w:type="lastRow">
      <w:rPr>
        <w:b/>
      </w:rPr>
      <w:tblPr/>
      <w:tcPr>
        <w:tcBorders>
          <w:top w:val="double" w:color="036479" w:themeColor="text2" w:sz="4" w:space="0"/>
          <w:left w:val="single" w:color="036479" w:themeColor="text2" w:sz="4" w:space="0"/>
          <w:bottom w:val="single" w:color="036479" w:themeColor="text2" w:sz="8" w:space="0"/>
          <w:right w:val="single" w:color="036479" w:themeColor="text2" w:sz="4" w:space="0"/>
          <w:insideH w:val="nil"/>
          <w:insideV w:val="single" w:color="036479" w:themeColor="text2" w:sz="4" w:space="0"/>
          <w:tl2br w:val="nil"/>
          <w:tr2bl w:val="nil"/>
        </w:tcBorders>
      </w:tcPr>
    </w:tblStylePr>
  </w:style>
  <w:style w:type="character" w:styleId="CrossRef" w:customStyle="1">
    <w:name w:val="CrossRef"/>
    <w:basedOn w:val="DefaultParagraphFont"/>
    <w:uiPriority w:val="1"/>
    <w:qFormat/>
    <w:rsid w:val="007D6383"/>
    <w:rPr>
      <w:rFonts w:ascii="Arial" w:hAnsi="Arial"/>
      <w:color w:val="16949E"/>
      <w:sz w:val="22"/>
    </w:rPr>
  </w:style>
  <w:style w:type="character" w:styleId="normaltextrun" w:customStyle="1">
    <w:name w:val="normaltextrun"/>
    <w:basedOn w:val="DefaultParagraphFont"/>
    <w:rsid w:val="007D6383"/>
  </w:style>
  <w:style w:type="character" w:styleId="eop" w:customStyle="1">
    <w:name w:val="eop"/>
    <w:basedOn w:val="DefaultParagraphFont"/>
    <w:rsid w:val="007D6383"/>
  </w:style>
  <w:style w:type="paragraph" w:styleId="TableApx" w:customStyle="1">
    <w:name w:val="Table_Apx"/>
    <w:basedOn w:val="Caption"/>
    <w:link w:val="TableApxChar"/>
    <w:qFormat/>
    <w:rsid w:val="007D6383"/>
  </w:style>
  <w:style w:type="character" w:styleId="TableApxChar" w:customStyle="1">
    <w:name w:val="Table_Apx Char"/>
    <w:basedOn w:val="CaptionChar"/>
    <w:link w:val="TableApx"/>
    <w:rsid w:val="007D6383"/>
    <w:rPr>
      <w:rFonts w:ascii="Arial" w:hAnsi="Arial" w:cs="Arial"/>
      <w:b/>
      <w:bCs/>
      <w:sz w:val="22"/>
    </w:rPr>
  </w:style>
  <w:style w:type="character" w:styleId="IntenseReference">
    <w:name w:val="Intense Reference"/>
    <w:basedOn w:val="DefaultParagraphFont"/>
    <w:uiPriority w:val="32"/>
    <w:qFormat/>
    <w:rsid w:val="007D6383"/>
    <w:rPr>
      <w:b/>
      <w:bCs/>
      <w:smallCaps/>
      <w:color w:val="auto"/>
      <w:spacing w:val="5"/>
    </w:rPr>
  </w:style>
  <w:style w:type="paragraph" w:styleId="AppendixLevel8" w:customStyle="1">
    <w:name w:val="Appendix Level 8"/>
    <w:basedOn w:val="Normal"/>
    <w:link w:val="AppendixLevel8Char"/>
    <w:qFormat/>
    <w:rsid w:val="007D6383"/>
    <w:pPr>
      <w:keepNext/>
      <w:suppressAutoHyphens w:val="0"/>
      <w:autoSpaceDN/>
      <w:spacing w:before="0" w:after="240"/>
      <w:ind w:left="864" w:hanging="864"/>
    </w:pPr>
    <w:rPr>
      <w:rFonts w:ascii="Arial Bold" w:hAnsi="Arial Bold" w:cs="Arial"/>
      <w:b/>
      <w:kern w:val="28"/>
      <w:sz w:val="22"/>
      <w:szCs w:val="28"/>
    </w:rPr>
  </w:style>
  <w:style w:type="character" w:styleId="AppendixLevel8Char" w:customStyle="1">
    <w:name w:val="Appendix Level 8 Char"/>
    <w:basedOn w:val="Heading4Char"/>
    <w:link w:val="AppendixLevel8"/>
    <w:rsid w:val="007D6383"/>
    <w:rPr>
      <w:rFonts w:ascii="Arial Bold" w:hAnsi="Arial Bold" w:cs="Arial"/>
      <w:b/>
      <w:i w:val="0"/>
      <w:iCs w:val="0"/>
      <w:kern w:val="28"/>
      <w:sz w:val="22"/>
      <w:szCs w:val="28"/>
    </w:rPr>
  </w:style>
  <w:style w:type="table" w:styleId="ESIReport1" w:customStyle="1">
    <w:name w:val="ESI Report 1"/>
    <w:basedOn w:val="TableNormal"/>
    <w:uiPriority w:val="99"/>
    <w:qFormat/>
    <w:rsid w:val="007D6383"/>
    <w:pPr>
      <w:autoSpaceDN/>
      <w:spacing w:before="40" w:after="40"/>
    </w:pPr>
    <w:rPr>
      <w:rFonts w:ascii="Arial" w:hAnsi="Arial"/>
      <w:sz w:val="22"/>
    </w:rPr>
    <w:tblPr>
      <w:tblStyleRowBandSize w:val="1"/>
      <w:jc w:val="center"/>
      <w:tblBorders>
        <w:bottom w:val="single" w:color="auto" w:sz="8" w:space="0"/>
        <w:insideH w:val="single" w:color="CECECE" w:themeColor="background1" w:themeShade="D9" w:sz="2" w:space="0"/>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color="93D500" w:themeColor="accent1" w:sz="4" w:space="0"/>
        </w:tcBorders>
        <w:shd w:val="clear" w:color="auto" w:fill="1B1B1B" w:themeFill="text1"/>
      </w:tcPr>
    </w:tblStylePr>
    <w:tblStylePr w:type="lastRow">
      <w:pPr>
        <w:jc w:val="left"/>
      </w:pPr>
      <w:rPr>
        <w:rFonts w:ascii="Arial" w:hAnsi="Arial"/>
        <w:b/>
        <w:sz w:val="22"/>
      </w:rPr>
      <w:tblPr/>
      <w:tcPr>
        <w:tcBorders>
          <w:top w:val="double" w:color="auto" w:sz="4" w:space="0"/>
          <w:bottom w:val="single" w:color="auto" w:sz="8" w:space="0"/>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styleId="Heading1" w:customStyle="1">
    <w:name w:val="Heading1"/>
    <w:link w:val="Heading1Char0"/>
    <w:qFormat/>
    <w:rsid w:val="00BB1B40"/>
    <w:pPr>
      <w:numPr>
        <w:numId w:val="49"/>
      </w:numPr>
    </w:pPr>
    <w:rPr>
      <w:rFonts w:ascii="Arial" w:hAnsi="Arial"/>
      <w:sz w:val="32"/>
      <w:szCs w:val="24"/>
    </w:rPr>
  </w:style>
  <w:style w:type="character" w:styleId="Heading1Char0" w:customStyle="1">
    <w:name w:val="Heading1 Char"/>
    <w:basedOn w:val="DefaultParagraphFont"/>
    <w:link w:val="Heading1"/>
    <w:rsid w:val="00BB1B40"/>
    <w:rPr>
      <w:rFonts w:ascii="Arial" w:hAnsi="Arial"/>
      <w:sz w:val="32"/>
      <w:szCs w:val="24"/>
    </w:rPr>
  </w:style>
  <w:style w:type="paragraph" w:styleId="PresentedBy" w:customStyle="1">
    <w:name w:val="Presented By"/>
    <w:basedOn w:val="Normal"/>
    <w:link w:val="PresentedByChar"/>
    <w:rsid w:val="00E245F5"/>
    <w:pPr>
      <w:tabs>
        <w:tab w:val="left" w:pos="360"/>
        <w:tab w:val="left" w:pos="720"/>
        <w:tab w:val="left" w:pos="1080"/>
        <w:tab w:val="left" w:pos="1440"/>
      </w:tabs>
      <w:suppressAutoHyphens w:val="0"/>
      <w:autoSpaceDN/>
      <w:spacing w:before="0" w:after="0"/>
    </w:pPr>
    <w:rPr>
      <w:rFonts w:ascii="Arial" w:hAnsi="Arial"/>
      <w:color w:val="6F6754"/>
      <w:sz w:val="22"/>
      <w:szCs w:val="20"/>
    </w:rPr>
  </w:style>
  <w:style w:type="character" w:styleId="PresentedByChar" w:customStyle="1">
    <w:name w:val="Presented By Char"/>
    <w:basedOn w:val="DefaultParagraphFont"/>
    <w:link w:val="PresentedBy"/>
    <w:locked/>
    <w:rsid w:val="00E245F5"/>
    <w:rPr>
      <w:rFonts w:ascii="Arial" w:hAnsi="Arial"/>
      <w:color w:val="6F6754"/>
      <w:sz w:val="22"/>
    </w:rPr>
  </w:style>
  <w:style w:type="paragraph" w:styleId="Contactinfo" w:customStyle="1">
    <w:name w:val="Contact info"/>
    <w:basedOn w:val="Normal"/>
    <w:uiPriority w:val="99"/>
    <w:rsid w:val="00AC1EC6"/>
    <w:pPr>
      <w:suppressAutoHyphens w:val="0"/>
      <w:autoSpaceDN/>
      <w:spacing w:before="0" w:after="0"/>
    </w:pPr>
    <w:rPr>
      <w:rFonts w:ascii="Arial" w:hAnsi="Arial"/>
      <w:sz w:val="22"/>
      <w:szCs w:val="20"/>
    </w:rPr>
  </w:style>
  <w:style w:type="character" w:styleId="BodyTextNoSpacingAfterChar" w:customStyle="1">
    <w:name w:val="Body Text No Spacing After Char"/>
    <w:basedOn w:val="DefaultParagraphFont"/>
    <w:link w:val="BodyTextNoSpacingAfter"/>
    <w:rsid w:val="00AC1EC6"/>
    <w:rPr>
      <w:rFonts w:ascii="Arial" w:hAnsi="Arial"/>
      <w:iCs/>
      <w:sz w:val="22"/>
      <w:szCs w:val="16"/>
    </w:rPr>
  </w:style>
  <w:style w:type="paragraph" w:styleId="Instructions" w:customStyle="1">
    <w:name w:val="Instructions"/>
    <w:basedOn w:val="BodyText"/>
    <w:next w:val="Normal"/>
    <w:qFormat/>
    <w:rsid w:val="00273AEC"/>
    <w:rPr>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20398842">
      <w:bodyDiv w:val="1"/>
      <w:marLeft w:val="0"/>
      <w:marRight w:val="0"/>
      <w:marTop w:val="0"/>
      <w:marBottom w:val="0"/>
      <w:divBdr>
        <w:top w:val="none" w:sz="0" w:space="0" w:color="auto"/>
        <w:left w:val="none" w:sz="0" w:space="0" w:color="auto"/>
        <w:bottom w:val="none" w:sz="0" w:space="0" w:color="auto"/>
        <w:right w:val="none" w:sz="0" w:space="0" w:color="auto"/>
      </w:divBdr>
    </w:div>
    <w:div w:id="600526996">
      <w:bodyDiv w:val="1"/>
      <w:marLeft w:val="0"/>
      <w:marRight w:val="0"/>
      <w:marTop w:val="0"/>
      <w:marBottom w:val="0"/>
      <w:divBdr>
        <w:top w:val="none" w:sz="0" w:space="0" w:color="auto"/>
        <w:left w:val="none" w:sz="0" w:space="0" w:color="auto"/>
        <w:bottom w:val="none" w:sz="0" w:space="0" w:color="auto"/>
        <w:right w:val="none" w:sz="0" w:space="0" w:color="auto"/>
      </w:divBdr>
    </w:div>
    <w:div w:id="85053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hyperlink" Target="mailto:naherring@guidehouse.com" TargetMode="External" Id="rId18" /><Relationship Type="http://schemas.openxmlformats.org/officeDocument/2006/relationships/fontTable" Target="fontTable.xml" Id="rId39" /><Relationship Type="http://schemas.openxmlformats.org/officeDocument/2006/relationships/header" Target="header2.xml" Id="rId21" /><Relationship Type="http://schemas.openxmlformats.org/officeDocument/2006/relationships/header" Target="header5.xml" Id="rId34"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mailto:cmaglione@guidehouse.com" TargetMode="External" Id="rId16" /><Relationship Type="http://schemas.openxmlformats.org/officeDocument/2006/relationships/footer" Target="footer1.xml" Id="rId20" /><Relationship Type="http://schemas.openxmlformats.org/officeDocument/2006/relationships/header" Target="header3.xm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microsoft.com/office/2011/relationships/commentsExtended" Target="commentsExtended.xml" Id="rId24" /><Relationship Type="http://schemas.openxmlformats.org/officeDocument/2006/relationships/header" Target="header4.xml" Id="rId32" /><Relationship Type="http://schemas.openxmlformats.org/officeDocument/2006/relationships/header" Target="header6.xml" Id="rId37" /><Relationship Type="http://schemas.microsoft.com/office/2011/relationships/people" Target="people.xml" Id="rId40" /><Relationship Type="http://schemas.openxmlformats.org/officeDocument/2006/relationships/numbering" Target="numbering.xml" Id="rId5" /><Relationship Type="http://schemas.openxmlformats.org/officeDocument/2006/relationships/image" Target="media/image5.jpeg" Id="rId15" /><Relationship Type="http://schemas.openxmlformats.org/officeDocument/2006/relationships/footer" Target="footer3.xml" Id="rId28" /><Relationship Type="http://schemas.openxmlformats.org/officeDocument/2006/relationships/image" Target="media/image11.png" Id="rId36"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image" Target="media/image10.pn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 Type="http://schemas.openxmlformats.org/officeDocument/2006/relationships/footer" Target="footer2.xml" Id="rId22" /><Relationship Type="http://schemas.openxmlformats.org/officeDocument/2006/relationships/image" Target="media/image9.png" Id="rId27" /><Relationship Type="http://schemas.openxmlformats.org/officeDocument/2006/relationships/footer" Target="footer4.xml" Id="rId30" /><Relationship Type="http://schemas.openxmlformats.org/officeDocument/2006/relationships/footer" Target="footer6.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2.jpeg" Id="rId12" /><Relationship Type="http://schemas.openxmlformats.org/officeDocument/2006/relationships/hyperlink" Target="mailto:jeff.erickson@guidehouse.com" TargetMode="External" Id="rId17" /><Relationship Type="http://schemas.microsoft.com/office/2016/09/relationships/commentsIds" Target="commentsIds.xml" Id="rId25" /><Relationship Type="http://schemas.openxmlformats.org/officeDocument/2006/relationships/footer" Target="footer5.xml" Id="rId33" /><Relationship Type="http://schemas.openxmlformats.org/officeDocument/2006/relationships/footer" Target="footer7.xml" Id="rId38" /></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Guidehouse Colors 2024">
      <a:dk1>
        <a:srgbClr val="1B1B1B"/>
      </a:dk1>
      <a:lt1>
        <a:srgbClr val="F3F3F3"/>
      </a:lt1>
      <a:dk2>
        <a:srgbClr val="036479"/>
      </a:dk2>
      <a:lt2>
        <a:srgbClr val="E0E0E0"/>
      </a:lt2>
      <a:accent1>
        <a:srgbClr val="93D500"/>
      </a:accent1>
      <a:accent2>
        <a:srgbClr val="C1FD3B"/>
      </a:accent2>
      <a:accent3>
        <a:srgbClr val="31863E"/>
      </a:accent3>
      <a:accent4>
        <a:srgbClr val="03647A"/>
      </a:accent4>
      <a:accent5>
        <a:srgbClr val="00BAD6"/>
      </a:accent5>
      <a:accent6>
        <a:srgbClr val="80DDEB"/>
      </a:accent6>
      <a:hlink>
        <a:srgbClr val="68952C"/>
      </a:hlink>
      <a:folHlink>
        <a:srgbClr val="036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755eef-71ec-496f-ab18-a3e771bfb4a9">
      <Terms xmlns="http://schemas.microsoft.com/office/infopath/2007/PartnerControls"/>
    </lcf76f155ced4ddcb4097134ff3c332f>
    <TaxCatchAll xmlns="dd860c49-519f-4fad-a9e7-096243cb3a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20" ma:contentTypeDescription="Create a new document." ma:contentTypeScope="" ma:versionID="da6036fc11da79f3ea46dc14ce772f1e">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54c82631b1afb0c7bb9bc916f6735cc1"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48528-2E6A-4EEA-853F-6A024FEF5A90}">
  <ds:schemaRefs>
    <ds:schemaRef ds:uri="http://schemas.microsoft.com/office/2006/metadata/properties"/>
    <ds:schemaRef ds:uri="http://schemas.microsoft.com/office/infopath/2007/PartnerControls"/>
    <ds:schemaRef ds:uri="http://schemas.microsoft.com/sharepoint/v3"/>
    <ds:schemaRef ds:uri="ad755eef-71ec-496f-ab18-a3e771bfb4a9"/>
    <ds:schemaRef ds:uri="dd860c49-519f-4fad-a9e7-096243cb3a9a"/>
  </ds:schemaRefs>
</ds:datastoreItem>
</file>

<file path=customXml/itemProps2.xml><?xml version="1.0" encoding="utf-8"?>
<ds:datastoreItem xmlns:ds="http://schemas.openxmlformats.org/officeDocument/2006/customXml" ds:itemID="{E18BF249-8E01-4FD3-8CE1-F6B87618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44062-9301-4190-BAB7-A48D497C0390}">
  <ds:schemaRefs>
    <ds:schemaRef ds:uri="http://schemas.openxmlformats.org/officeDocument/2006/bibliography"/>
  </ds:schemaRefs>
</ds:datastoreItem>
</file>

<file path=customXml/itemProps4.xml><?xml version="1.0" encoding="utf-8"?>
<ds:datastoreItem xmlns:ds="http://schemas.openxmlformats.org/officeDocument/2006/customXml" ds:itemID="{59BA77A4-96FF-4F37-8832-3FE05EB9CF8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Guidehouse Inc. White Paper Template (one inch margin)-v2 (no slug).dotm</dc:title>
  <dc:subject>Proposal Sub-Title</dc:subject>
  <dc:creator>Amy Zeinoun</dc:creator>
  <keywords>[OSa:/b:/c:/d:/e:/f:/g:/h:/i:/j:/k:/l:/m:/n:/o:/p:/q:/r:/s:/t:/u:/v:/w:]</keywords>
  <dc:description>This proposal includes data that shall not be disclosed outside the Agency Title and shall not be duplicated, used, or disclosed—in whole or in part—for any purpose other than to evaluate this proposal. However, if a contract is awarded to this offeror as a result of—or in connection with—the submission of these data, the Agency Title shall have the right to duplicate, use, or disclose the data to the extent provided in the resulting contract. This restriction does not limit the Agency Title’s right to use information contained in these data if they are obtained from another source without restriction. The data subject to this restriction are contained in all pages/sheets herein.</dc:description>
  <lastModifiedBy>Natasha Herring</lastModifiedBy>
  <revision>167</revision>
  <dcterms:created xsi:type="dcterms:W3CDTF">2025-03-11T06:49:00.0000000Z</dcterms:created>
  <dcterms:modified xsi:type="dcterms:W3CDTF">2025-03-13T03:49:29.7126724Z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82895d97-31ea-4365-9fb6-a6d9ef7ba2c2</vt:lpwstr>
  </property>
  <property fmtid="{D5CDD505-2E9C-101B-9397-08002B2CF9AE}" pid="3"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4" name="bjDocumentLabelXML-0">
    <vt:lpwstr>ames.com/2008/01/sie/internal/label"&gt;&lt;element uid="d4c905ba-ff4f-4c0a-a3e9-24585d173a55" value="" /&gt;&lt;/sisl&gt;</vt:lpwstr>
  </property>
  <property fmtid="{D5CDD505-2E9C-101B-9397-08002B2CF9AE}" pid="5" name="bjDocumentSecurityLabel">
    <vt:lpwstr>OUTSIDE SOURCE</vt:lpwstr>
  </property>
  <property fmtid="{D5CDD505-2E9C-101B-9397-08002B2CF9AE}" pid="6" name="bjSaver">
    <vt:lpwstr>p4/PL7OLjxDXB7hOe1ybwWZCGxVm09M1</vt:lpwstr>
  </property>
  <property fmtid="{D5CDD505-2E9C-101B-9397-08002B2CF9AE}" pid="7" name="ContentTypeId">
    <vt:lpwstr>0x01010087588F1E73A3DF4E9DE46ACDFEFCEA5B</vt:lpwstr>
  </property>
  <property fmtid="{D5CDD505-2E9C-101B-9397-08002B2CF9AE}" pid="8" name="Modified_x0020_By">
    <vt:lpwstr/>
  </property>
  <property fmtid="{D5CDD505-2E9C-101B-9397-08002B2CF9AE}" pid="9" name="Created_x0020_By">
    <vt:lpwstr/>
  </property>
  <property fmtid="{D5CDD505-2E9C-101B-9397-08002B2CF9AE}" pid="10" name="Created By">
    <vt:lpwstr/>
  </property>
  <property fmtid="{D5CDD505-2E9C-101B-9397-08002B2CF9AE}" pid="11" name="Modified By">
    <vt:lpwstr/>
  </property>
  <property fmtid="{D5CDD505-2E9C-101B-9397-08002B2CF9AE}" pid="12" name="GrammarlyDocumentId">
    <vt:lpwstr>9ee28b39796c854f507d63ed5042ad84f9b76da57aef6dd7dc82feec26e15d93</vt:lpwstr>
  </property>
  <property fmtid="{D5CDD505-2E9C-101B-9397-08002B2CF9AE}" pid="13" name="MediaServiceImageTags">
    <vt:lpwstr/>
  </property>
</Properties>
</file>