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EA50" w14:textId="77777777" w:rsidR="00653E6C" w:rsidRDefault="00653E6C"/>
    <w:tbl>
      <w:tblPr>
        <w:tblW w:w="5061" w:type="pct"/>
        <w:jc w:val="center"/>
        <w:tblLayout w:type="fixed"/>
        <w:tblLook w:val="01E0" w:firstRow="1" w:lastRow="1" w:firstColumn="1" w:lastColumn="1" w:noHBand="0" w:noVBand="0"/>
      </w:tblPr>
      <w:tblGrid>
        <w:gridCol w:w="114"/>
        <w:gridCol w:w="1710"/>
        <w:gridCol w:w="504"/>
        <w:gridCol w:w="1476"/>
        <w:gridCol w:w="2102"/>
        <w:gridCol w:w="1205"/>
        <w:gridCol w:w="165"/>
        <w:gridCol w:w="2198"/>
      </w:tblGrid>
      <w:tr w:rsidR="000B29BC" w:rsidRPr="00FD0661" w14:paraId="01F77EDF" w14:textId="77777777" w:rsidTr="00653E6C">
        <w:trPr>
          <w:gridBefore w:val="1"/>
          <w:wBefore w:w="115" w:type="dxa"/>
          <w:trHeight w:val="1152"/>
          <w:jc w:val="center"/>
        </w:trPr>
        <w:tc>
          <w:tcPr>
            <w:tcW w:w="9360" w:type="dxa"/>
            <w:gridSpan w:val="7"/>
            <w:vAlign w:val="center"/>
          </w:tcPr>
          <w:p w14:paraId="253BCB6B" w14:textId="77777777" w:rsidR="00653E6C" w:rsidRPr="00FD0661" w:rsidRDefault="00653E6C">
            <w:pPr>
              <w:pStyle w:val="Title"/>
              <w:rPr>
                <w:rFonts w:cs="Arial"/>
                <w:bCs/>
              </w:rPr>
            </w:pPr>
          </w:p>
        </w:tc>
      </w:tr>
      <w:tr w:rsidR="00601C9E" w:rsidRPr="00FD0661" w14:paraId="29BDFCE0" w14:textId="77777777" w:rsidTr="00653E6C">
        <w:trPr>
          <w:gridBefore w:val="1"/>
          <w:wBefore w:w="115" w:type="dxa"/>
          <w:trHeight w:val="2114"/>
          <w:jc w:val="center"/>
        </w:trPr>
        <w:tc>
          <w:tcPr>
            <w:tcW w:w="9360" w:type="dxa"/>
            <w:gridSpan w:val="7"/>
            <w:vAlign w:val="center"/>
          </w:tcPr>
          <w:p w14:paraId="0ECAF0EE" w14:textId="77777777" w:rsidR="00653E6C" w:rsidRPr="00FD0661" w:rsidRDefault="00653E6C">
            <w:pPr>
              <w:pStyle w:val="Title"/>
              <w:rPr>
                <w:rFonts w:cs="Arial"/>
                <w:b w:val="0"/>
                <w:bCs/>
              </w:rPr>
            </w:pPr>
            <w:r w:rsidRPr="00FD0661">
              <w:rPr>
                <w:rFonts w:cs="Arial"/>
                <w:bCs/>
              </w:rPr>
              <w:t xml:space="preserve">ComEd </w:t>
            </w:r>
            <w:bookmarkStart w:id="0" w:name="Title_Program_Name"/>
            <w:r w:rsidRPr="003B3336">
              <w:rPr>
                <w:rFonts w:cs="Arial"/>
                <w:bCs/>
              </w:rPr>
              <w:t>Incentives</w:t>
            </w:r>
            <w:bookmarkEnd w:id="0"/>
            <w:r w:rsidRPr="00FD0661">
              <w:rPr>
                <w:rFonts w:cs="Arial"/>
                <w:bCs/>
              </w:rPr>
              <w:t xml:space="preserve"> Program Impact Evaluation Report</w:t>
            </w:r>
          </w:p>
          <w:p w14:paraId="1A898B9E" w14:textId="77777777" w:rsidR="00653E6C" w:rsidRPr="00FD0661" w:rsidRDefault="00653E6C">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650820A3" w14:textId="77777777" w:rsidTr="00653E6C">
        <w:trPr>
          <w:gridBefore w:val="1"/>
          <w:wBefore w:w="115" w:type="dxa"/>
          <w:trHeight w:val="2263"/>
          <w:jc w:val="center"/>
        </w:trPr>
        <w:tc>
          <w:tcPr>
            <w:tcW w:w="9360" w:type="dxa"/>
            <w:gridSpan w:val="7"/>
          </w:tcPr>
          <w:p w14:paraId="789AD3FF" w14:textId="77777777" w:rsidR="00653E6C" w:rsidRPr="00FD0661" w:rsidRDefault="00653E6C">
            <w:pPr>
              <w:pStyle w:val="Preparedfor"/>
              <w:spacing w:before="0" w:after="240"/>
              <w:rPr>
                <w:rFonts w:cs="Arial"/>
              </w:rPr>
            </w:pPr>
            <w:r w:rsidRPr="00FD0661">
              <w:rPr>
                <w:rFonts w:cs="Arial"/>
              </w:rPr>
              <w:t>Prepared for:</w:t>
            </w:r>
          </w:p>
          <w:p w14:paraId="66C3C76F" w14:textId="77777777" w:rsidR="00653E6C" w:rsidRPr="00FD0661" w:rsidRDefault="00653E6C">
            <w:pPr>
              <w:pStyle w:val="Preparedfor"/>
              <w:rPr>
                <w:rFonts w:cs="Arial"/>
              </w:rPr>
            </w:pPr>
            <w:r w:rsidRPr="00FD0661">
              <w:rPr>
                <w:rFonts w:cs="Arial"/>
              </w:rPr>
              <w:t>ComEd</w:t>
            </w:r>
          </w:p>
          <w:p w14:paraId="7FC6D971" w14:textId="77777777" w:rsidR="00653E6C" w:rsidRPr="00FD0661" w:rsidRDefault="00653E6C">
            <w:pPr>
              <w:pStyle w:val="CoverClientName"/>
              <w:spacing w:after="0"/>
              <w:rPr>
                <w:rFonts w:cs="Arial"/>
                <w:sz w:val="48"/>
                <w:szCs w:val="48"/>
              </w:rPr>
            </w:pPr>
            <w:r w:rsidRPr="00FD0661">
              <w:rPr>
                <w:rFonts w:cs="Arial"/>
                <w:sz w:val="48"/>
                <w:szCs w:val="48"/>
              </w:rPr>
              <w:t>DRAFT</w:t>
            </w:r>
          </w:p>
          <w:p w14:paraId="0A90C861" w14:textId="77777777" w:rsidR="00653E6C" w:rsidRPr="00FD0661" w:rsidRDefault="00653E6C">
            <w:pPr>
              <w:pStyle w:val="CoverClientName"/>
              <w:spacing w:after="0"/>
              <w:rPr>
                <w:rFonts w:cs="Arial"/>
              </w:rPr>
            </w:pPr>
          </w:p>
          <w:p w14:paraId="6F63DC52" w14:textId="5A1E83BE" w:rsidR="00653E6C" w:rsidRPr="00FD0661" w:rsidRDefault="00653E6C">
            <w:pPr>
              <w:pStyle w:val="CoverClientName"/>
              <w:spacing w:after="0"/>
              <w:rPr>
                <w:rFonts w:cs="Arial"/>
              </w:rPr>
            </w:pPr>
            <w:r w:rsidRPr="00FD0661">
              <w:rPr>
                <w:rFonts w:cs="Arial"/>
              </w:rPr>
              <w:t>M</w:t>
            </w:r>
            <w:r>
              <w:rPr>
                <w:rFonts w:cs="Arial"/>
              </w:rPr>
              <w:t>arch 1</w:t>
            </w:r>
            <w:r w:rsidR="001D2193">
              <w:rPr>
                <w:rFonts w:cs="Arial"/>
              </w:rPr>
              <w:t>2</w:t>
            </w:r>
            <w:r>
              <w:rPr>
                <w:rFonts w:cs="Arial"/>
              </w:rPr>
              <w:t>, 202</w:t>
            </w:r>
            <w:r w:rsidR="001D2193">
              <w:rPr>
                <w:rFonts w:cs="Arial"/>
              </w:rPr>
              <w:t>5</w:t>
            </w:r>
          </w:p>
        </w:tc>
      </w:tr>
      <w:tr w:rsidR="00653E6C" w:rsidRPr="008E2DD7" w14:paraId="1E0A714F" w14:textId="77777777" w:rsidTr="00653E6C">
        <w:tblPrEx>
          <w:tblCellMar>
            <w:left w:w="115" w:type="dxa"/>
            <w:right w:w="115" w:type="dxa"/>
          </w:tblCellMar>
        </w:tblPrEx>
        <w:trPr>
          <w:gridAfter w:val="2"/>
          <w:wAfter w:w="2363" w:type="dxa"/>
          <w:trHeight w:val="419"/>
          <w:jc w:val="center"/>
        </w:trPr>
        <w:tc>
          <w:tcPr>
            <w:tcW w:w="5907" w:type="dxa"/>
            <w:gridSpan w:val="5"/>
          </w:tcPr>
          <w:p w14:paraId="03D8E7F5" w14:textId="77777777" w:rsidR="00653E6C" w:rsidRPr="008E2DD7" w:rsidRDefault="00653E6C" w:rsidP="00FE4838">
            <w:pPr>
              <w:rPr>
                <w:rStyle w:val="CoverText"/>
              </w:rPr>
            </w:pPr>
          </w:p>
          <w:p w14:paraId="33475435" w14:textId="77777777" w:rsidR="00653E6C" w:rsidRPr="008E2DD7" w:rsidRDefault="00653E6C" w:rsidP="00FE4838">
            <w:pPr>
              <w:rPr>
                <w:rStyle w:val="CoverText"/>
              </w:rPr>
            </w:pPr>
            <w:r w:rsidRPr="008E2DD7">
              <w:rPr>
                <w:rStyle w:val="CoverText"/>
              </w:rPr>
              <w:t xml:space="preserve">Prepared by: </w:t>
            </w:r>
          </w:p>
        </w:tc>
        <w:tc>
          <w:tcPr>
            <w:tcW w:w="1205" w:type="dxa"/>
          </w:tcPr>
          <w:p w14:paraId="5276438E" w14:textId="77777777" w:rsidR="00653E6C" w:rsidRPr="008E2DD7" w:rsidRDefault="00653E6C" w:rsidP="00FE4838">
            <w:pPr>
              <w:rPr>
                <w:rStyle w:val="CoverText"/>
              </w:rPr>
            </w:pPr>
          </w:p>
        </w:tc>
      </w:tr>
      <w:tr w:rsidR="00653E6C" w:rsidRPr="00957EA9" w14:paraId="29F894F7" w14:textId="77777777" w:rsidTr="00653E6C">
        <w:tblPrEx>
          <w:tblCellMar>
            <w:left w:w="115" w:type="dxa"/>
            <w:right w:w="115" w:type="dxa"/>
          </w:tblCellMar>
        </w:tblPrEx>
        <w:trPr>
          <w:gridAfter w:val="2"/>
          <w:wAfter w:w="2363" w:type="dxa"/>
          <w:trHeight w:val="900"/>
          <w:jc w:val="center"/>
        </w:trPr>
        <w:tc>
          <w:tcPr>
            <w:tcW w:w="1825" w:type="dxa"/>
            <w:gridSpan w:val="2"/>
          </w:tcPr>
          <w:p w14:paraId="11A9AB8F" w14:textId="77777777" w:rsidR="00653E6C" w:rsidRDefault="00653E6C" w:rsidP="00FE4838">
            <w:pPr>
              <w:pStyle w:val="PresentedBy"/>
              <w:rPr>
                <w:bCs/>
                <w:color w:val="auto"/>
              </w:rPr>
            </w:pPr>
          </w:p>
          <w:p w14:paraId="352747D8" w14:textId="77777777" w:rsidR="00653E6C" w:rsidRDefault="00653E6C" w:rsidP="00FE4838">
            <w:pPr>
              <w:pStyle w:val="PresentedBy"/>
              <w:rPr>
                <w:bCs/>
                <w:color w:val="auto"/>
              </w:rPr>
            </w:pPr>
          </w:p>
          <w:p w14:paraId="3EFBFA77" w14:textId="77777777" w:rsidR="00653E6C" w:rsidRPr="008B387B" w:rsidRDefault="00653E6C" w:rsidP="00FE4838">
            <w:pPr>
              <w:pStyle w:val="PresentedBy"/>
              <w:rPr>
                <w:bCs/>
                <w:color w:val="auto"/>
              </w:rPr>
            </w:pPr>
            <w:r>
              <w:rPr>
                <w:bCs/>
                <w:color w:val="auto"/>
              </w:rPr>
              <w:t>Kumar Chittory</w:t>
            </w:r>
          </w:p>
          <w:p w14:paraId="63C48EA1" w14:textId="77777777" w:rsidR="00653E6C" w:rsidRPr="008B387B" w:rsidRDefault="00653E6C" w:rsidP="00FE4838">
            <w:pPr>
              <w:pStyle w:val="PresentedBy"/>
              <w:rPr>
                <w:bCs/>
                <w:color w:val="auto"/>
              </w:rPr>
            </w:pPr>
            <w:r>
              <w:rPr>
                <w:bCs/>
                <w:color w:val="auto"/>
              </w:rPr>
              <w:t>Verdant</w:t>
            </w:r>
            <w:r w:rsidRPr="008B387B">
              <w:rPr>
                <w:bCs/>
                <w:color w:val="auto"/>
              </w:rPr>
              <w:t xml:space="preserve"> </w:t>
            </w:r>
          </w:p>
        </w:tc>
        <w:tc>
          <w:tcPr>
            <w:tcW w:w="1980" w:type="dxa"/>
            <w:gridSpan w:val="2"/>
          </w:tcPr>
          <w:p w14:paraId="06A0A9CF" w14:textId="77777777" w:rsidR="00653E6C" w:rsidRDefault="00653E6C" w:rsidP="00653E6C">
            <w:pPr>
              <w:rPr>
                <w:rStyle w:val="CoverText"/>
                <w:bCs/>
              </w:rPr>
            </w:pPr>
          </w:p>
          <w:p w14:paraId="5C9F0C37" w14:textId="77777777" w:rsidR="00653E6C" w:rsidRPr="008B387B" w:rsidRDefault="00653E6C" w:rsidP="00653E6C">
            <w:pPr>
              <w:rPr>
                <w:rStyle w:val="CoverText"/>
                <w:bCs/>
              </w:rPr>
            </w:pPr>
            <w:r>
              <w:rPr>
                <w:rStyle w:val="CoverText"/>
                <w:bCs/>
              </w:rPr>
              <w:t xml:space="preserve">Kyle McKenna </w:t>
            </w:r>
            <w:proofErr w:type="spellStart"/>
            <w:r>
              <w:rPr>
                <w:rStyle w:val="CoverText"/>
                <w:bCs/>
              </w:rPr>
              <w:t>EcoMetric</w:t>
            </w:r>
            <w:proofErr w:type="spellEnd"/>
          </w:p>
        </w:tc>
        <w:tc>
          <w:tcPr>
            <w:tcW w:w="3307" w:type="dxa"/>
            <w:gridSpan w:val="2"/>
          </w:tcPr>
          <w:p w14:paraId="5CA485A7" w14:textId="77777777" w:rsidR="00653E6C" w:rsidRDefault="00653E6C" w:rsidP="00FE4838">
            <w:pPr>
              <w:pStyle w:val="PresentedBy"/>
              <w:rPr>
                <w:rStyle w:val="CoverText"/>
                <w:bCs/>
                <w:iCs/>
              </w:rPr>
            </w:pPr>
          </w:p>
          <w:p w14:paraId="2EA8322F" w14:textId="77777777" w:rsidR="00653E6C" w:rsidRDefault="00653E6C" w:rsidP="00FE4838">
            <w:pPr>
              <w:pStyle w:val="PresentedBy"/>
              <w:rPr>
                <w:rStyle w:val="CoverText"/>
                <w:bCs/>
                <w:iCs/>
              </w:rPr>
            </w:pPr>
          </w:p>
          <w:p w14:paraId="0599F8BD" w14:textId="77777777" w:rsidR="00653E6C" w:rsidRDefault="00653E6C" w:rsidP="00FE4838">
            <w:pPr>
              <w:pStyle w:val="PresentedBy"/>
              <w:rPr>
                <w:rStyle w:val="CoverText"/>
                <w:bCs/>
                <w:iCs/>
              </w:rPr>
            </w:pPr>
            <w:r>
              <w:rPr>
                <w:rStyle w:val="CoverText"/>
                <w:bCs/>
                <w:iCs/>
              </w:rPr>
              <w:t>Ryan Kroll</w:t>
            </w:r>
          </w:p>
          <w:p w14:paraId="7EE81EF5" w14:textId="77777777" w:rsidR="00653E6C" w:rsidRPr="00957EA9" w:rsidRDefault="00653E6C" w:rsidP="00FE4838">
            <w:pPr>
              <w:pStyle w:val="PresentedBy"/>
              <w:rPr>
                <w:rStyle w:val="CoverText"/>
                <w:bCs/>
                <w:iCs/>
              </w:rPr>
            </w:pPr>
            <w:r>
              <w:rPr>
                <w:rStyle w:val="CoverText"/>
                <w:bCs/>
                <w:iCs/>
              </w:rPr>
              <w:t>Driftless Energy</w:t>
            </w:r>
          </w:p>
        </w:tc>
      </w:tr>
      <w:tr w:rsidR="00601C9E" w:rsidRPr="00FD0661" w14:paraId="7504A938" w14:textId="77777777" w:rsidTr="00653E6C">
        <w:trPr>
          <w:gridBefore w:val="1"/>
          <w:wBefore w:w="115" w:type="dxa"/>
          <w:trHeight w:val="419"/>
          <w:jc w:val="center"/>
        </w:trPr>
        <w:tc>
          <w:tcPr>
            <w:tcW w:w="7162" w:type="dxa"/>
            <w:gridSpan w:val="6"/>
          </w:tcPr>
          <w:p w14:paraId="40779A3A" w14:textId="77777777" w:rsidR="00653E6C" w:rsidRPr="00FD0661" w:rsidRDefault="00653E6C">
            <w:pPr>
              <w:rPr>
                <w:rStyle w:val="CoverText"/>
                <w:rFonts w:cs="Arial"/>
              </w:rPr>
            </w:pPr>
          </w:p>
        </w:tc>
        <w:tc>
          <w:tcPr>
            <w:tcW w:w="2198" w:type="dxa"/>
          </w:tcPr>
          <w:p w14:paraId="47647C62" w14:textId="77777777" w:rsidR="00653E6C" w:rsidRPr="00FD0661" w:rsidRDefault="00653E6C">
            <w:pPr>
              <w:rPr>
                <w:rStyle w:val="CoverText"/>
                <w:rFonts w:cs="Arial"/>
              </w:rPr>
            </w:pPr>
          </w:p>
        </w:tc>
      </w:tr>
      <w:tr w:rsidR="00601C9E" w:rsidRPr="00FD0661" w14:paraId="323DB426" w14:textId="77777777" w:rsidTr="00653E6C">
        <w:trPr>
          <w:gridBefore w:val="1"/>
          <w:wBefore w:w="115" w:type="dxa"/>
          <w:trHeight w:val="1296"/>
          <w:jc w:val="center"/>
        </w:trPr>
        <w:tc>
          <w:tcPr>
            <w:tcW w:w="2214" w:type="dxa"/>
            <w:gridSpan w:val="2"/>
            <w:vAlign w:val="center"/>
          </w:tcPr>
          <w:p w14:paraId="4EDCBF94" w14:textId="77777777" w:rsidR="00653E6C" w:rsidRPr="00FD0661" w:rsidRDefault="00653E6C" w:rsidP="00C84E9D">
            <w:pPr>
              <w:rPr>
                <w:rFonts w:ascii="Arial" w:hAnsi="Arial" w:cs="Arial"/>
                <w:bCs/>
              </w:rPr>
            </w:pPr>
          </w:p>
        </w:tc>
        <w:tc>
          <w:tcPr>
            <w:tcW w:w="4948" w:type="dxa"/>
            <w:gridSpan w:val="4"/>
            <w:vAlign w:val="center"/>
          </w:tcPr>
          <w:p w14:paraId="05AE82E3" w14:textId="77777777" w:rsidR="00653E6C" w:rsidRPr="00FD0661" w:rsidRDefault="00653E6C" w:rsidP="00857675">
            <w:pPr>
              <w:rPr>
                <w:rStyle w:val="CoverText"/>
                <w:rFonts w:cs="Arial"/>
                <w:bCs/>
              </w:rPr>
            </w:pPr>
          </w:p>
        </w:tc>
        <w:tc>
          <w:tcPr>
            <w:tcW w:w="2198" w:type="dxa"/>
          </w:tcPr>
          <w:p w14:paraId="12DFE415" w14:textId="77777777" w:rsidR="00653E6C" w:rsidRPr="00FD0661" w:rsidRDefault="00653E6C" w:rsidP="00857675">
            <w:pPr>
              <w:pStyle w:val="PresentedBy"/>
              <w:spacing w:after="120"/>
              <w:rPr>
                <w:rStyle w:val="CoverText"/>
                <w:rFonts w:cs="Arial"/>
                <w:bCs/>
                <w:iCs/>
              </w:rPr>
            </w:pPr>
          </w:p>
        </w:tc>
      </w:tr>
      <w:tr w:rsidR="008E3D52" w:rsidRPr="00FD0661" w14:paraId="1D439394" w14:textId="77777777" w:rsidTr="00653E6C">
        <w:trPr>
          <w:gridBefore w:val="1"/>
          <w:wBefore w:w="115" w:type="dxa"/>
          <w:trHeight w:val="900"/>
          <w:jc w:val="center"/>
        </w:trPr>
        <w:tc>
          <w:tcPr>
            <w:tcW w:w="2214" w:type="dxa"/>
            <w:gridSpan w:val="2"/>
            <w:vAlign w:val="center"/>
          </w:tcPr>
          <w:p w14:paraId="0434EA54" w14:textId="35BE5DBC" w:rsidR="00653E6C" w:rsidRPr="00FD0661" w:rsidRDefault="00DE1380" w:rsidP="00633225">
            <w:pPr>
              <w:pStyle w:val="PresentedBy"/>
              <w:jc w:val="center"/>
              <w:rPr>
                <w:rFonts w:cs="Arial"/>
                <w:bCs/>
                <w:color w:val="auto"/>
              </w:rPr>
            </w:pPr>
            <w:r w:rsidRPr="00FD0661">
              <w:rPr>
                <w:rFonts w:cs="Arial"/>
                <w:noProof/>
              </w:rPr>
              <w:drawing>
                <wp:inline distT="0" distB="0" distL="0" distR="0" wp14:anchorId="631EC086" wp14:editId="4E756D0A">
                  <wp:extent cx="1412549" cy="469265"/>
                  <wp:effectExtent l="0" t="0" r="0" b="6985"/>
                  <wp:docPr id="1453381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3403" cy="469549"/>
                          </a:xfrm>
                          <a:prstGeom prst="rect">
                            <a:avLst/>
                          </a:prstGeom>
                          <a:noFill/>
                          <a:ln>
                            <a:noFill/>
                          </a:ln>
                        </pic:spPr>
                      </pic:pic>
                    </a:graphicData>
                  </a:graphic>
                </wp:inline>
              </w:drawing>
            </w:r>
          </w:p>
        </w:tc>
        <w:tc>
          <w:tcPr>
            <w:tcW w:w="4948" w:type="dxa"/>
            <w:gridSpan w:val="4"/>
            <w:vAlign w:val="center"/>
          </w:tcPr>
          <w:p w14:paraId="7D0E47CB" w14:textId="77777777" w:rsidR="00653E6C" w:rsidRPr="00FD0661" w:rsidRDefault="00653E6C" w:rsidP="00633225">
            <w:pPr>
              <w:jc w:val="center"/>
              <w:rPr>
                <w:rStyle w:val="CoverText"/>
                <w:rFonts w:cs="Arial"/>
                <w:bCs/>
              </w:rPr>
            </w:pPr>
            <w:r w:rsidRPr="00FD0661">
              <w:rPr>
                <w:rFonts w:ascii="Arial" w:hAnsi="Arial" w:cs="Arial"/>
                <w:noProof/>
              </w:rPr>
              <w:drawing>
                <wp:inline distT="0" distB="0" distL="0" distR="0" wp14:anchorId="43FCF156" wp14:editId="536D9535">
                  <wp:extent cx="1417320" cy="27372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6367" cy="275467"/>
                          </a:xfrm>
                          <a:prstGeom prst="rect">
                            <a:avLst/>
                          </a:prstGeom>
                        </pic:spPr>
                      </pic:pic>
                    </a:graphicData>
                  </a:graphic>
                </wp:inline>
              </w:drawing>
            </w:r>
          </w:p>
        </w:tc>
        <w:tc>
          <w:tcPr>
            <w:tcW w:w="2198" w:type="dxa"/>
            <w:vAlign w:val="center"/>
          </w:tcPr>
          <w:p w14:paraId="27E52830" w14:textId="77777777" w:rsidR="00653E6C" w:rsidRPr="00FD0661" w:rsidRDefault="00653E6C" w:rsidP="00633225">
            <w:pPr>
              <w:pStyle w:val="PresentedBy"/>
              <w:jc w:val="center"/>
              <w:rPr>
                <w:rStyle w:val="CoverText"/>
                <w:rFonts w:cs="Arial"/>
                <w:bCs/>
                <w:iCs/>
              </w:rPr>
            </w:pPr>
            <w:r w:rsidRPr="00FD0661">
              <w:rPr>
                <w:rFonts w:cs="Arial"/>
                <w:noProof/>
              </w:rPr>
              <w:drawing>
                <wp:inline distT="0" distB="0" distL="0" distR="0" wp14:anchorId="33E11A98" wp14:editId="5794F586">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r>
      <w:tr w:rsidR="005A3B39" w:rsidRPr="00FD0661" w14:paraId="03A47A25" w14:textId="77777777" w:rsidTr="00653E6C">
        <w:trPr>
          <w:gridBefore w:val="1"/>
          <w:wBefore w:w="115" w:type="dxa"/>
          <w:trHeight w:val="900"/>
          <w:jc w:val="center"/>
        </w:trPr>
        <w:tc>
          <w:tcPr>
            <w:tcW w:w="2214" w:type="dxa"/>
            <w:gridSpan w:val="2"/>
            <w:vAlign w:val="center"/>
          </w:tcPr>
          <w:p w14:paraId="44815BF3" w14:textId="5ED48720" w:rsidR="00653E6C" w:rsidRPr="00FD0661" w:rsidRDefault="00653E6C" w:rsidP="00633225">
            <w:pPr>
              <w:pStyle w:val="PresentedBy"/>
              <w:jc w:val="center"/>
              <w:rPr>
                <w:rFonts w:cs="Arial"/>
                <w:bCs/>
                <w:color w:val="auto"/>
              </w:rPr>
            </w:pPr>
          </w:p>
        </w:tc>
        <w:tc>
          <w:tcPr>
            <w:tcW w:w="4948" w:type="dxa"/>
            <w:gridSpan w:val="4"/>
            <w:vAlign w:val="center"/>
          </w:tcPr>
          <w:p w14:paraId="31B1422F" w14:textId="77777777" w:rsidR="00653E6C" w:rsidRPr="00FD0661" w:rsidRDefault="00653E6C" w:rsidP="00633225">
            <w:pPr>
              <w:jc w:val="center"/>
              <w:rPr>
                <w:rStyle w:val="CoverText"/>
                <w:rFonts w:cs="Arial"/>
                <w:bCs/>
              </w:rPr>
            </w:pPr>
          </w:p>
        </w:tc>
        <w:tc>
          <w:tcPr>
            <w:tcW w:w="2198" w:type="dxa"/>
            <w:vAlign w:val="center"/>
          </w:tcPr>
          <w:p w14:paraId="7844D4CB" w14:textId="33098A7B" w:rsidR="00653E6C" w:rsidRPr="00FD0661" w:rsidRDefault="00653E6C" w:rsidP="00633225">
            <w:pPr>
              <w:pStyle w:val="PresentedBy"/>
              <w:jc w:val="center"/>
              <w:rPr>
                <w:rStyle w:val="CoverText"/>
                <w:rFonts w:cs="Arial"/>
                <w:bCs/>
                <w:iCs/>
              </w:rPr>
            </w:pPr>
          </w:p>
        </w:tc>
      </w:tr>
    </w:tbl>
    <w:p w14:paraId="57EE7D6F" w14:textId="77777777" w:rsidR="00653E6C" w:rsidRDefault="00653E6C"/>
    <w:p w14:paraId="734EFAAA" w14:textId="77777777" w:rsidR="00653E6C" w:rsidRPr="006C7A52" w:rsidRDefault="00653E6C" w:rsidP="00653E6C">
      <w:pPr>
        <w:suppressAutoHyphens w:val="0"/>
        <w:spacing w:before="0" w:after="0"/>
        <w:rPr>
          <w:rFonts w:ascii="Arial" w:hAnsi="Arial" w:cs="Arial"/>
          <w:b/>
          <w:bCs/>
        </w:rPr>
      </w:pPr>
      <w:r w:rsidRPr="006C7A52">
        <w:rPr>
          <w:rFonts w:ascii="Arial" w:hAnsi="Arial" w:cs="Arial"/>
          <w:b/>
          <w:bCs/>
        </w:rPr>
        <w:lastRenderedPageBreak/>
        <w:t>Submitted to:</w:t>
      </w:r>
    </w:p>
    <w:p w14:paraId="37F348D0" w14:textId="77777777" w:rsidR="00653E6C" w:rsidRPr="006C7A52" w:rsidRDefault="00653E6C" w:rsidP="006C7A52">
      <w:pPr>
        <w:spacing w:before="0" w:after="0"/>
        <w:rPr>
          <w:rFonts w:ascii="Arial" w:hAnsi="Arial" w:cs="Arial"/>
        </w:rPr>
      </w:pPr>
      <w:r w:rsidRPr="006C7A52">
        <w:rPr>
          <w:rFonts w:ascii="Arial" w:hAnsi="Arial" w:cs="Arial"/>
        </w:rPr>
        <w:t>ComEd</w:t>
      </w:r>
    </w:p>
    <w:p w14:paraId="0B3D338D" w14:textId="77777777" w:rsidR="00653E6C" w:rsidRPr="006C7A52" w:rsidRDefault="00653E6C" w:rsidP="006C7A52">
      <w:pPr>
        <w:spacing w:before="0" w:after="0"/>
        <w:rPr>
          <w:rFonts w:ascii="Arial" w:hAnsi="Arial" w:cs="Arial"/>
        </w:rPr>
      </w:pPr>
      <w:r w:rsidRPr="006C7A52">
        <w:rPr>
          <w:rFonts w:ascii="Arial" w:hAnsi="Arial" w:cs="Arial"/>
        </w:rPr>
        <w:t>2011 Swift Drive</w:t>
      </w:r>
    </w:p>
    <w:p w14:paraId="45EF4F7C" w14:textId="77777777" w:rsidR="00653E6C" w:rsidRPr="006C7A52" w:rsidRDefault="00653E6C" w:rsidP="006C7A52">
      <w:pPr>
        <w:spacing w:before="0" w:after="0"/>
        <w:rPr>
          <w:rFonts w:ascii="Arial" w:hAnsi="Arial" w:cs="Arial"/>
        </w:rPr>
      </w:pPr>
      <w:r w:rsidRPr="006C7A52">
        <w:rPr>
          <w:rFonts w:ascii="Arial" w:hAnsi="Arial" w:cs="Arial"/>
        </w:rPr>
        <w:t>Oak Brook, IL 60523</w:t>
      </w:r>
    </w:p>
    <w:p w14:paraId="08C928C8" w14:textId="77777777" w:rsidR="00653E6C" w:rsidRPr="006C7A52" w:rsidRDefault="00653E6C" w:rsidP="006C7A52">
      <w:pPr>
        <w:spacing w:before="0" w:after="0"/>
        <w:rPr>
          <w:rFonts w:ascii="Arial" w:hAnsi="Arial" w:cs="Arial"/>
        </w:rPr>
      </w:pPr>
    </w:p>
    <w:p w14:paraId="282E473E" w14:textId="77777777" w:rsidR="00653E6C" w:rsidRPr="006C7A52" w:rsidRDefault="00653E6C" w:rsidP="006C7A52">
      <w:pPr>
        <w:spacing w:before="0" w:after="0"/>
        <w:rPr>
          <w:rFonts w:ascii="Arial" w:hAnsi="Arial" w:cs="Arial"/>
          <w:b/>
          <w:bCs/>
        </w:rPr>
      </w:pPr>
      <w:r w:rsidRPr="006C7A52">
        <w:rPr>
          <w:rFonts w:ascii="Arial" w:hAnsi="Arial" w:cs="Arial"/>
          <w:b/>
          <w:bCs/>
        </w:rPr>
        <w:t>Submitted by:</w:t>
      </w:r>
    </w:p>
    <w:p w14:paraId="126FCD0C" w14:textId="77777777" w:rsidR="00653E6C" w:rsidRPr="006C7A52" w:rsidRDefault="00653E6C" w:rsidP="006C7A52">
      <w:pPr>
        <w:spacing w:before="0" w:after="0"/>
        <w:rPr>
          <w:rFonts w:ascii="Arial" w:hAnsi="Arial" w:cs="Arial"/>
        </w:rPr>
      </w:pPr>
      <w:r w:rsidRPr="006C7A52">
        <w:rPr>
          <w:rFonts w:ascii="Arial" w:hAnsi="Arial" w:cs="Arial"/>
        </w:rPr>
        <w:t>Guidehouse Inc.</w:t>
      </w:r>
    </w:p>
    <w:p w14:paraId="661A0FB0" w14:textId="77777777" w:rsidR="00653E6C" w:rsidRPr="006C7A52" w:rsidRDefault="00653E6C" w:rsidP="006C7A52">
      <w:pPr>
        <w:spacing w:before="0" w:after="0"/>
        <w:rPr>
          <w:rFonts w:ascii="Arial" w:hAnsi="Arial" w:cs="Arial"/>
        </w:rPr>
      </w:pPr>
      <w:r w:rsidRPr="006C7A52">
        <w:rPr>
          <w:rFonts w:ascii="Arial" w:hAnsi="Arial" w:cs="Arial"/>
        </w:rPr>
        <w:t>150 N. Riverside Plaza, Suite 2100</w:t>
      </w:r>
    </w:p>
    <w:p w14:paraId="10D8B3F9" w14:textId="77777777" w:rsidR="00653E6C" w:rsidRPr="006C7A52" w:rsidRDefault="00653E6C" w:rsidP="006C7A52">
      <w:pPr>
        <w:spacing w:before="0" w:after="0"/>
        <w:rPr>
          <w:rFonts w:ascii="Arial" w:hAnsi="Arial" w:cs="Arial"/>
        </w:rPr>
      </w:pPr>
      <w:r w:rsidRPr="006C7A52">
        <w:rPr>
          <w:rFonts w:ascii="Arial" w:hAnsi="Arial" w:cs="Arial"/>
        </w:rPr>
        <w:t>Chicago, IL 60606</w:t>
      </w:r>
    </w:p>
    <w:p w14:paraId="647D138C" w14:textId="77777777" w:rsidR="00653E6C" w:rsidRPr="006C7A52" w:rsidRDefault="00653E6C" w:rsidP="006C7A52">
      <w:pPr>
        <w:spacing w:before="0" w:after="0"/>
        <w:rPr>
          <w:rFonts w:ascii="Arial" w:hAnsi="Arial" w:cs="Arial"/>
        </w:rPr>
      </w:pPr>
    </w:p>
    <w:p w14:paraId="2D63D5A0" w14:textId="77777777" w:rsidR="00653E6C" w:rsidRPr="006C7A52" w:rsidRDefault="00653E6C" w:rsidP="006C7A52">
      <w:pPr>
        <w:spacing w:before="0" w:after="0"/>
        <w:rPr>
          <w:rFonts w:ascii="Arial" w:hAnsi="Arial" w:cs="Arial"/>
        </w:rPr>
      </w:pPr>
    </w:p>
    <w:p w14:paraId="6A0726F3" w14:textId="77777777" w:rsidR="00653E6C" w:rsidRPr="006C7A52" w:rsidRDefault="00653E6C" w:rsidP="006C7A52">
      <w:pPr>
        <w:spacing w:before="0" w:after="0"/>
        <w:rPr>
          <w:rFonts w:ascii="Arial" w:hAnsi="Arial" w:cs="Arial"/>
        </w:rPr>
      </w:pPr>
      <w:r w:rsidRPr="006C7A52">
        <w:rPr>
          <w:rFonts w:ascii="Arial" w:hAnsi="Arial" w:cs="Arial"/>
          <w:b/>
        </w:rPr>
        <w:t>Contact:</w:t>
      </w:r>
    </w:p>
    <w:p w14:paraId="2F6E3196" w14:textId="77777777" w:rsidR="00653E6C" w:rsidRPr="006C7A52" w:rsidRDefault="00653E6C" w:rsidP="006C7A52">
      <w:pPr>
        <w:pStyle w:val="Contactinfo"/>
        <w:rPr>
          <w:rFonts w:cs="Arial"/>
          <w:sz w:val="24"/>
          <w:szCs w:val="24"/>
        </w:rPr>
      </w:pPr>
    </w:p>
    <w:tbl>
      <w:tblPr>
        <w:tblW w:w="10890" w:type="dxa"/>
        <w:tblInd w:w="-90" w:type="dxa"/>
        <w:tblLayout w:type="fixed"/>
        <w:tblLook w:val="00A0" w:firstRow="1" w:lastRow="0" w:firstColumn="1" w:lastColumn="0" w:noHBand="0" w:noVBand="0"/>
      </w:tblPr>
      <w:tblGrid>
        <w:gridCol w:w="3330"/>
        <w:gridCol w:w="3420"/>
        <w:gridCol w:w="4140"/>
      </w:tblGrid>
      <w:tr w:rsidR="00AC1EC6" w:rsidRPr="00601FE0" w14:paraId="0B2084F7" w14:textId="77777777" w:rsidTr="00653E6C">
        <w:trPr>
          <w:trHeight w:val="1143"/>
        </w:trPr>
        <w:tc>
          <w:tcPr>
            <w:tcW w:w="3330" w:type="dxa"/>
          </w:tcPr>
          <w:p w14:paraId="31712441" w14:textId="77777777" w:rsidR="00653E6C" w:rsidRPr="00653E6C" w:rsidRDefault="00653E6C" w:rsidP="006C7A52">
            <w:pPr>
              <w:spacing w:before="0" w:after="0"/>
              <w:rPr>
                <w:rFonts w:ascii="Arial" w:hAnsi="Arial" w:cs="Arial"/>
                <w:sz w:val="21"/>
                <w:szCs w:val="21"/>
                <w:lang w:val="fr-FR"/>
              </w:rPr>
            </w:pPr>
            <w:r w:rsidRPr="00653E6C">
              <w:rPr>
                <w:rFonts w:ascii="Arial" w:eastAsia="Arial" w:hAnsi="Arial" w:cs="Arial"/>
                <w:sz w:val="21"/>
                <w:szCs w:val="21"/>
                <w:lang w:val="fr-FR"/>
              </w:rPr>
              <w:t>Charles Maglione, Partner</w:t>
            </w:r>
          </w:p>
          <w:p w14:paraId="5C88A681" w14:textId="77777777" w:rsidR="00653E6C" w:rsidRPr="00653E6C" w:rsidRDefault="00653E6C" w:rsidP="006C7A52">
            <w:pPr>
              <w:spacing w:before="0" w:after="0"/>
              <w:rPr>
                <w:rFonts w:ascii="Arial" w:hAnsi="Arial" w:cs="Arial"/>
                <w:sz w:val="21"/>
                <w:szCs w:val="21"/>
                <w:lang w:val="fr-FR"/>
              </w:rPr>
            </w:pPr>
            <w:r w:rsidRPr="00653E6C">
              <w:rPr>
                <w:rFonts w:ascii="Arial" w:eastAsia="Arial" w:hAnsi="Arial" w:cs="Arial"/>
                <w:sz w:val="21"/>
                <w:szCs w:val="21"/>
                <w:lang w:val="fr-FR"/>
              </w:rPr>
              <w:t>703.431.1983</w:t>
            </w:r>
          </w:p>
          <w:p w14:paraId="01689B5A" w14:textId="77777777" w:rsidR="00653E6C" w:rsidRPr="00653E6C" w:rsidRDefault="00000000" w:rsidP="00070D86">
            <w:pPr>
              <w:spacing w:before="0" w:after="0"/>
              <w:rPr>
                <w:rFonts w:cs="Arial"/>
                <w:sz w:val="21"/>
                <w:szCs w:val="21"/>
                <w:lang w:val="fr-FR"/>
              </w:rPr>
            </w:pPr>
            <w:hyperlink r:id="rId14">
              <w:r w:rsidR="00653E6C" w:rsidRPr="00653E6C">
                <w:rPr>
                  <w:rFonts w:ascii="Arial" w:hAnsi="Arial" w:cs="Arial"/>
                  <w:b/>
                  <w:sz w:val="21"/>
                  <w:szCs w:val="21"/>
                  <w:u w:val="single" w:color="93D500" w:themeColor="accent1"/>
                  <w:lang w:val="fr-FR"/>
                </w:rPr>
                <w:t>cmaglione@guidehouse.com</w:t>
              </w:r>
            </w:hyperlink>
          </w:p>
        </w:tc>
        <w:tc>
          <w:tcPr>
            <w:tcW w:w="3420" w:type="dxa"/>
          </w:tcPr>
          <w:p w14:paraId="251C822C" w14:textId="77777777" w:rsidR="00653E6C" w:rsidRPr="00653E6C" w:rsidRDefault="00653E6C" w:rsidP="006C7A52">
            <w:pPr>
              <w:spacing w:before="0" w:after="0"/>
              <w:rPr>
                <w:rFonts w:ascii="Arial" w:hAnsi="Arial" w:cs="Arial"/>
                <w:sz w:val="21"/>
                <w:szCs w:val="21"/>
              </w:rPr>
            </w:pPr>
            <w:r w:rsidRPr="00653E6C">
              <w:rPr>
                <w:rFonts w:ascii="Arial" w:hAnsi="Arial" w:cs="Arial"/>
                <w:sz w:val="21"/>
                <w:szCs w:val="21"/>
              </w:rPr>
              <w:t>Jeff Erickson, Director</w:t>
            </w:r>
          </w:p>
          <w:p w14:paraId="51BA877C" w14:textId="77777777" w:rsidR="00653E6C" w:rsidRPr="00653E6C" w:rsidRDefault="00653E6C" w:rsidP="006C7A52">
            <w:pPr>
              <w:spacing w:before="0" w:after="0"/>
              <w:rPr>
                <w:rFonts w:ascii="Arial" w:hAnsi="Arial" w:cs="Arial"/>
                <w:sz w:val="21"/>
                <w:szCs w:val="21"/>
              </w:rPr>
            </w:pPr>
            <w:r w:rsidRPr="00653E6C">
              <w:rPr>
                <w:rFonts w:ascii="Arial" w:hAnsi="Arial" w:cs="Arial"/>
                <w:sz w:val="21"/>
                <w:szCs w:val="21"/>
              </w:rPr>
              <w:t>608.616.4962</w:t>
            </w:r>
          </w:p>
          <w:p w14:paraId="7BEC798C" w14:textId="77777777" w:rsidR="00653E6C" w:rsidRPr="00653E6C" w:rsidRDefault="00000000" w:rsidP="006C7A52">
            <w:pPr>
              <w:spacing w:before="0" w:after="0"/>
              <w:rPr>
                <w:rFonts w:ascii="Arial" w:hAnsi="Arial" w:cs="Arial"/>
                <w:sz w:val="21"/>
                <w:szCs w:val="21"/>
                <w:u w:color="93D500" w:themeColor="accent1"/>
              </w:rPr>
            </w:pPr>
            <w:hyperlink r:id="rId15" w:history="1">
              <w:r w:rsidR="00653E6C" w:rsidRPr="00653E6C">
                <w:rPr>
                  <w:rFonts w:ascii="Arial" w:hAnsi="Arial" w:cs="Arial"/>
                  <w:b/>
                  <w:sz w:val="21"/>
                  <w:szCs w:val="21"/>
                  <w:u w:val="single" w:color="93D500" w:themeColor="accent1"/>
                </w:rPr>
                <w:t>jeff.erickson@guidehouse.com</w:t>
              </w:r>
            </w:hyperlink>
          </w:p>
        </w:tc>
        <w:tc>
          <w:tcPr>
            <w:tcW w:w="4140" w:type="dxa"/>
          </w:tcPr>
          <w:p w14:paraId="39FFDBC2" w14:textId="77777777" w:rsidR="00653E6C" w:rsidRPr="00653E6C" w:rsidRDefault="00653E6C" w:rsidP="00653E6C">
            <w:pPr>
              <w:spacing w:before="0" w:after="0"/>
              <w:rPr>
                <w:rFonts w:ascii="Arial" w:hAnsi="Arial" w:cs="Arial"/>
                <w:sz w:val="21"/>
                <w:szCs w:val="21"/>
              </w:rPr>
            </w:pPr>
            <w:r w:rsidRPr="00653E6C">
              <w:rPr>
                <w:rFonts w:ascii="Arial" w:hAnsi="Arial" w:cs="Arial"/>
                <w:sz w:val="21"/>
                <w:szCs w:val="21"/>
              </w:rPr>
              <w:t>Nishant Mehta, Associate Director</w:t>
            </w:r>
          </w:p>
          <w:p w14:paraId="279E6A89" w14:textId="77777777" w:rsidR="00653E6C" w:rsidRPr="00653E6C" w:rsidRDefault="00653E6C" w:rsidP="00653E6C">
            <w:pPr>
              <w:spacing w:before="0" w:after="0"/>
              <w:rPr>
                <w:rFonts w:ascii="Arial" w:hAnsi="Arial" w:cs="Arial"/>
                <w:sz w:val="21"/>
                <w:szCs w:val="21"/>
              </w:rPr>
            </w:pPr>
            <w:r w:rsidRPr="00653E6C">
              <w:rPr>
                <w:rFonts w:ascii="Arial" w:hAnsi="Arial" w:cs="Arial"/>
                <w:sz w:val="21"/>
                <w:szCs w:val="21"/>
              </w:rPr>
              <w:t>608.616.5823</w:t>
            </w:r>
          </w:p>
          <w:p w14:paraId="0369C112" w14:textId="77777777" w:rsidR="00653E6C" w:rsidRPr="00653E6C" w:rsidRDefault="00000000" w:rsidP="00653E6C">
            <w:pPr>
              <w:spacing w:before="0" w:after="0"/>
              <w:rPr>
                <w:rFonts w:ascii="Arial" w:hAnsi="Arial" w:cs="Arial"/>
                <w:sz w:val="21"/>
                <w:szCs w:val="21"/>
              </w:rPr>
            </w:pPr>
            <w:hyperlink r:id="rId16" w:history="1">
              <w:r w:rsidR="00653E6C" w:rsidRPr="00653E6C">
                <w:rPr>
                  <w:rFonts w:ascii="Arial" w:hAnsi="Arial" w:cs="Arial"/>
                  <w:b/>
                  <w:sz w:val="21"/>
                  <w:szCs w:val="21"/>
                  <w:u w:val="single" w:color="93D500" w:themeColor="accent1"/>
                </w:rPr>
                <w:t>nishant.mehta@guidehouse.com</w:t>
              </w:r>
            </w:hyperlink>
          </w:p>
        </w:tc>
      </w:tr>
    </w:tbl>
    <w:p w14:paraId="7999BEC2" w14:textId="77777777" w:rsidR="00653E6C" w:rsidRPr="00CE32C9" w:rsidRDefault="00653E6C" w:rsidP="00AC1EC6">
      <w:pPr>
        <w:pStyle w:val="Contactinfo"/>
        <w:rPr>
          <w:rFonts w:cs="Arial"/>
          <w:sz w:val="20"/>
        </w:rPr>
      </w:pPr>
    </w:p>
    <w:p w14:paraId="1A38202D" w14:textId="77777777" w:rsidR="00653E6C" w:rsidRPr="00CE32C9" w:rsidRDefault="00653E6C" w:rsidP="00AC1EC6">
      <w:pPr>
        <w:rPr>
          <w:rFonts w:ascii="Arial" w:hAnsi="Arial" w:cs="Arial"/>
          <w:sz w:val="20"/>
          <w:szCs w:val="20"/>
        </w:rPr>
      </w:pPr>
      <w:r w:rsidRPr="00CE32C9">
        <w:rPr>
          <w:rFonts w:ascii="Arial" w:hAnsi="Arial" w:cs="Arial"/>
          <w:sz w:val="20"/>
          <w:szCs w:val="20"/>
        </w:rPr>
        <w:t xml:space="preserve">This report was prepared by Guidehouse for ComEd. The work presented in this report represents </w:t>
      </w:r>
      <w:proofErr w:type="spellStart"/>
      <w:r w:rsidRPr="00CE32C9">
        <w:rPr>
          <w:rFonts w:ascii="Arial" w:hAnsi="Arial" w:cs="Arial"/>
          <w:sz w:val="20"/>
          <w:szCs w:val="20"/>
        </w:rPr>
        <w:t>Guidehouse’s</w:t>
      </w:r>
      <w:proofErr w:type="spellEnd"/>
      <w:r w:rsidRPr="00CE32C9">
        <w:rPr>
          <w:rFonts w:ascii="Arial" w:hAnsi="Arial" w:cs="Arial"/>
          <w:sz w:val="20"/>
          <w:szCs w:val="20"/>
        </w:rPr>
        <w:t xml:space="preserve">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6371006" w14:textId="77777777" w:rsidR="00653E6C" w:rsidRPr="00CE32C9" w:rsidRDefault="00653E6C">
      <w:pPr>
        <w:rPr>
          <w:rFonts w:ascii="Arial" w:hAnsi="Arial" w:cs="Arial"/>
          <w:sz w:val="20"/>
          <w:szCs w:val="20"/>
        </w:rPr>
      </w:pPr>
    </w:p>
    <w:p w14:paraId="396EA06E" w14:textId="77777777" w:rsidR="00653E6C" w:rsidRDefault="00653E6C">
      <w:pPr>
        <w:suppressAutoHyphens w:val="0"/>
        <w:spacing w:before="0" w:after="0"/>
      </w:pPr>
    </w:p>
    <w:p w14:paraId="640D6550" w14:textId="77777777" w:rsidR="00653E6C" w:rsidRDefault="00653E6C">
      <w:pPr>
        <w:suppressAutoHyphens w:val="0"/>
        <w:spacing w:before="0" w:after="0"/>
        <w:rPr>
          <w:rFonts w:ascii="Arial" w:eastAsia="Calibri" w:hAnsi="Arial"/>
          <w:b/>
          <w:i/>
          <w:sz w:val="44"/>
          <w:szCs w:val="22"/>
        </w:rPr>
        <w:sectPr w:rsidR="00653E6C" w:rsidSect="00505176">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70F4A798" w14:textId="77777777" w:rsidR="00653E6C" w:rsidRDefault="00653E6C" w:rsidP="00950992">
      <w:pPr>
        <w:pStyle w:val="TOCHeading"/>
      </w:pPr>
      <w:r>
        <w:lastRenderedPageBreak/>
        <w:t>Table of Contents</w:t>
      </w:r>
      <w:bookmarkEnd w:id="1"/>
      <w:bookmarkEnd w:id="2"/>
    </w:p>
    <w:p w14:paraId="74CE63E2" w14:textId="77777777" w:rsidR="00653E6C" w:rsidRDefault="00653E6C">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2CDAC412" w14:textId="77777777" w:rsidR="00653E6C" w:rsidRDefault="00000000">
      <w:pPr>
        <w:pStyle w:val="TOC1"/>
        <w:rPr>
          <w:rFonts w:asciiTheme="minorHAnsi" w:eastAsiaTheme="minorEastAsia" w:hAnsiTheme="minorHAnsi" w:cstheme="minorBidi"/>
          <w:b w:val="0"/>
          <w:noProof/>
          <w:kern w:val="2"/>
          <w14:ligatures w14:val="standardContextual"/>
        </w:rPr>
      </w:pPr>
      <w:hyperlink w:anchor="_Toc187399542" w:history="1">
        <w:r w:rsidR="00653E6C" w:rsidRPr="0096315A">
          <w:rPr>
            <w:rStyle w:val="Hyperlink"/>
            <w:noProof/>
          </w:rPr>
          <w:t>Program Savings Detail</w:t>
        </w:r>
        <w:r w:rsidR="00653E6C">
          <w:rPr>
            <w:noProof/>
            <w:webHidden/>
          </w:rPr>
          <w:tab/>
        </w:r>
        <w:r w:rsidR="00653E6C">
          <w:rPr>
            <w:noProof/>
            <w:webHidden/>
          </w:rPr>
          <w:fldChar w:fldCharType="begin"/>
        </w:r>
        <w:r w:rsidR="00653E6C">
          <w:rPr>
            <w:noProof/>
            <w:webHidden/>
          </w:rPr>
          <w:instrText xml:space="preserve"> PAGEREF _Toc187399542 \h </w:instrText>
        </w:r>
        <w:r w:rsidR="00653E6C">
          <w:rPr>
            <w:noProof/>
            <w:webHidden/>
          </w:rPr>
        </w:r>
        <w:r w:rsidR="00653E6C">
          <w:rPr>
            <w:noProof/>
            <w:webHidden/>
          </w:rPr>
          <w:fldChar w:fldCharType="separate"/>
        </w:r>
        <w:r w:rsidR="00653E6C">
          <w:rPr>
            <w:noProof/>
            <w:webHidden/>
          </w:rPr>
          <w:t>1</w:t>
        </w:r>
        <w:r w:rsidR="00653E6C">
          <w:rPr>
            <w:noProof/>
            <w:webHidden/>
          </w:rPr>
          <w:fldChar w:fldCharType="end"/>
        </w:r>
      </w:hyperlink>
    </w:p>
    <w:p w14:paraId="5FA0C0D3" w14:textId="77777777" w:rsidR="00653E6C" w:rsidRDefault="00000000">
      <w:pPr>
        <w:pStyle w:val="TOC1"/>
        <w:rPr>
          <w:rFonts w:asciiTheme="minorHAnsi" w:eastAsiaTheme="minorEastAsia" w:hAnsiTheme="minorHAnsi" w:cstheme="minorBidi"/>
          <w:b w:val="0"/>
          <w:noProof/>
          <w:kern w:val="2"/>
          <w14:ligatures w14:val="standardContextual"/>
        </w:rPr>
      </w:pPr>
      <w:hyperlink w:anchor="_Toc187399543" w:history="1">
        <w:r w:rsidR="00653E6C" w:rsidRPr="0096315A">
          <w:rPr>
            <w:rStyle w:val="Hyperlink"/>
            <w:noProof/>
          </w:rPr>
          <w:t>Cumulative Persisting Annual Savings</w:t>
        </w:r>
        <w:r w:rsidR="00653E6C">
          <w:rPr>
            <w:noProof/>
            <w:webHidden/>
          </w:rPr>
          <w:tab/>
        </w:r>
        <w:r w:rsidR="00653E6C">
          <w:rPr>
            <w:noProof/>
            <w:webHidden/>
          </w:rPr>
          <w:fldChar w:fldCharType="begin"/>
        </w:r>
        <w:r w:rsidR="00653E6C">
          <w:rPr>
            <w:noProof/>
            <w:webHidden/>
          </w:rPr>
          <w:instrText xml:space="preserve"> PAGEREF _Toc187399543 \h </w:instrText>
        </w:r>
        <w:r w:rsidR="00653E6C">
          <w:rPr>
            <w:noProof/>
            <w:webHidden/>
          </w:rPr>
        </w:r>
        <w:r w:rsidR="00653E6C">
          <w:rPr>
            <w:noProof/>
            <w:webHidden/>
          </w:rPr>
          <w:fldChar w:fldCharType="separate"/>
        </w:r>
        <w:r w:rsidR="00653E6C">
          <w:rPr>
            <w:noProof/>
            <w:webHidden/>
          </w:rPr>
          <w:t>4</w:t>
        </w:r>
        <w:r w:rsidR="00653E6C">
          <w:rPr>
            <w:noProof/>
            <w:webHidden/>
          </w:rPr>
          <w:fldChar w:fldCharType="end"/>
        </w:r>
      </w:hyperlink>
    </w:p>
    <w:p w14:paraId="35125A23" w14:textId="77777777" w:rsidR="00653E6C" w:rsidRDefault="00653E6C">
      <w:pPr>
        <w:pStyle w:val="GHBodytext"/>
      </w:pPr>
      <w:r>
        <w:fldChar w:fldCharType="end"/>
      </w:r>
    </w:p>
    <w:p w14:paraId="1C18B161" w14:textId="77777777" w:rsidR="00653E6C" w:rsidRPr="00FA4A7C" w:rsidRDefault="00653E6C" w:rsidP="00FA4A7C">
      <w:pPr>
        <w:pStyle w:val="GHTOC"/>
      </w:pPr>
      <w:bookmarkStart w:id="3" w:name="_Toc181693456"/>
      <w:bookmarkStart w:id="4" w:name="_Toc181693477"/>
      <w:bookmarkStart w:id="5" w:name="_Toc186529826"/>
      <w:r>
        <w:t>List of Figures</w:t>
      </w:r>
      <w:bookmarkEnd w:id="3"/>
      <w:bookmarkEnd w:id="4"/>
      <w:bookmarkEnd w:id="5"/>
    </w:p>
    <w:p w14:paraId="7A59A6B5" w14:textId="77777777" w:rsidR="00653E6C" w:rsidRDefault="00653E6C">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Pr>
            <w:noProof/>
            <w:webHidden/>
          </w:rPr>
          <w:t>4</w:t>
        </w:r>
        <w:r>
          <w:rPr>
            <w:noProof/>
            <w:webHidden/>
          </w:rPr>
          <w:fldChar w:fldCharType="end"/>
        </w:r>
      </w:hyperlink>
    </w:p>
    <w:p w14:paraId="5C5D711A" w14:textId="77777777" w:rsidR="00653E6C" w:rsidRDefault="00653E6C" w:rsidP="00FA4A7C">
      <w:pPr>
        <w:pStyle w:val="GHBodytext"/>
        <w:tabs>
          <w:tab w:val="right" w:pos="9360"/>
        </w:tabs>
      </w:pPr>
      <w:r>
        <w:rPr>
          <w:b/>
        </w:rPr>
        <w:fldChar w:fldCharType="end"/>
      </w:r>
    </w:p>
    <w:p w14:paraId="07C8DC53" w14:textId="77777777" w:rsidR="00653E6C" w:rsidRDefault="00653E6C">
      <w:pPr>
        <w:pStyle w:val="GHTOC"/>
      </w:pPr>
      <w:bookmarkStart w:id="6" w:name="_Toc181693457"/>
      <w:bookmarkStart w:id="7" w:name="_Toc181693478"/>
      <w:bookmarkStart w:id="8" w:name="_Toc186529827"/>
      <w:r>
        <w:t>List of Tables</w:t>
      </w:r>
      <w:bookmarkEnd w:id="6"/>
      <w:bookmarkEnd w:id="7"/>
      <w:bookmarkEnd w:id="8"/>
      <w:r>
        <w:t xml:space="preserve"> </w:t>
      </w:r>
    </w:p>
    <w:p w14:paraId="3FB90284" w14:textId="77777777" w:rsidR="00653E6C" w:rsidRDefault="00653E6C">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Pr>
            <w:noProof/>
            <w:webHidden/>
          </w:rPr>
          <w:t>2</w:t>
        </w:r>
        <w:r>
          <w:rPr>
            <w:noProof/>
            <w:webHidden/>
          </w:rPr>
          <w:fldChar w:fldCharType="end"/>
        </w:r>
      </w:hyperlink>
    </w:p>
    <w:p w14:paraId="37A25BCB" w14:textId="77777777" w:rsidR="00653E6C" w:rsidRDefault="00000000">
      <w:pPr>
        <w:pStyle w:val="TableofFigures"/>
        <w:rPr>
          <w:rFonts w:asciiTheme="minorHAnsi" w:eastAsiaTheme="minorEastAsia" w:hAnsiTheme="minorHAnsi" w:cstheme="minorBidi"/>
          <w:noProof/>
          <w:kern w:val="2"/>
          <w14:ligatures w14:val="standardContextual"/>
        </w:rPr>
      </w:pPr>
      <w:hyperlink w:anchor="_Toc187399546" w:history="1">
        <w:r w:rsidR="00653E6C" w:rsidRPr="00F53DC4">
          <w:rPr>
            <w:rStyle w:val="Hyperlink"/>
            <w:noProof/>
          </w:rPr>
          <w:t>Table 2. Incremental Electric Savings – Income Eligible</w:t>
        </w:r>
        <w:r w:rsidR="00653E6C">
          <w:rPr>
            <w:noProof/>
            <w:webHidden/>
          </w:rPr>
          <w:tab/>
        </w:r>
        <w:r w:rsidR="00653E6C">
          <w:rPr>
            <w:noProof/>
            <w:webHidden/>
          </w:rPr>
          <w:fldChar w:fldCharType="begin"/>
        </w:r>
        <w:r w:rsidR="00653E6C">
          <w:rPr>
            <w:noProof/>
            <w:webHidden/>
          </w:rPr>
          <w:instrText xml:space="preserve"> PAGEREF _Toc187399546 \h </w:instrText>
        </w:r>
        <w:r w:rsidR="00653E6C">
          <w:rPr>
            <w:noProof/>
            <w:webHidden/>
          </w:rPr>
        </w:r>
        <w:r w:rsidR="00653E6C">
          <w:rPr>
            <w:noProof/>
            <w:webHidden/>
          </w:rPr>
          <w:fldChar w:fldCharType="separate"/>
        </w:r>
        <w:r w:rsidR="00653E6C">
          <w:rPr>
            <w:noProof/>
            <w:webHidden/>
          </w:rPr>
          <w:t>3</w:t>
        </w:r>
        <w:r w:rsidR="00653E6C">
          <w:rPr>
            <w:noProof/>
            <w:webHidden/>
          </w:rPr>
          <w:fldChar w:fldCharType="end"/>
        </w:r>
      </w:hyperlink>
    </w:p>
    <w:p w14:paraId="6AA84C6A" w14:textId="77777777" w:rsidR="00653E6C" w:rsidRDefault="00000000">
      <w:pPr>
        <w:pStyle w:val="TableofFigures"/>
        <w:rPr>
          <w:rFonts w:asciiTheme="minorHAnsi" w:eastAsiaTheme="minorEastAsia" w:hAnsiTheme="minorHAnsi" w:cstheme="minorBidi"/>
          <w:noProof/>
          <w:kern w:val="2"/>
          <w14:ligatures w14:val="standardContextual"/>
        </w:rPr>
      </w:pPr>
      <w:hyperlink w:anchor="_Toc187399547" w:history="1">
        <w:r w:rsidR="00653E6C" w:rsidRPr="00F53DC4">
          <w:rPr>
            <w:rStyle w:val="Hyperlink"/>
            <w:noProof/>
          </w:rPr>
          <w:t>Table 3. Total Annual Incremental Electric Savings – Non-Income Eligible</w:t>
        </w:r>
        <w:r w:rsidR="00653E6C">
          <w:rPr>
            <w:noProof/>
            <w:webHidden/>
          </w:rPr>
          <w:tab/>
        </w:r>
        <w:r w:rsidR="00653E6C">
          <w:rPr>
            <w:noProof/>
            <w:webHidden/>
          </w:rPr>
          <w:fldChar w:fldCharType="begin"/>
        </w:r>
        <w:r w:rsidR="00653E6C">
          <w:rPr>
            <w:noProof/>
            <w:webHidden/>
          </w:rPr>
          <w:instrText xml:space="preserve"> PAGEREF _Toc187399547 \h </w:instrText>
        </w:r>
        <w:r w:rsidR="00653E6C">
          <w:rPr>
            <w:noProof/>
            <w:webHidden/>
          </w:rPr>
        </w:r>
        <w:r w:rsidR="00653E6C">
          <w:rPr>
            <w:noProof/>
            <w:webHidden/>
          </w:rPr>
          <w:fldChar w:fldCharType="separate"/>
        </w:r>
        <w:r w:rsidR="00653E6C">
          <w:rPr>
            <w:noProof/>
            <w:webHidden/>
          </w:rPr>
          <w:t>3</w:t>
        </w:r>
        <w:r w:rsidR="00653E6C">
          <w:rPr>
            <w:noProof/>
            <w:webHidden/>
          </w:rPr>
          <w:fldChar w:fldCharType="end"/>
        </w:r>
      </w:hyperlink>
    </w:p>
    <w:p w14:paraId="55887E42" w14:textId="77777777" w:rsidR="00653E6C" w:rsidRDefault="00000000">
      <w:pPr>
        <w:pStyle w:val="TableofFigures"/>
        <w:rPr>
          <w:rFonts w:asciiTheme="minorHAnsi" w:eastAsiaTheme="minorEastAsia" w:hAnsiTheme="minorHAnsi" w:cstheme="minorBidi"/>
          <w:noProof/>
          <w:kern w:val="2"/>
          <w14:ligatures w14:val="standardContextual"/>
        </w:rPr>
      </w:pPr>
      <w:hyperlink w:anchor="_Toc187399548" w:history="1">
        <w:r w:rsidR="00653E6C" w:rsidRPr="00F53DC4">
          <w:rPr>
            <w:rStyle w:val="Hyperlink"/>
            <w:noProof/>
          </w:rPr>
          <w:t>Table 4. CPAS – Electric</w:t>
        </w:r>
        <w:r w:rsidR="00653E6C">
          <w:rPr>
            <w:noProof/>
            <w:webHidden/>
          </w:rPr>
          <w:tab/>
        </w:r>
        <w:r w:rsidR="00653E6C">
          <w:rPr>
            <w:noProof/>
            <w:webHidden/>
          </w:rPr>
          <w:fldChar w:fldCharType="begin"/>
        </w:r>
        <w:r w:rsidR="00653E6C">
          <w:rPr>
            <w:noProof/>
            <w:webHidden/>
          </w:rPr>
          <w:instrText xml:space="preserve"> PAGEREF _Toc187399548 \h </w:instrText>
        </w:r>
        <w:r w:rsidR="00653E6C">
          <w:rPr>
            <w:noProof/>
            <w:webHidden/>
          </w:rPr>
        </w:r>
        <w:r w:rsidR="00653E6C">
          <w:rPr>
            <w:noProof/>
            <w:webHidden/>
          </w:rPr>
          <w:fldChar w:fldCharType="separate"/>
        </w:r>
        <w:r w:rsidR="00653E6C">
          <w:rPr>
            <w:noProof/>
            <w:webHidden/>
          </w:rPr>
          <w:t>4</w:t>
        </w:r>
        <w:r w:rsidR="00653E6C">
          <w:rPr>
            <w:noProof/>
            <w:webHidden/>
          </w:rPr>
          <w:fldChar w:fldCharType="end"/>
        </w:r>
      </w:hyperlink>
    </w:p>
    <w:p w14:paraId="70609E90" w14:textId="77777777" w:rsidR="00653E6C" w:rsidRDefault="00000000">
      <w:pPr>
        <w:pStyle w:val="TableofFigures"/>
        <w:rPr>
          <w:rFonts w:asciiTheme="minorHAnsi" w:eastAsiaTheme="minorEastAsia" w:hAnsiTheme="minorHAnsi" w:cstheme="minorBidi"/>
          <w:noProof/>
          <w:kern w:val="2"/>
          <w14:ligatures w14:val="standardContextual"/>
        </w:rPr>
      </w:pPr>
      <w:hyperlink w:anchor="_Toc187399549" w:history="1">
        <w:r w:rsidR="00653E6C" w:rsidRPr="00F53DC4">
          <w:rPr>
            <w:rStyle w:val="Hyperlink"/>
            <w:noProof/>
          </w:rPr>
          <w:t>Table 5. CPAS – Other Fuel (Gas + Propane)</w:t>
        </w:r>
        <w:r w:rsidR="00653E6C">
          <w:rPr>
            <w:noProof/>
            <w:webHidden/>
          </w:rPr>
          <w:tab/>
        </w:r>
        <w:r w:rsidR="00653E6C">
          <w:rPr>
            <w:noProof/>
            <w:webHidden/>
          </w:rPr>
          <w:fldChar w:fldCharType="begin"/>
        </w:r>
        <w:r w:rsidR="00653E6C">
          <w:rPr>
            <w:noProof/>
            <w:webHidden/>
          </w:rPr>
          <w:instrText xml:space="preserve"> PAGEREF _Toc187399549 \h </w:instrText>
        </w:r>
        <w:r w:rsidR="00653E6C">
          <w:rPr>
            <w:noProof/>
            <w:webHidden/>
          </w:rPr>
        </w:r>
        <w:r w:rsidR="00653E6C">
          <w:rPr>
            <w:noProof/>
            <w:webHidden/>
          </w:rPr>
          <w:fldChar w:fldCharType="separate"/>
        </w:r>
        <w:r w:rsidR="00653E6C">
          <w:rPr>
            <w:noProof/>
            <w:webHidden/>
          </w:rPr>
          <w:t>5</w:t>
        </w:r>
        <w:r w:rsidR="00653E6C">
          <w:rPr>
            <w:noProof/>
            <w:webHidden/>
          </w:rPr>
          <w:fldChar w:fldCharType="end"/>
        </w:r>
      </w:hyperlink>
    </w:p>
    <w:p w14:paraId="45AFEC6E" w14:textId="77777777" w:rsidR="00653E6C" w:rsidRDefault="00000000">
      <w:pPr>
        <w:pStyle w:val="TableofFigures"/>
        <w:rPr>
          <w:rFonts w:asciiTheme="minorHAnsi" w:eastAsiaTheme="minorEastAsia" w:hAnsiTheme="minorHAnsi" w:cstheme="minorBidi"/>
          <w:noProof/>
          <w:kern w:val="2"/>
          <w14:ligatures w14:val="standardContextual"/>
        </w:rPr>
      </w:pPr>
      <w:hyperlink w:anchor="_Toc187399550" w:history="1">
        <w:r w:rsidR="00653E6C" w:rsidRPr="00F53DC4">
          <w:rPr>
            <w:rStyle w:val="Hyperlink"/>
            <w:noProof/>
          </w:rPr>
          <w:t>Table 6. CPAS – Total</w:t>
        </w:r>
        <w:r w:rsidR="00653E6C">
          <w:rPr>
            <w:noProof/>
            <w:webHidden/>
          </w:rPr>
          <w:tab/>
        </w:r>
        <w:r w:rsidR="00653E6C">
          <w:rPr>
            <w:noProof/>
            <w:webHidden/>
          </w:rPr>
          <w:fldChar w:fldCharType="begin"/>
        </w:r>
        <w:r w:rsidR="00653E6C">
          <w:rPr>
            <w:noProof/>
            <w:webHidden/>
          </w:rPr>
          <w:instrText xml:space="preserve"> PAGEREF _Toc187399550 \h </w:instrText>
        </w:r>
        <w:r w:rsidR="00653E6C">
          <w:rPr>
            <w:noProof/>
            <w:webHidden/>
          </w:rPr>
        </w:r>
        <w:r w:rsidR="00653E6C">
          <w:rPr>
            <w:noProof/>
            <w:webHidden/>
          </w:rPr>
          <w:fldChar w:fldCharType="separate"/>
        </w:r>
        <w:r w:rsidR="00653E6C">
          <w:rPr>
            <w:noProof/>
            <w:webHidden/>
          </w:rPr>
          <w:t>5</w:t>
        </w:r>
        <w:r w:rsidR="00653E6C">
          <w:rPr>
            <w:noProof/>
            <w:webHidden/>
          </w:rPr>
          <w:fldChar w:fldCharType="end"/>
        </w:r>
      </w:hyperlink>
    </w:p>
    <w:p w14:paraId="090E0404" w14:textId="77777777" w:rsidR="00653E6C" w:rsidRPr="00FA4A7C" w:rsidRDefault="00653E6C" w:rsidP="00FA4A7C">
      <w:r>
        <w:fldChar w:fldCharType="end"/>
      </w:r>
      <w:bookmarkStart w:id="9" w:name="_Toc151371877"/>
      <w:bookmarkStart w:id="10" w:name="_Toc181693463"/>
      <w:bookmarkStart w:id="11" w:name="_Toc181693484"/>
    </w:p>
    <w:p w14:paraId="79BCCEF0" w14:textId="77777777" w:rsidR="00653E6C" w:rsidRDefault="00653E6C">
      <w:pPr>
        <w:suppressAutoHyphens w:val="0"/>
        <w:spacing w:before="0" w:after="0"/>
        <w:rPr>
          <w:rFonts w:ascii="Arial" w:eastAsia="Calibri" w:hAnsi="Arial"/>
          <w:b/>
          <w:sz w:val="32"/>
          <w:szCs w:val="22"/>
        </w:rPr>
        <w:sectPr w:rsidR="00653E6C" w:rsidSect="00C93763">
          <w:pgSz w:w="12240" w:h="15840" w:code="1"/>
          <w:pgMar w:top="1440" w:right="1440" w:bottom="1440" w:left="1440" w:header="720" w:footer="720" w:gutter="0"/>
          <w:pgNumType w:start="1"/>
          <w:cols w:space="720"/>
          <w:docGrid w:linePitch="360"/>
        </w:sectPr>
      </w:pPr>
    </w:p>
    <w:p w14:paraId="5B5BC3F3" w14:textId="77777777" w:rsidR="00653E6C" w:rsidRDefault="00653E6C" w:rsidP="00C93763">
      <w:pPr>
        <w:pStyle w:val="Heading10"/>
      </w:pPr>
      <w:bookmarkStart w:id="12" w:name="_Toc151976667"/>
      <w:bookmarkStart w:id="13" w:name="_Toc187399541"/>
      <w:bookmarkEnd w:id="9"/>
      <w:bookmarkEnd w:id="10"/>
      <w:bookmarkEnd w:id="11"/>
      <w:r>
        <w:lastRenderedPageBreak/>
        <w:t>Introduction</w:t>
      </w:r>
      <w:bookmarkEnd w:id="12"/>
      <w:bookmarkEnd w:id="13"/>
    </w:p>
    <w:p w14:paraId="6A79175E" w14:textId="77777777" w:rsidR="00653E6C" w:rsidRPr="00D937E4" w:rsidRDefault="00653E6C" w:rsidP="00653E6C">
      <w:pPr>
        <w:pStyle w:val="BodyText"/>
      </w:pPr>
      <w:r w:rsidRPr="00F64B8B">
        <w:t xml:space="preserve">This report presents </w:t>
      </w:r>
      <w:r>
        <w:t>the results of the impact evaluation of the Incentives program from the program year from January 1 to December 31, 2024 (CY2024)</w:t>
      </w:r>
      <w:r w:rsidRPr="00B52A58">
        <w:t xml:space="preserve">. </w:t>
      </w:r>
      <w:r>
        <w:t xml:space="preserve">The program was designed to provide monetary incentives to business and public sector customers that installed qualified EE improvements in their facilities. The incentive is offered on either a fixed per-unit basis (“standard”) or determined based on the calculated annual energy savings (“custom”). Standard measures have savings algorithms based on the IL-TRM. Custom measures are not in the IL-TRM and are identified and implemented based on site-specific factors. ComEd provides technical assistance for select projects to assist in the evaluation and implementation of custom EE projects.  </w:t>
      </w:r>
    </w:p>
    <w:p w14:paraId="42826609" w14:textId="77777777" w:rsidR="00653E6C" w:rsidRDefault="00653E6C" w:rsidP="00C93763">
      <w:pPr>
        <w:pStyle w:val="Heading10"/>
      </w:pPr>
      <w:bookmarkStart w:id="14" w:name="_Toc151976668"/>
      <w:bookmarkStart w:id="15" w:name="_Toc187399542"/>
      <w:r>
        <w:t>Program Savings Detail</w:t>
      </w:r>
      <w:bookmarkEnd w:id="14"/>
      <w:bookmarkEnd w:id="15"/>
    </w:p>
    <w:bookmarkStart w:id="16" w:name="_Hlk117035428"/>
    <w:p w14:paraId="1F914EE6" w14:textId="77777777" w:rsidR="00653E6C" w:rsidRDefault="00653E6C"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6"/>
      <w:r w:rsidRPr="008E2DD7">
        <w:t xml:space="preserve"> summarizes the incremental energy and demand savings the</w:t>
      </w:r>
      <w:r>
        <w:t xml:space="preserve"> Incentives</w:t>
      </w:r>
      <w:r w:rsidRPr="008E2DD7">
        <w:t xml:space="preserve"> Program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1"/>
      </w:r>
      <w:r w:rsidRPr="008E2DD7">
        <w:t xml:space="preserve"> The electrification savings are those </w:t>
      </w:r>
      <w:r w:rsidRPr="00405107">
        <w:t>resulting from electrification measures</w:t>
      </w:r>
      <w:r w:rsidRPr="008E2DD7">
        <w:t>.</w:t>
      </w:r>
      <w:r w:rsidRPr="008E2DD7">
        <w:rPr>
          <w:rStyle w:val="FootnoteReference"/>
        </w:rPr>
        <w:footnoteReference w:id="2"/>
      </w:r>
    </w:p>
    <w:p w14:paraId="248C890D" w14:textId="77777777" w:rsidR="00653E6C" w:rsidRDefault="00653E6C" w:rsidP="008E6C5F">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87399545"/>
      <w:r>
        <w:t xml:space="preserve">Table </w:t>
      </w:r>
      <w:r>
        <w:fldChar w:fldCharType="begin"/>
      </w:r>
      <w:r>
        <w:instrText>SEQ Table \* ARABIC</w:instrText>
      </w:r>
      <w:r>
        <w:fldChar w:fldCharType="separate"/>
      </w:r>
      <w:r>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0" w:type="pct"/>
        <w:jc w:val="center"/>
        <w:tblLook w:val="0420" w:firstRow="1" w:lastRow="0" w:firstColumn="0" w:lastColumn="0" w:noHBand="0" w:noVBand="1"/>
      </w:tblPr>
      <w:tblGrid>
        <w:gridCol w:w="2008"/>
        <w:gridCol w:w="325"/>
        <w:gridCol w:w="990"/>
        <w:gridCol w:w="1078"/>
        <w:gridCol w:w="986"/>
        <w:gridCol w:w="1012"/>
        <w:gridCol w:w="1005"/>
        <w:gridCol w:w="1005"/>
        <w:gridCol w:w="951"/>
      </w:tblGrid>
      <w:tr w:rsidR="00C71393" w14:paraId="00C18898"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7273B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7CF067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C37867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92DE2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05F408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13C324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D62559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07B573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6CE3B3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C71393" w14:paraId="6FB889CD"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1DA4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F36E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9776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244,448,038</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7B66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DD93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245,426,131</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033BF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0.88</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F7D6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A544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0C1D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215,032,938</w:t>
            </w:r>
          </w:p>
        </w:tc>
      </w:tr>
      <w:tr w:rsidR="00C71393" w14:paraId="077EC428"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8B689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96C0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1772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61,115,575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5A2C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2BDA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75,699,033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6298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75788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E908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AE2E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r>
      <w:tr w:rsidR="00C71393" w14:paraId="121F308F"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7F405" w14:textId="2740E562"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(electrification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9343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4F80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ADF8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3F365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43C5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C7B5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3FA3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D1F7E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5,526</w:t>
            </w:r>
          </w:p>
        </w:tc>
      </w:tr>
      <w:tr w:rsidR="00C71393" w14:paraId="0800902D"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68BCE" w14:textId="7F0DD7F0"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Indirect from Electrification (efficiency </w:t>
            </w:r>
            <w:proofErr w:type="gramStart"/>
            <w:r>
              <w:rPr>
                <w:rFonts w:ascii="Arial" w:eastAsia="DejaVu Sans" w:hAnsi="DejaVu Sans" w:cs="DejaVu Sans"/>
                <w:color w:val="000000"/>
                <w:sz w:val="14"/>
                <w:szCs w:val="14"/>
              </w:rPr>
              <w:t>baseline)|</w:t>
            </w:r>
            <w:proofErr w:type="gramEnd"/>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E49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56AD7"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0A9A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A171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4542E"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E0A3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A4E27"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4EFCE"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C71393" w14:paraId="6173B097"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7B5C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4C22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8EA2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305,573,472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B6C1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DFEA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321,135,032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E255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BD6B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A35B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A906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282,047,343</w:t>
            </w:r>
          </w:p>
        </w:tc>
      </w:tr>
      <w:tr w:rsidR="00C71393" w14:paraId="285A4415"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A68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8A41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BBDC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305,573,472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D4B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AA25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321,135,032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1DF8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84F3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4251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80702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282,047,343</w:t>
            </w:r>
          </w:p>
        </w:tc>
      </w:tr>
      <w:tr w:rsidR="00C71393" w14:paraId="7F3152F4"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2A5E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38BA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22FE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44,467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13C83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F5D5E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42,816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1AED2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9F2C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B27EF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BD09E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39,483</w:t>
            </w:r>
          </w:p>
        </w:tc>
      </w:tr>
      <w:tr w:rsidR="00C71393" w14:paraId="78E8BB54"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4866C2" w14:textId="7914F06B"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9AEDB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9EDCD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44,467</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8A65D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0.96</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571C51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42,816</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A3EBD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9B45B7"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CE303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1C39F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39,483</w:t>
            </w:r>
          </w:p>
        </w:tc>
      </w:tr>
    </w:tbl>
    <w:p w14:paraId="13677670" w14:textId="77777777" w:rsidR="00653E6C" w:rsidRPr="0085537E" w:rsidRDefault="00653E6C" w:rsidP="00C25FD6">
      <w:pPr>
        <w:pStyle w:val="TableFigureNote"/>
      </w:pPr>
      <w:r w:rsidRPr="0085537E">
        <w:lastRenderedPageBreak/>
        <w:t>N/A = not applicable (refers to a piece of data that cannot be produced or does not apply).</w:t>
      </w:r>
    </w:p>
    <w:p w14:paraId="03374FFA" w14:textId="77777777" w:rsidR="00653E6C" w:rsidRDefault="00653E6C"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7C03E084" w14:textId="77777777" w:rsidR="00653E6C" w:rsidRDefault="00653E6C"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3BC918B9" w14:textId="77777777" w:rsidR="00653E6C" w:rsidRDefault="00653E6C"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2CC649D9" w14:textId="77777777" w:rsidR="00653E6C" w:rsidRDefault="00653E6C" w:rsidP="00C25FD6">
      <w:pPr>
        <w:pStyle w:val="TableFigureNote"/>
      </w:pPr>
      <w:r>
        <w:t xml:space="preserve">§ Gas savings converted to kWh by multiplying </w:t>
      </w:r>
      <w:proofErr w:type="spellStart"/>
      <w:r>
        <w:t>Therms</w:t>
      </w:r>
      <w:proofErr w:type="spellEnd"/>
      <w:r>
        <w:t xml:space="preserve"> * 29.31 (which is based on 100,000 Btu/</w:t>
      </w:r>
      <w:proofErr w:type="spellStart"/>
      <w:r>
        <w:t>Therm</w:t>
      </w:r>
      <w:proofErr w:type="spellEnd"/>
      <w:r>
        <w:t xml:space="preserve"> and 3,412 Btu/kWh). The evaluation team will determine which gas savings will be converted to kWh and counted toward </w:t>
      </w:r>
      <w:proofErr w:type="spellStart"/>
      <w:r>
        <w:t>ComEd's</w:t>
      </w:r>
      <w:proofErr w:type="spellEnd"/>
      <w:r>
        <w:t xml:space="preserve"> electric savings goal while producing the portfolio-wide Summary Report. </w:t>
      </w:r>
    </w:p>
    <w:p w14:paraId="4E0BDF1A" w14:textId="77777777" w:rsidR="00653E6C" w:rsidRDefault="00653E6C"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w:t>
      </w:r>
      <w:proofErr w:type="spellStart"/>
      <w:r>
        <w:t>ComEd’s</w:t>
      </w:r>
      <w:proofErr w:type="spellEnd"/>
      <w:r>
        <w:t xml:space="preserve"> electric savings goal (applied to only midstream programs).</w:t>
      </w:r>
      <w:r>
        <w:rPr>
          <w:rStyle w:val="FootnoteReference"/>
        </w:rPr>
        <w:footnoteReference w:id="3"/>
      </w:r>
      <w:r>
        <w:t xml:space="preserve"> The evaluation team determined which electrification savings are allocated toward </w:t>
      </w:r>
      <w:proofErr w:type="spellStart"/>
      <w:r>
        <w:t>ComEd's</w:t>
      </w:r>
      <w:proofErr w:type="spellEnd"/>
      <w:r>
        <w:t xml:space="preserve"> electrification savings goal, and which portion of electrification are converted to traditional efficiency electric savings based on analysis of portfolio-wide verified savings.</w:t>
      </w:r>
    </w:p>
    <w:p w14:paraId="387AB70C" w14:textId="77777777" w:rsidR="00653E6C" w:rsidRDefault="00653E6C"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56CD0F97" w14:textId="77777777" w:rsidR="00653E6C" w:rsidRDefault="00653E6C"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13DBF198" w14:textId="77777777" w:rsidR="00653E6C" w:rsidRDefault="00653E6C" w:rsidP="00C25FD6">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4"/>
      </w:r>
    </w:p>
    <w:p w14:paraId="77D0109C" w14:textId="77777777" w:rsidR="00653E6C" w:rsidRPr="008812EE" w:rsidRDefault="00653E6C" w:rsidP="00E003DD">
      <w:pPr>
        <w:pStyle w:val="TableFigureSource"/>
      </w:pPr>
      <w:r w:rsidRPr="008812EE">
        <w:t>Source: Evaluation team analysis</w:t>
      </w:r>
    </w:p>
    <w:p w14:paraId="041A19F3" w14:textId="77777777" w:rsidR="00653E6C" w:rsidRDefault="00653E6C" w:rsidP="001113BE">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78623AB1" w14:textId="77777777" w:rsidR="00653E6C" w:rsidRDefault="00653E6C" w:rsidP="001617A4">
      <w:pPr>
        <w:pStyle w:val="Caption"/>
      </w:pPr>
      <w:bookmarkStart w:id="25" w:name="_Ref117035780"/>
      <w:bookmarkStart w:id="26" w:name="_Toc151976678"/>
      <w:bookmarkStart w:id="27" w:name="_Toc187399544"/>
      <w:r>
        <w:lastRenderedPageBreak/>
        <w:t xml:space="preserve">Figure </w:t>
      </w:r>
      <w:r>
        <w:fldChar w:fldCharType="begin"/>
      </w:r>
      <w:r>
        <w:instrText>SEQ Figure \* ARABIC</w:instrText>
      </w:r>
      <w:r>
        <w:fldChar w:fldCharType="separate"/>
      </w:r>
      <w:r>
        <w:rPr>
          <w:noProof/>
        </w:rPr>
        <w:t>1</w:t>
      </w:r>
      <w:r>
        <w:fldChar w:fldCharType="end"/>
      </w:r>
      <w:bookmarkEnd w:id="25"/>
      <w:r>
        <w:t xml:space="preserve">. </w:t>
      </w:r>
      <w:r w:rsidRPr="2221D51B">
        <w:t>Verified Net Savings by Measure – Electric</w:t>
      </w:r>
      <w:bookmarkStart w:id="28" w:name="Figure_1"/>
      <w:bookmarkEnd w:id="26"/>
      <w:bookmarkEnd w:id="27"/>
      <w:bookmarkEnd w:id="28"/>
    </w:p>
    <w:p w14:paraId="6B729A13" w14:textId="77777777" w:rsidR="00C71393" w:rsidRDefault="00653E6C">
      <w:r>
        <w:rPr>
          <w:noProof/>
        </w:rPr>
        <w:drawing>
          <wp:inline distT="0" distB="0" distL="0" distR="0" wp14:anchorId="73B4FAE5" wp14:editId="010A19A8">
            <wp:extent cx="59436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0" cstate="print"/>
                    <a:stretch>
                      <a:fillRect/>
                    </a:stretch>
                  </pic:blipFill>
                  <pic:spPr bwMode="auto">
                    <a:xfrm>
                      <a:off x="0" y="0"/>
                      <a:ext cx="82550" cy="38100"/>
                    </a:xfrm>
                    <a:prstGeom prst="rect">
                      <a:avLst/>
                    </a:prstGeom>
                    <a:noFill/>
                  </pic:spPr>
                </pic:pic>
              </a:graphicData>
            </a:graphic>
          </wp:inline>
        </w:drawing>
      </w:r>
    </w:p>
    <w:p w14:paraId="268DBBD2" w14:textId="77777777" w:rsidR="00653E6C" w:rsidRDefault="00653E6C" w:rsidP="00C25FD6">
      <w:pPr>
        <w:pStyle w:val="TableFigureSource"/>
      </w:pPr>
      <w:r w:rsidRPr="27A43C0E">
        <w:t>Source: Evaluation team analysis</w:t>
      </w:r>
    </w:p>
    <w:p w14:paraId="266B36F1" w14:textId="77777777" w:rsidR="00653E6C" w:rsidRPr="00470CF3" w:rsidRDefault="00653E6C" w:rsidP="00470CF3">
      <w:pPr>
        <w:suppressAutoHyphens w:val="0"/>
        <w:spacing w:before="0" w:after="0"/>
        <w:rPr>
          <w:rFonts w:ascii="Arial" w:hAnsi="Arial"/>
          <w:sz w:val="22"/>
          <w:szCs w:val="20"/>
        </w:rPr>
      </w:pPr>
      <w:r>
        <w:br w:type="page"/>
      </w:r>
    </w:p>
    <w:p w14:paraId="7A27723F" w14:textId="77777777" w:rsidR="00653E6C" w:rsidRDefault="00653E6C" w:rsidP="00C25FD6">
      <w:pPr>
        <w:pStyle w:val="Heading10"/>
        <w:sectPr w:rsidR="00653E6C" w:rsidSect="00C93763">
          <w:pgSz w:w="12240" w:h="15840" w:code="1"/>
          <w:pgMar w:top="1440" w:right="1440" w:bottom="1440" w:left="1440" w:header="720" w:footer="720" w:gutter="0"/>
          <w:pgNumType w:start="1"/>
          <w:cols w:space="720"/>
          <w:docGrid w:linePitch="360"/>
        </w:sectPr>
      </w:pPr>
      <w:bookmarkStart w:id="29" w:name="_Toc151976669"/>
      <w:bookmarkStart w:id="30" w:name="_Toc187399543"/>
    </w:p>
    <w:p w14:paraId="5656CBA7" w14:textId="77777777" w:rsidR="00653E6C" w:rsidRDefault="00653E6C" w:rsidP="00C25FD6">
      <w:pPr>
        <w:pStyle w:val="Heading10"/>
      </w:pPr>
      <w:r>
        <w:lastRenderedPageBreak/>
        <w:t>Cumulative Persisting Annual Savings</w:t>
      </w:r>
      <w:bookmarkEnd w:id="29"/>
      <w:bookmarkEnd w:id="30"/>
    </w:p>
    <w:p w14:paraId="5ACFADBE" w14:textId="77777777" w:rsidR="00653E6C" w:rsidRDefault="00653E6C" w:rsidP="000C5A2F">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to </w:t>
      </w:r>
      <w:r>
        <w:fldChar w:fldCharType="begin"/>
      </w:r>
      <w:r>
        <w:instrText xml:space="preserve"> REF _Ref105417145 \h  \* MERGEFORMAT </w:instrText>
      </w:r>
      <w:r>
        <w:fldChar w:fldCharType="separate"/>
      </w:r>
      <w:r>
        <w:t xml:space="preserve">Table </w:t>
      </w:r>
      <w:r>
        <w:rPr>
          <w:noProof/>
        </w:rPr>
        <w:t>6</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t xml:space="preserve">Table </w:t>
      </w:r>
      <w:r>
        <w:rPr>
          <w:noProof/>
        </w:rPr>
        <w:t>4</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t xml:space="preserve">Table </w:t>
      </w:r>
      <w:r>
        <w:rPr>
          <w:noProof/>
        </w:rPr>
        <w:t>5</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t xml:space="preserve">Table </w:t>
      </w:r>
      <w:r>
        <w:rPr>
          <w:noProof/>
        </w:rPr>
        <w:t>6</w:t>
      </w:r>
      <w:r>
        <w:fldChar w:fldCharType="end"/>
      </w:r>
      <w:r w:rsidRPr="00C752CF">
        <w:t>.</w:t>
      </w:r>
    </w:p>
    <w:p w14:paraId="6C493753" w14:textId="77777777" w:rsidR="00653E6C" w:rsidRDefault="00653E6C" w:rsidP="00944D07">
      <w:pPr>
        <w:pStyle w:val="Caption"/>
      </w:pPr>
      <w:bookmarkStart w:id="31" w:name="_Ref105417109"/>
      <w:bookmarkStart w:id="32" w:name="_Toc159919735"/>
      <w:bookmarkStart w:id="33" w:name="_Toc187399548"/>
      <w:r>
        <w:t xml:space="preserve">Table </w:t>
      </w:r>
      <w:r>
        <w:fldChar w:fldCharType="begin"/>
      </w:r>
      <w:r>
        <w:instrText>SEQ Table \* ARABIC</w:instrText>
      </w:r>
      <w:r>
        <w:fldChar w:fldCharType="separate"/>
      </w:r>
      <w:r>
        <w:rPr>
          <w:noProof/>
        </w:rPr>
        <w:t>4</w:t>
      </w:r>
      <w:r>
        <w:fldChar w:fldCharType="end"/>
      </w:r>
      <w:bookmarkEnd w:id="31"/>
      <w:r>
        <w:t>. CPAS – Electric</w:t>
      </w:r>
      <w:bookmarkStart w:id="34" w:name="Table_4"/>
      <w:bookmarkEnd w:id="32"/>
      <w:bookmarkEnd w:id="33"/>
      <w:bookmarkEnd w:id="34"/>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C71393" w14:paraId="7F3E2A78"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FDC5B2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3A26FB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9A58DD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71393" w14:paraId="6E71BC62"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F0297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748FD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BE95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80E9A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8FD93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78E273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83675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1F24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DA7E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342C7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D9A0EE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3B30B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C923D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71393" w14:paraId="3D3F184C"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54F96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F0E3B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245,435,999</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CFAF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3,008,744,482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57A0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F73F4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34D6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C476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4BE0B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852A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8699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215,038,464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BA5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13,286,423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498B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13,286,423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35E8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13,286,423</w:t>
            </w:r>
          </w:p>
        </w:tc>
      </w:tr>
      <w:tr w:rsidR="00C71393" w14:paraId="3D5A0A9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3E39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8FED3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CB93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21,547,258,083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94E9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311,687,673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8BCC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630,110,771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E70B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965,208,602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27CBB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1,230,883,710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F092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1,457,436,813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E85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1,646,212,181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F25C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1,630,183,961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A77A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1,619,553,151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BE4A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1,600,925,378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ED4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1,553,823,453</w:t>
            </w:r>
          </w:p>
        </w:tc>
      </w:tr>
      <w:tr w:rsidR="00C71393" w14:paraId="6EBDE26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4F42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7904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245,435,999</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7B7C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24,556,002,565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25D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311,687,673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B5376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630,110,771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AD96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965,208,602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362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1,230,883,710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6069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1,457,436,813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85FD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1,646,212,181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60CA4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1,845,222,426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C576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1,632,839,574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252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1,614,211,801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48C0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1,567,109,877</w:t>
            </w:r>
          </w:p>
        </w:tc>
      </w:tr>
      <w:tr w:rsidR="00C71393" w14:paraId="33DB0A3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A38A2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789A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9A2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215,038,464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3290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AE63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F781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E101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2B71F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FA1AA"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A9D28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F0BE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201,752,041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80B2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0FBD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4D966BF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33A4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01B1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B7AD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4B39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AA31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061A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F46DE"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E8E8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E0597"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94F2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16,028,219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FDF76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10,630,811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86C9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18,627,773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B2F6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47,101,925</w:t>
            </w:r>
          </w:p>
        </w:tc>
      </w:tr>
      <w:tr w:rsidR="00C71393" w14:paraId="58817567"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B9C67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0093B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3063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1,861,250,645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64DA1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80EB875"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C74B2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99F6B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9BDB5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3AB6A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7D1B6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16,028,219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90FAE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212,382,851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F5A05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18,627,773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152D8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47,101,925</w:t>
            </w:r>
          </w:p>
        </w:tc>
      </w:tr>
    </w:tbl>
    <w:p w14:paraId="7981E1EE" w14:textId="77777777" w:rsidR="00653E6C" w:rsidRDefault="00653E6C" w:rsidP="00E5723F">
      <w:pPr>
        <w:spacing w:before="0" w:after="0"/>
      </w:pPr>
      <w:bookmarkStart w:id="35" w:name="Table_4_2"/>
      <w:bookmarkEnd w:id="35"/>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71393" w14:paraId="766A6AAA"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C56EC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F37CA4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A587EB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01A8F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BBE30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01281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6C863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66208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FBDE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8DD2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CB8E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1D190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54D01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5C0F4C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7C37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71393" w14:paraId="0E4BB52C"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8ADFE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DCE7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13,280,721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72B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11,289,854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A755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11,289,854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412A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11,289,854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B484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11,289,854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1E3C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11,289,854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C247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10,453,243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005EB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10,395,443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3DAE9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10,286,808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01EE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6,584,333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ED0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6,584,333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D227C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1,994,527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D995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1,805,001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0B5D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1,342,480</w:t>
            </w:r>
          </w:p>
        </w:tc>
      </w:tr>
      <w:tr w:rsidR="00C71393" w14:paraId="6FBB755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720CD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33BE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1,463,469,826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D84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1,413,381,157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33B1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1,246,804,321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DE99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1,045,010,529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848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846,463,699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A40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674,554,570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0803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551,146,810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3CDD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431,358,514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CA7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332,771,977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B05E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254,276,455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F24E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148,644,716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7503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147,114,208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C29F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140,282,981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2AB1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81,491,437</w:t>
            </w:r>
          </w:p>
        </w:tc>
      </w:tr>
      <w:tr w:rsidR="00C71393" w14:paraId="3C16DE6C"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9163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1DC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1,476,750,548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4F38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1,424,671,011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002F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1,258,094,175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EDE6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1,056,300,383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5F37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857,753,553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9B3B2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685,844,424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A511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561,600,053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4CE9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441,753,957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679C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343,058,785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69C77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260,860,788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5FE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155,229,049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98E3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149,108,735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0D43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142,087,982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A9A8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82,833,917</w:t>
            </w:r>
          </w:p>
        </w:tc>
      </w:tr>
      <w:tr w:rsidR="00C71393" w14:paraId="56527D8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FA39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4715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DC08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1,990,867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F8FF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22A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4F010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8793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7EE1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836,611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E30B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57,800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F92F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108,636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5768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3,702,475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000D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DFB9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4,589,805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8EF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189,526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3304F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462,521</w:t>
            </w:r>
          </w:p>
        </w:tc>
      </w:tr>
      <w:tr w:rsidR="00C71393" w14:paraId="13FEE1D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773C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2305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90,353,627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4CA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50,088,669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87A9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166,576,836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2FB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201,793,792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B83E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198,546,830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61285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171,909,129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55542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123,407,759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9CE4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119,788,297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C6F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98,586,537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09F5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78,495,522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C00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105,631,739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5B16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1,530,508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456C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6,831,227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50C76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58,791,544</w:t>
            </w:r>
          </w:p>
        </w:tc>
      </w:tr>
      <w:tr w:rsidR="00C71393" w14:paraId="65D981EE"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2993F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1D8B4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90,359,329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74C68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52,079,536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F141E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166,576,836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79DD0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201,793,792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20885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198,546,830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1C548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171,909,129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E41C8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124,244,370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27648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119,846,096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49324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98,695,172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1B1C2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82,197,997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139A6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105,631,739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17F90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6,120,313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BA541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7,020,753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3803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59,254,065</w:t>
            </w:r>
          </w:p>
        </w:tc>
      </w:tr>
    </w:tbl>
    <w:p w14:paraId="645A657E" w14:textId="77777777" w:rsidR="00653E6C" w:rsidRPr="00944D07" w:rsidRDefault="00653E6C" w:rsidP="00E5723F">
      <w:pPr>
        <w:spacing w:before="0" w:after="0"/>
      </w:pPr>
      <w:bookmarkStart w:id="36" w:name="Table_4_3"/>
      <w:bookmarkEnd w:id="36"/>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71393" w14:paraId="09A84797"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AF4916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37AF53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1DD58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95B61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77A1F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8C719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EF96C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8757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83E0A0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146FA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0D7A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15A01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AC4B1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ACA2B3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E9BA9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71393" w14:paraId="0F565F38"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CF34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50CB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931,621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64CA7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931,621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B78A0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398,399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37F14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398,399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F575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332,388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36100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10ABB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9857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0351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1D81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D07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5F5F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9181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DCF4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52FDB19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8F9B3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19B5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51,425,682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F0374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31,754,807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5C29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24,150,911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6D0E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14,647,242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8202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2,166,893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C65EE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3522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38FA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0A489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8FA3A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86B6A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A153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C8B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78AFD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10DB1EF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24DA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93C0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52,357,303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3FF1B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32,686,428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9D7C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24,549,311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780E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15,045,642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29CE3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2,499,281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86D0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B214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846B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DD642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7C9D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E7143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0098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DD56D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8770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722FC1B5"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40826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7E05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410,859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56C0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E11E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533,222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177B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AE5D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18AE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332,388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AB9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C425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F8E1D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CA25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ED988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195E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1EDA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680F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77405FA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741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AEC2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30,065,755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E2C0A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19,670,875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5A5C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7,603,896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4A3D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9,503,669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E814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12,480,350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B2DC5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1,851,236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B8AA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350C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FDFC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7BEA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B3C2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08D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790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552A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274EC67D"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A2701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1B32E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30,476,614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202058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19,670,875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9AA8F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8,137,118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50EA1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9,503,669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305BF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12,546,361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4467F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2,183,624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54939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AFF30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0B638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F71CC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1797C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26311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37097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73E61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42183DA" w14:textId="77777777" w:rsidR="00653E6C" w:rsidRPr="00C34E77" w:rsidRDefault="00653E6C" w:rsidP="00C25FD6">
      <w:pPr>
        <w:pStyle w:val="TableFigureNote"/>
      </w:pPr>
      <w:r w:rsidRPr="00C34E77">
        <w:rPr>
          <w:rFonts w:eastAsiaTheme="minorEastAsia"/>
        </w:rPr>
        <w:t>† Lifetime savings are the sum of CPAS savings through the EUL.</w:t>
      </w:r>
    </w:p>
    <w:p w14:paraId="64CBFEE3" w14:textId="77777777" w:rsidR="00653E6C" w:rsidRDefault="00653E6C" w:rsidP="00545C04">
      <w:pPr>
        <w:pStyle w:val="TableFigureNote"/>
        <w:keepNext w:val="0"/>
        <w:rPr>
          <w:rFonts w:eastAsiaTheme="minorEastAsia"/>
        </w:rPr>
      </w:pPr>
      <w:r w:rsidRPr="00C34E77">
        <w:rPr>
          <w:rFonts w:eastAsiaTheme="minorEastAsia"/>
        </w:rPr>
        <w:t xml:space="preserve">‡ Historical savings go back to CY2018. </w:t>
      </w:r>
    </w:p>
    <w:p w14:paraId="00FE2941" w14:textId="77777777" w:rsidR="00653E6C" w:rsidRPr="00C34E77" w:rsidRDefault="00653E6C" w:rsidP="00C25FD6">
      <w:pPr>
        <w:pStyle w:val="TableFigureNote"/>
      </w:pPr>
      <w:r w:rsidRPr="00C34E77">
        <w:rPr>
          <w:rFonts w:eastAsiaTheme="minorEastAsia"/>
        </w:rPr>
        <w:t>§ Incremental expiring savings are equal to CPAS Yn-1 - CPAS Yn.</w:t>
      </w:r>
    </w:p>
    <w:p w14:paraId="31814D79" w14:textId="77777777" w:rsidR="00653E6C" w:rsidRPr="00C34E77" w:rsidRDefault="00653E6C" w:rsidP="00C25FD6">
      <w:pPr>
        <w:pStyle w:val="TableFigureNote"/>
      </w:pPr>
      <w:r w:rsidRPr="00C34E77">
        <w:rPr>
          <w:rFonts w:eastAsiaTheme="minorEastAsia"/>
        </w:rPr>
        <w:t>|| Historic incremental expiring savings are equal to Historic CPAS Yn-1 – Historic CPAS Yn.</w:t>
      </w:r>
    </w:p>
    <w:p w14:paraId="4885F0E7" w14:textId="77777777" w:rsidR="00653E6C" w:rsidRPr="00C34E77" w:rsidRDefault="00653E6C"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55779A02" w14:textId="77777777" w:rsidR="00653E6C" w:rsidRDefault="00653E6C" w:rsidP="00C25FD6">
      <w:pPr>
        <w:pStyle w:val="TableFigureSource"/>
      </w:pPr>
      <w:r w:rsidRPr="00B361A6">
        <w:t>Source: Evaluation team analysis</w:t>
      </w:r>
    </w:p>
    <w:p w14:paraId="685C16D7" w14:textId="77777777" w:rsidR="00653E6C" w:rsidRDefault="00653E6C" w:rsidP="00944D07">
      <w:pPr>
        <w:pStyle w:val="Caption"/>
      </w:pPr>
      <w:bookmarkStart w:id="37" w:name="_Ref105417178"/>
      <w:bookmarkStart w:id="38" w:name="_Toc159919736"/>
      <w:bookmarkStart w:id="39" w:name="_Toc187399549"/>
      <w:r>
        <w:t xml:space="preserve">Table </w:t>
      </w:r>
      <w:r>
        <w:fldChar w:fldCharType="begin"/>
      </w:r>
      <w:r>
        <w:instrText>SEQ Table \* ARABIC</w:instrText>
      </w:r>
      <w:r>
        <w:fldChar w:fldCharType="separate"/>
      </w:r>
      <w:r>
        <w:rPr>
          <w:noProof/>
        </w:rPr>
        <w:t>5</w:t>
      </w:r>
      <w:r>
        <w:fldChar w:fldCharType="end"/>
      </w:r>
      <w:bookmarkEnd w:id="37"/>
      <w:r w:rsidRPr="00F7087A">
        <w:t xml:space="preserve">. CPAS – </w:t>
      </w:r>
      <w:r w:rsidRPr="00016EEF">
        <w:t>Other Fuel (Gas + Propane)</w:t>
      </w:r>
      <w:bookmarkStart w:id="40" w:name="Table_5"/>
      <w:bookmarkEnd w:id="38"/>
      <w:bookmarkEnd w:id="39"/>
      <w:bookmarkEnd w:id="40"/>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C71393" w14:paraId="3B935A97"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FE5275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522603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 xml:space="preserve">CPAS Verified Net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 xml:space="preserve">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2D2C9C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71393" w14:paraId="6297A5C1"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F072C6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3EFAD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w:t>
            </w:r>
            <w:proofErr w:type="spellStart"/>
            <w:r>
              <w:rPr>
                <w:rFonts w:ascii="Arial" w:eastAsia="DejaVu Sans" w:hAnsi="DejaVu Sans" w:cs="DejaVu Sans"/>
                <w:color w:val="FFFFFF"/>
                <w:sz w:val="14"/>
                <w:szCs w:val="14"/>
              </w:rPr>
              <w:t>Therms</w:t>
            </w:r>
            <w:proofErr w:type="spellEnd"/>
            <w:r>
              <w:rPr>
                <w:rFonts w:ascii="Arial" w:eastAsia="DejaVu Sans" w:hAnsi="DejaVu Sans" w:cs="DejaVu Sans"/>
                <w:color w:val="FFFFFF"/>
                <w:sz w:val="14"/>
                <w:szCs w:val="14"/>
              </w:rPr>
              <w:t>)</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2A671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C0EA5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EAEC6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B7C6C0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4A553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1B3E9A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18BC1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F465D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BF3DED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B7DF7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05263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71393" w14:paraId="3B99FC42"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BEC98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4660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2,582,703</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6EB7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34,018,115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4E06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14F3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C7F62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3BDAF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CF00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2224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8D0E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2,286,212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4438F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2,286,212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9406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2,286,212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89A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2,286,212</w:t>
            </w:r>
          </w:p>
        </w:tc>
      </w:tr>
      <w:tr w:rsidR="00C71393" w14:paraId="4BC6072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F400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7198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75,699,033</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B9F4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997,070,943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AEA1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473F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528AC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1B96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33DA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FF15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AD57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B68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5E94F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86CF2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r>
      <w:tr w:rsidR="00C71393" w14:paraId="7B6C27F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0E146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2739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921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4,774,988,620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7B39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52,340,931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19D3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69,173,843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84BE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183,880,111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3999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245,420,589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7AE5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287,521,815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8F95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319,367,944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1F9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319,367,944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3A2A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319,199,702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34E8B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319,199,554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FB55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319,199,182</w:t>
            </w:r>
          </w:p>
        </w:tc>
      </w:tr>
      <w:tr w:rsidR="00C71393" w14:paraId="1B75068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6F1E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AC8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75,699,033</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A00F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5,772,059,563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457A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52,340,931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2890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69,173,843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01E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183,880,111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DD9A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245,420,589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2CEE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287,521,815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75BF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319,367,944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DFDE7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386,376,824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67070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386,208,581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552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386,208,434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A045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386,208,061</w:t>
            </w:r>
          </w:p>
        </w:tc>
      </w:tr>
      <w:tr w:rsidR="00C71393" w14:paraId="02F472B4"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80D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4A577"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CA5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2,286,212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05DA2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DC87A"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0DBC5"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0BDA2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DC05E"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9D60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58CE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AA3F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517A8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726B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3E22944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1166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5D51A"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D02E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594E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FDA60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8158A"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F40A7"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0014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D42D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9908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0AC99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455F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289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013BB38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F1C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534E5"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6B00A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4906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4D74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645F9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3192A"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931C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7911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66B5A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31F9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168,243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EF6A2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8178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w:t>
            </w:r>
          </w:p>
        </w:tc>
      </w:tr>
      <w:tr w:rsidR="00C71393" w14:paraId="537234FB"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63AE2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1C8255"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C0C15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C6AF0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3579C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8CD5A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EC465A"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539B7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80545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12F555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EA6B2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168,243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1DDB5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744B1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w:t>
            </w:r>
          </w:p>
        </w:tc>
      </w:tr>
    </w:tbl>
    <w:p w14:paraId="5F6769C8" w14:textId="77777777" w:rsidR="00653E6C" w:rsidRDefault="00653E6C" w:rsidP="00E5723F">
      <w:pPr>
        <w:spacing w:before="0" w:after="0"/>
      </w:pPr>
      <w:bookmarkStart w:id="41" w:name="Table_5_2"/>
      <w:bookmarkEnd w:id="41"/>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C71393" w14:paraId="1E2F8258"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520D6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D7EF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9FA6AA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DAC45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ABFE0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3C142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1DDE0F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0BC0B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5EDF32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49690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388DA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9EBC2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A4C31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DE0A0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3458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71393" w14:paraId="3E8EEEA7"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81C2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D924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2,286,212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1CD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2,284,152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B8B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2,284,152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FEE97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2,284,152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07E2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2,284,152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3C5C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2,284,152</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64A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2,233,584</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14368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2,233,177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DD14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2,233,177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1AB7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2,233,177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CC46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2,233,177</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8B0F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AAB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26CA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2854FC8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66482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9A3B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67,008,879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3B07F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66,948,505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C553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66,948,505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4DB5F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66,948,505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B63C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66,948,505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3FC45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66,948,505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5B87B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65,466,345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3059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65,454,420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AA914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65,454,420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5253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65,454,420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0AA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65,454,420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8D29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4068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3C60A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5F9906F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8854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CEFF5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317,626,620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7808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316,819,786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7BA56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316,199,004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4FD6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315,429,481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FAB0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314,526,442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8257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262,995,701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28A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246,832,696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E4CF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133,295,486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B241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73,260,436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3DB6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33,590,995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5950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2,714,334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207E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2,714,334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505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2,714,334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2B138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1,550,987</w:t>
            </w:r>
          </w:p>
        </w:tc>
      </w:tr>
      <w:tr w:rsidR="00C71393" w14:paraId="7C8B7A3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D4BA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3B632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384,635,499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7150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383,768,291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CE62D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383,147,508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1CB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382,377,986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D4582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381,474,947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78D9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329,944,205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EB7A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312,299,041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7B87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198,749,906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C755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138,714,856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0D4E0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99,045,414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69BA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68,168,754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E82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2,714,334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8105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2,714,334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7F69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1,550,987</w:t>
            </w:r>
          </w:p>
        </w:tc>
      </w:tr>
      <w:tr w:rsidR="00C71393" w14:paraId="4D25E27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DC399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99425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922B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A040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8B7B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3CAC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0E8A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0A33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50,568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6761E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322D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DA3F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75A1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7589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2,233,177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EF3A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5E9C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5DB572A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DB60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D6A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AA5C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60,375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6A57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8604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DF06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DA3C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70A77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1,482,160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D648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69B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743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4F11F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0015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65,454,420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EF9E8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15E9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46BC1B14"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C87A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CC55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1,572,562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C8DB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806,834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B5E59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620,783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35EDE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769,523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F5AB0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903,039</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AE6C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51,530,742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7996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16,163,005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4AB1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113,537,210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413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60,035,050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F456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39,669,442</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5288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30,876,661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1774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A82C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48539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1,163,347</w:t>
            </w:r>
          </w:p>
        </w:tc>
      </w:tr>
      <w:tr w:rsidR="00C71393" w14:paraId="08BF3266"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67A9D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lastRenderedPageBreak/>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EB028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1,572,562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CBFC8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867,209</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A4D0C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620,783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EAC33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769,523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506CD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903,039</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6CA66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51,530,742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39D5D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17,645,165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4CDEA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113,549,135</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B3D0C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60,035,050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5DDE0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39,669,442</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1C7E8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30,876,661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2FBB5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65,454,420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33DE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E7629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1,163,347</w:t>
            </w:r>
          </w:p>
        </w:tc>
      </w:tr>
    </w:tbl>
    <w:p w14:paraId="29FD3538" w14:textId="77777777" w:rsidR="00653E6C" w:rsidRPr="00944D07" w:rsidRDefault="00653E6C" w:rsidP="00E5723F">
      <w:pPr>
        <w:spacing w:before="0" w:after="0"/>
      </w:pPr>
      <w:bookmarkStart w:id="42" w:name="Table_5_3"/>
      <w:bookmarkEnd w:id="42"/>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C71393" w14:paraId="6321518D"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EF67B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6B483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6BEA41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A93FE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A06247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B1BA0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398AD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B90F33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D0326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2B02B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1524F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38E25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C4F003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DC7053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71F9EF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71393" w14:paraId="07254B69"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26B7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059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CAE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5FDD0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F8F7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EAE7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862A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D5C7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0F2C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DD8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456EB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4AFC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C75A1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7786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1BCD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6C24DBD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AB87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26A7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C3A6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8E74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BD0CD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29F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BE59C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5E22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1F65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4515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0E8A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ACA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1BD8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B1C8C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04C1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14F8453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3734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Total Other Fuel Contribution to CPAS (kWh </w:t>
            </w:r>
            <w:proofErr w:type="gramStart"/>
            <w:r>
              <w:rPr>
                <w:rFonts w:ascii="Arial" w:eastAsia="DejaVu Sans" w:hAnsi="DejaVu Sans" w:cs="DejaVu Sans"/>
                <w:color w:val="000000"/>
                <w:sz w:val="14"/>
                <w:szCs w:val="14"/>
              </w:rPr>
              <w:t>Equivalent)</w:t>
            </w:r>
            <w:r>
              <w:rPr>
                <w:rFonts w:ascii="Arial" w:eastAsia="DejaVu Sans" w:hAnsi="DejaVu Sans" w:cs="DejaVu Sans"/>
                <w:color w:val="000000"/>
                <w:sz w:val="14"/>
                <w:szCs w:val="14"/>
              </w:rPr>
              <w: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39EAB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E67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DAD4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BD2F7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D1FA2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6D7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CA2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0F8C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0524A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B777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268E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7EE52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A838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03C06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11D07D9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54D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E9599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ED15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51EE9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A031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95A86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B4F5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F8C4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4476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995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FA0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3959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2E694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9445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10D53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44EAB35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FD9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w:t>
            </w:r>
            <w:proofErr w:type="spellStart"/>
            <w:r>
              <w:rPr>
                <w:rFonts w:ascii="Arial" w:eastAsia="DejaVu Sans" w:hAnsi="DejaVu Sans" w:cs="DejaVu Sans"/>
                <w:color w:val="000000"/>
                <w:sz w:val="14"/>
                <w:szCs w:val="14"/>
              </w:rPr>
              <w:t>Therms</w:t>
            </w:r>
            <w:proofErr w:type="spell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EECC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CDB4A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947C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2C16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37EA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E1FC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56436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58B8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6BF9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FEB6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5A99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7553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D705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AB33A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5A900AA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EFDB1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CY2024 Program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5C9B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7635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AEAD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09CE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0902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8000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F561F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CD3C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15E50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FFB53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845C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F945E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C40C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E0E8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54347CB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F5E97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Historic Program Incremental Expiring Other Fuel Savings (kWh </w:t>
            </w:r>
            <w:proofErr w:type="gramStart"/>
            <w:r>
              <w:rPr>
                <w:rFonts w:ascii="Arial" w:eastAsia="DejaVu Sans" w:hAnsi="DejaVu Sans" w:cs="DejaVu Sans"/>
                <w:color w:val="000000"/>
                <w:sz w:val="14"/>
                <w:szCs w:val="14"/>
              </w:rPr>
              <w:t>Equivalent)#</w:t>
            </w:r>
            <w:proofErr w:type="gramEnd"/>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0A153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1,527,803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C54B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ACEB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CA15D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458E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29B0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2864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7369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68AB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5318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8E83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19B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E85A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9516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571D2D90"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A136F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Program Total Incremental Expiring Other Fuel Savings (kWh </w:t>
            </w:r>
            <w:proofErr w:type="gramStart"/>
            <w:r>
              <w:rPr>
                <w:rFonts w:ascii="Arial" w:eastAsia="DejaVu Sans" w:hAnsi="DejaVu Sans" w:cs="DejaVu Sans"/>
                <w:color w:val="000000"/>
                <w:sz w:val="14"/>
                <w:szCs w:val="14"/>
              </w:rPr>
              <w:t>Equivalent)*</w:t>
            </w:r>
            <w:proofErr w:type="gramEnd"/>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C6B4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1,527,803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0DBF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6E6D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23,184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5AD9D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644E4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1B914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9FF21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17D5F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775A1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C8E30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BA4AE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D74A3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470DD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EA3C6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569D2D8" w14:textId="77777777" w:rsidR="00653E6C" w:rsidRPr="00C329CB" w:rsidRDefault="00653E6C" w:rsidP="00C25FD6">
      <w:pPr>
        <w:pStyle w:val="TableFigureNote"/>
        <w:rPr>
          <w:rFonts w:eastAsiaTheme="minorEastAsia"/>
        </w:rPr>
      </w:pPr>
      <w:r w:rsidRPr="00C329CB">
        <w:rPr>
          <w:rFonts w:eastAsiaTheme="minorEastAsia"/>
        </w:rPr>
        <w:t>† Lifetime savings are the sum of CPAS savings through the EUL.</w:t>
      </w:r>
    </w:p>
    <w:p w14:paraId="17CA60AB" w14:textId="77777777" w:rsidR="00653E6C" w:rsidRPr="00C329CB" w:rsidRDefault="00653E6C" w:rsidP="00C25FD6">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w:t>
      </w:r>
      <w:proofErr w:type="spellStart"/>
      <w:r>
        <w:rPr>
          <w:rFonts w:eastAsiaTheme="minorEastAsia"/>
        </w:rPr>
        <w:t>therms</w:t>
      </w:r>
      <w:proofErr w:type="spellEnd"/>
      <w:r>
        <w:rPr>
          <w:rFonts w:eastAsiaTheme="minorEastAsia"/>
        </w:rPr>
        <w:t xml:space="preserve">. </w:t>
      </w:r>
      <w:r w:rsidRPr="00C329CB">
        <w:rPr>
          <w:rFonts w:eastAsiaTheme="minorEastAsia"/>
        </w:rPr>
        <w:t xml:space="preserve">kWh equivalent savings are calculated by multiplying </w:t>
      </w:r>
      <w:proofErr w:type="spellStart"/>
      <w:r w:rsidRPr="00C329CB">
        <w:rPr>
          <w:rFonts w:eastAsiaTheme="minorEastAsia"/>
        </w:rPr>
        <w:t>therms</w:t>
      </w:r>
      <w:proofErr w:type="spellEnd"/>
      <w:r w:rsidRPr="00C329CB">
        <w:rPr>
          <w:rFonts w:eastAsiaTheme="minorEastAsia"/>
        </w:rPr>
        <w:t xml:space="preserve"> savings by 29.31.</w:t>
      </w:r>
    </w:p>
    <w:p w14:paraId="49EB3C70" w14:textId="77777777" w:rsidR="00653E6C" w:rsidRDefault="00653E6C" w:rsidP="00C25FD6">
      <w:pPr>
        <w:pStyle w:val="TableFigureNote"/>
        <w:rPr>
          <w:rFonts w:eastAsiaTheme="minorEastAsia"/>
        </w:rPr>
      </w:pPr>
      <w:r w:rsidRPr="00C329CB">
        <w:rPr>
          <w:rFonts w:eastAsiaTheme="minorEastAsia"/>
        </w:rPr>
        <w:t>§ Historical savings go back to CY2018.</w:t>
      </w:r>
    </w:p>
    <w:p w14:paraId="607A76FE" w14:textId="77777777" w:rsidR="00653E6C" w:rsidRPr="00C329CB" w:rsidRDefault="00653E6C" w:rsidP="00C25FD6">
      <w:pPr>
        <w:pStyle w:val="TableFigureNote"/>
        <w:rPr>
          <w:rFonts w:eastAsiaTheme="minorEastAsia"/>
        </w:rPr>
      </w:pPr>
      <w:r w:rsidRPr="00C329CB">
        <w:rPr>
          <w:rFonts w:eastAsiaTheme="minorEastAsia"/>
        </w:rPr>
        <w:t>|| Incremental expiring savings are equal to CPAS Yn-1 - CPAS Yn.</w:t>
      </w:r>
    </w:p>
    <w:p w14:paraId="5533D41A" w14:textId="77777777" w:rsidR="00653E6C" w:rsidRPr="00C329CB" w:rsidRDefault="00653E6C" w:rsidP="00C25FD6">
      <w:pPr>
        <w:pStyle w:val="TableFigureNote"/>
        <w:rPr>
          <w:rFonts w:eastAsiaTheme="minorEastAsia"/>
        </w:rPr>
      </w:pPr>
      <w:r w:rsidRPr="00C329CB">
        <w:rPr>
          <w:rFonts w:eastAsiaTheme="minorEastAsia"/>
        </w:rPr>
        <w:t># Historic incremental expiring savings are equal to Historic CPAS Yn-1 – Historic CPAS Yn.</w:t>
      </w:r>
    </w:p>
    <w:p w14:paraId="405CBD84" w14:textId="77777777" w:rsidR="00653E6C" w:rsidRDefault="00653E6C" w:rsidP="00C25FD6">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40DF4326" w14:textId="77777777" w:rsidR="00653E6C" w:rsidRDefault="00653E6C" w:rsidP="00C25FD6">
      <w:pPr>
        <w:pStyle w:val="TableFigureSource"/>
      </w:pPr>
      <w:r>
        <w:t>Source: Evaluation team analysis</w:t>
      </w:r>
    </w:p>
    <w:p w14:paraId="501FEC9C" w14:textId="77777777" w:rsidR="00653E6C" w:rsidRDefault="00653E6C" w:rsidP="00944D07">
      <w:pPr>
        <w:pStyle w:val="Caption"/>
      </w:pPr>
      <w:bookmarkStart w:id="43" w:name="_Ref105417145"/>
      <w:bookmarkStart w:id="44" w:name="_Toc159919737"/>
      <w:bookmarkStart w:id="45" w:name="_Toc187399550"/>
      <w:r>
        <w:t xml:space="preserve">Table </w:t>
      </w:r>
      <w:r>
        <w:fldChar w:fldCharType="begin"/>
      </w:r>
      <w:r>
        <w:instrText>SEQ Table \* ARABIC</w:instrText>
      </w:r>
      <w:r>
        <w:fldChar w:fldCharType="separate"/>
      </w:r>
      <w:r>
        <w:rPr>
          <w:noProof/>
        </w:rPr>
        <w:t>6</w:t>
      </w:r>
      <w:r>
        <w:fldChar w:fldCharType="end"/>
      </w:r>
      <w:bookmarkEnd w:id="43"/>
      <w:r w:rsidRPr="00F7087A">
        <w:t xml:space="preserve">. </w:t>
      </w:r>
      <w:r>
        <w:t>CPAS – Total</w:t>
      </w:r>
      <w:bookmarkStart w:id="46" w:name="Table_6"/>
      <w:bookmarkEnd w:id="44"/>
      <w:bookmarkEnd w:id="45"/>
      <w:bookmarkEnd w:id="46"/>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C71393" w14:paraId="6F425E38"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3C4F46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5E154E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0823BF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71393" w14:paraId="3E561AA3"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258A1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B2FAF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F68155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06D90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C002F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3F4E8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B511E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7C71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1B509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4F0417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0B84E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4F6B7F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FC1FA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71393" w14:paraId="32F1F047"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8AD1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4347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321,135,032</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D005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4,005,815,425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3A86E"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16A1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FBE0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9941D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FE39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C10D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E1BC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282,047,343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EBC8A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282,020,176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7D8D1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280,259,967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9A0D0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278,646,611</w:t>
            </w:r>
          </w:p>
        </w:tc>
      </w:tr>
      <w:tr w:rsidR="00C71393" w14:paraId="5AFD1485"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9B92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0605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CBEA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26,322,246,703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AC65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364,028,605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8B26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699,284,614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00FD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1,149,088,713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CE52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1,476,304,299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FE38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1,744,958,628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68B47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1,965,580,125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E128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1,949,551,906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26C0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1,938,752,852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5854E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1,920,124,932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BE6A3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1,873,022,635</w:t>
            </w:r>
          </w:p>
        </w:tc>
      </w:tr>
      <w:tr w:rsidR="00C71393" w14:paraId="310216D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9250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E814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321,135,032</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1F3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30,328,062,128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C9BBB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364,028,605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2A1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699,284,614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785AF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1,149,088,713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6EB7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1,476,304,299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2C72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1,744,958,628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F2E7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1,965,580,125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6406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2,231,599,249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2947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2,220,773,029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5ED8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2,200,384,900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6F1A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2,151,669,246</w:t>
            </w:r>
          </w:p>
        </w:tc>
      </w:tr>
      <w:tr w:rsidR="00C71393" w14:paraId="33FD890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33419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6952D8"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9BF96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282,047,343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B51C2"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C76E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AAB70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BDD4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5024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51F9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95D09"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30E2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350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1,760,209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ADA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1,613,356</w:t>
            </w:r>
          </w:p>
        </w:tc>
      </w:tr>
      <w:tr w:rsidR="00C71393" w14:paraId="510BA79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7E257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70E76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694C34"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D4A2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34750"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38CE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210CD"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CB6503"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EE415"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0B1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16,028,219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9FEE7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10,799,053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C0B4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18,627,920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A21B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47,102,298</w:t>
            </w:r>
          </w:p>
        </w:tc>
      </w:tr>
      <w:tr w:rsidR="00C71393" w14:paraId="62D5EBBE"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2A3F3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C7697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2596D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282,047,343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1911DF"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CF6856"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E27A4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7A5AEC"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FEFB1B"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F41FD1" w14:textId="77777777" w:rsidR="00C71393" w:rsidRDefault="00C7139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7542B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16,028,219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8CF2E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10,826,221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50010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20,388,129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454E3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48,715,654</w:t>
            </w:r>
          </w:p>
        </w:tc>
      </w:tr>
    </w:tbl>
    <w:p w14:paraId="43C1C378" w14:textId="77777777" w:rsidR="00653E6C" w:rsidRDefault="00653E6C" w:rsidP="00E5723F">
      <w:pPr>
        <w:spacing w:before="0" w:after="0"/>
      </w:pPr>
      <w:bookmarkStart w:id="47" w:name="Table_6_2"/>
      <w:bookmarkEnd w:id="47"/>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71393" w14:paraId="36FAE0E2"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74BE9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BF90B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81EFC9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CC22D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D6155C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241AD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27883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A2AB4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92C80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113FD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C9E5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2670EC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AEDDB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7C346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F44B5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71393" w14:paraId="147B8A02"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2123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2DF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276,781,536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5A29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274,022,147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C755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272,652,582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BD902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271,059,794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50C97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270,755,963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DC02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261,119,307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0B36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242,857,656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ED16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234,254,514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34409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227,840,124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9F01C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219,226,971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4F59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218,488,525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F16E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26,753,256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D418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14,759,394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6B9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14,296,873</w:t>
            </w:r>
          </w:p>
        </w:tc>
      </w:tr>
      <w:tr w:rsidR="00C71393" w14:paraId="6A76A16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A363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E740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1,781,096,446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63C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1,730,200,943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6C2CC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1,563,003,325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DC6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1,360,440,010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BAE2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1,160,990,141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580D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937,550,270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D5E9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797,979,506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2016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564,654,000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C714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406,032,413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2BF1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287,867,449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95FF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151,359,050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48B8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149,828,542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9CEC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142,997,315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E712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83,042,424</w:t>
            </w:r>
          </w:p>
        </w:tc>
      </w:tr>
      <w:tr w:rsidR="00C71393" w14:paraId="5F635AB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9EE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B383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2,057,877,981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941B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2,004,223,090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A12B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1,835,655,907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CFA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1,631,499,804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C302A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1,431,746,104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987B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1,198,669,578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7BF5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1,040,837,162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504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798,908,514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62D3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633,872,538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2973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507,094,420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FDDD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369,847,575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E582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176,581,798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96C5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157,756,709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CF510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97,339,297</w:t>
            </w:r>
          </w:p>
        </w:tc>
      </w:tr>
      <w:tr w:rsidR="00C71393" w14:paraId="03127D6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B35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083B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1,865,076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A99B8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2,759,389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0A1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1,369,564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FF7C7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1,592,789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56D57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303,831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745B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9,636,656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951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18,261,651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93A5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8,603,142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F684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6,414,390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05BB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8,613,154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2C235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738,446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55D8D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191,735,269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6B939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11,993,863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983C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462,521</w:t>
            </w:r>
          </w:p>
        </w:tc>
      </w:tr>
      <w:tr w:rsidR="00C71393" w14:paraId="325FE21F"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0E2A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3260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91,926,189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624A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50,895,503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299D5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167,197,618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852D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202,563,315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06C9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199,449,869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36B2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223,439,871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164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139,570,764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971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233,325,506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E455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158,621,586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6E49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118,164,964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B269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136,508,400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3D36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1,530,508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310B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6,831,227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5CAB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59,954,891</w:t>
            </w:r>
          </w:p>
        </w:tc>
      </w:tr>
      <w:tr w:rsidR="00C71393" w14:paraId="6672FB6A"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7285D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858D5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93,791,264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8CA6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53,654,892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D8050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168,567,183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448D1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204,156,104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E59F1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199,753,700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16341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233,076,526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D9294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157,832,415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5124BC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241,928,648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F3202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165,035,976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24B3A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126,778,118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0E19A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137,246,845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FB677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193,265,777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BD69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18,825,090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796DB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60,417,412</w:t>
            </w:r>
          </w:p>
        </w:tc>
      </w:tr>
    </w:tbl>
    <w:p w14:paraId="64240E1D" w14:textId="77777777" w:rsidR="00653E6C" w:rsidRPr="00944D07" w:rsidRDefault="00653E6C" w:rsidP="00E5723F">
      <w:pPr>
        <w:spacing w:before="0" w:after="0"/>
      </w:pPr>
      <w:bookmarkStart w:id="48" w:name="Table_6_3"/>
      <w:bookmarkEnd w:id="48"/>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71393" w14:paraId="16C4B18F"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63E4AF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CFF80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6ABA6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7E9C9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C49771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697B7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B2C8E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D2B1C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FB8B1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13E32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FEE57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B55E2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BE9847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8B869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BB76C5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71393" w14:paraId="6394E8CA"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DC6DE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0FE2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13,886,014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3D43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13,886,014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15A4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8,591,282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26D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8,591,282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0679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8,525,270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21FC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2,246,412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2B250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2,246,412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38A63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D143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DA7C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B15E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3FBC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E2E3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CF239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67D355D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3692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6840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51,448,866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36EC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31,777,991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DECF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24,150,911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4962D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14,647,242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12C5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2,166,893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F07E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F245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1643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E403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12343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A82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1910B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232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73E2D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16CB18EC"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91B26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5552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65,334,880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0CD8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45,664,005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9806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32,742,193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F800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23,238,524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0590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10,692,163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32C8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2,562,068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3FA3C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2,246,412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B3C1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C678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BF8C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41BF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1067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16D6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FCDE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7A128C3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7CED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6849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410,859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96C1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3D8D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5,294,732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03667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E7E2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999E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6,278,859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2B5B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23CA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2,246,412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E4A6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8588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A405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2192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BA9B6"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1A7BF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0E2DF39E"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92F5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BAA420"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31,593,559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37594F"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19,670,875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A04F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7,627,080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C51D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9,503,669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C791A"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12,480,350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EEA5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1,851,236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569F6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E568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B9B17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AD058"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781D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C954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B6C66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E5B3C2"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71393" w14:paraId="40760AA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E7BB95"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140C09"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32,004,417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1E84F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19,670,875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E0E84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12,921,812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3CBE9E"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9,503,669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699BE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12,546,361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8F957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8,130,095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668D5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315,657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490D9B"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2,246,412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9BECB1"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D42607"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C3D1AD"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4FD2DC"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5902E3"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D08474" w14:textId="77777777" w:rsidR="00C71393" w:rsidRDefault="00653E6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0B834A50" w14:textId="77777777" w:rsidR="00653E6C" w:rsidRPr="00C34E77" w:rsidRDefault="00653E6C" w:rsidP="00C25FD6">
      <w:pPr>
        <w:pStyle w:val="TableFigureNote"/>
      </w:pPr>
      <w:r w:rsidRPr="00C34E77">
        <w:rPr>
          <w:rFonts w:eastAsiaTheme="minorEastAsia"/>
        </w:rPr>
        <w:t>† Lifetime savings are the sum of CPAS savings through the EUL.</w:t>
      </w:r>
    </w:p>
    <w:p w14:paraId="46C6A7E5" w14:textId="77777777" w:rsidR="00653E6C" w:rsidRPr="00C34E77" w:rsidRDefault="00653E6C" w:rsidP="00C25FD6">
      <w:pPr>
        <w:pStyle w:val="TableFigureNote"/>
      </w:pPr>
      <w:r w:rsidRPr="00C34E77">
        <w:rPr>
          <w:rFonts w:eastAsiaTheme="minorEastAsia"/>
        </w:rPr>
        <w:t xml:space="preserve">‡ Historical savings go back to CY2018. </w:t>
      </w:r>
    </w:p>
    <w:p w14:paraId="4E23C4F2" w14:textId="77777777" w:rsidR="00653E6C" w:rsidRPr="00C34E77" w:rsidRDefault="00653E6C" w:rsidP="00C25FD6">
      <w:pPr>
        <w:pStyle w:val="TableFigureNote"/>
      </w:pPr>
      <w:r w:rsidRPr="00C34E77">
        <w:rPr>
          <w:rFonts w:eastAsiaTheme="minorEastAsia"/>
        </w:rPr>
        <w:t>§ Incremental expiring savings are equal to CPAS Yn-1 - CPAS Yn.</w:t>
      </w:r>
    </w:p>
    <w:p w14:paraId="4D476010" w14:textId="77777777" w:rsidR="00653E6C" w:rsidRPr="00C34E77" w:rsidRDefault="00653E6C" w:rsidP="00C25FD6">
      <w:pPr>
        <w:pStyle w:val="TableFigureNote"/>
      </w:pPr>
      <w:r w:rsidRPr="00C34E77">
        <w:rPr>
          <w:rFonts w:eastAsiaTheme="minorEastAsia"/>
        </w:rPr>
        <w:t>|| Historic incremental expiring savings are equal to Historic CPAS Yn-1 – Historic CPAS Yn.</w:t>
      </w:r>
    </w:p>
    <w:p w14:paraId="463D3215" w14:textId="77777777" w:rsidR="00653E6C" w:rsidRPr="00C34E77" w:rsidRDefault="00653E6C"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4B73B87" w14:textId="77777777" w:rsidR="00653E6C" w:rsidRDefault="00653E6C" w:rsidP="00C25FD6">
      <w:pPr>
        <w:pStyle w:val="TableFigureSource"/>
      </w:pPr>
      <w:r>
        <w:t>Source: Evaluation team analysis</w:t>
      </w:r>
    </w:p>
    <w:p w14:paraId="74737318" w14:textId="77777777" w:rsidR="00653E6C" w:rsidRPr="00BB1B40" w:rsidRDefault="00653E6C" w:rsidP="00FB6842">
      <w:pPr>
        <w:pStyle w:val="BodyText"/>
      </w:pPr>
    </w:p>
    <w:sectPr w:rsidR="00653E6C" w:rsidRPr="00BB1B40" w:rsidSect="00DE39D7">
      <w:headerReference w:type="default" r:id="rId21"/>
      <w:footerReference w:type="default" r:id="rId22"/>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E602" w14:textId="77777777" w:rsidR="00BA532A" w:rsidRDefault="00BA532A">
      <w:pPr>
        <w:spacing w:before="0" w:after="0"/>
      </w:pPr>
      <w:r>
        <w:separator/>
      </w:r>
    </w:p>
  </w:endnote>
  <w:endnote w:type="continuationSeparator" w:id="0">
    <w:p w14:paraId="35B468F6" w14:textId="77777777" w:rsidR="00BA532A" w:rsidRDefault="00BA5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094E681E" w14:textId="77777777" w:rsidTr="00553C21">
      <w:trPr>
        <w:trHeight w:val="144"/>
        <w:jc w:val="center"/>
      </w:trPr>
      <w:tc>
        <w:tcPr>
          <w:tcW w:w="7200" w:type="dxa"/>
          <w:tcBorders>
            <w:top w:val="single" w:sz="8" w:space="0" w:color="8C8C8C"/>
            <w:left w:val="nil"/>
            <w:bottom w:val="nil"/>
          </w:tcBorders>
        </w:tcPr>
        <w:p w14:paraId="1A1E861F" w14:textId="77777777" w:rsidR="00653E6C" w:rsidRPr="00582062" w:rsidRDefault="00653E6C" w:rsidP="000E2A29">
          <w:pPr>
            <w:pStyle w:val="Footer"/>
            <w:spacing w:before="120"/>
            <w:rPr>
              <w:sz w:val="2"/>
              <w:szCs w:val="2"/>
            </w:rPr>
          </w:pPr>
        </w:p>
      </w:tc>
      <w:tc>
        <w:tcPr>
          <w:tcW w:w="2880" w:type="dxa"/>
          <w:tcBorders>
            <w:top w:val="single" w:sz="8" w:space="0" w:color="8C8C8C"/>
          </w:tcBorders>
        </w:tcPr>
        <w:p w14:paraId="200C0CA9" w14:textId="77777777" w:rsidR="00653E6C" w:rsidRPr="00582062" w:rsidRDefault="00653E6C" w:rsidP="000E2A29">
          <w:pPr>
            <w:pStyle w:val="Footer"/>
            <w:spacing w:before="120"/>
            <w:jc w:val="right"/>
            <w:rPr>
              <w:sz w:val="2"/>
              <w:szCs w:val="2"/>
            </w:rPr>
          </w:pPr>
        </w:p>
      </w:tc>
    </w:tr>
    <w:tr w:rsidR="007D6383" w:rsidRPr="00EA2FA5" w14:paraId="1A9E5027" w14:textId="77777777" w:rsidTr="00553C21">
      <w:trPr>
        <w:trHeight w:val="195"/>
        <w:jc w:val="center"/>
      </w:trPr>
      <w:tc>
        <w:tcPr>
          <w:tcW w:w="7200" w:type="dxa"/>
          <w:tcBorders>
            <w:top w:val="nil"/>
            <w:left w:val="nil"/>
          </w:tcBorders>
          <w:vAlign w:val="center"/>
        </w:tcPr>
        <w:p w14:paraId="1FFD0DA2" w14:textId="77777777" w:rsidR="00653E6C" w:rsidRPr="0075421C" w:rsidRDefault="00653E6C"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4A00C54F" w14:textId="77777777" w:rsidR="00653E6C" w:rsidRPr="0075421C" w:rsidRDefault="00653E6C"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4675A396" w14:textId="77777777" w:rsidR="00653E6C" w:rsidRPr="000C64C5" w:rsidRDefault="00653E6C" w:rsidP="000E2A29">
    <w:pPr>
      <w:pStyle w:val="Footer"/>
      <w:ind w:right="360"/>
      <w:rPr>
        <w:sz w:val="2"/>
        <w:szCs w:val="2"/>
      </w:rPr>
    </w:pPr>
  </w:p>
  <w:p w14:paraId="2A118CE8" w14:textId="77777777" w:rsidR="00653E6C" w:rsidRPr="008B6585" w:rsidRDefault="00653E6C"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1CCB19F9" w14:textId="77777777" w:rsidTr="00553C21">
      <w:trPr>
        <w:trHeight w:val="144"/>
        <w:jc w:val="center"/>
      </w:trPr>
      <w:tc>
        <w:tcPr>
          <w:tcW w:w="7200" w:type="dxa"/>
          <w:tcBorders>
            <w:top w:val="single" w:sz="8" w:space="0" w:color="8C8C8C"/>
            <w:left w:val="nil"/>
            <w:bottom w:val="nil"/>
          </w:tcBorders>
        </w:tcPr>
        <w:p w14:paraId="430935BF" w14:textId="77777777" w:rsidR="00653E6C" w:rsidRPr="00582062" w:rsidRDefault="00653E6C" w:rsidP="000E2A29">
          <w:pPr>
            <w:pStyle w:val="Footer"/>
            <w:spacing w:before="120"/>
            <w:rPr>
              <w:sz w:val="2"/>
              <w:szCs w:val="2"/>
            </w:rPr>
          </w:pPr>
        </w:p>
      </w:tc>
      <w:tc>
        <w:tcPr>
          <w:tcW w:w="2880" w:type="dxa"/>
          <w:tcBorders>
            <w:top w:val="single" w:sz="8" w:space="0" w:color="8C8C8C"/>
          </w:tcBorders>
        </w:tcPr>
        <w:p w14:paraId="535FC9BC" w14:textId="77777777" w:rsidR="00653E6C" w:rsidRPr="00582062" w:rsidRDefault="00653E6C" w:rsidP="000E2A29">
          <w:pPr>
            <w:pStyle w:val="Footer"/>
            <w:spacing w:before="120"/>
            <w:jc w:val="right"/>
            <w:rPr>
              <w:sz w:val="2"/>
              <w:szCs w:val="2"/>
            </w:rPr>
          </w:pPr>
        </w:p>
      </w:tc>
    </w:tr>
    <w:tr w:rsidR="00173EE6" w:rsidRPr="00EA2FA5" w14:paraId="65B6D36E" w14:textId="77777777" w:rsidTr="00553C21">
      <w:trPr>
        <w:trHeight w:val="195"/>
        <w:jc w:val="center"/>
      </w:trPr>
      <w:tc>
        <w:tcPr>
          <w:tcW w:w="7200" w:type="dxa"/>
          <w:tcBorders>
            <w:top w:val="nil"/>
            <w:left w:val="nil"/>
          </w:tcBorders>
          <w:vAlign w:val="center"/>
        </w:tcPr>
        <w:p w14:paraId="36B035C8" w14:textId="77777777" w:rsidR="00653E6C" w:rsidRPr="0075421C" w:rsidRDefault="00653E6C"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210C08B5" w14:textId="77777777" w:rsidR="00653E6C" w:rsidRPr="0075421C" w:rsidRDefault="00653E6C"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31DA0E56" w14:textId="77777777" w:rsidR="00653E6C" w:rsidRPr="000C64C5" w:rsidRDefault="00653E6C" w:rsidP="000E2A29">
    <w:pPr>
      <w:pStyle w:val="Footer"/>
      <w:ind w:right="360"/>
      <w:rPr>
        <w:sz w:val="2"/>
        <w:szCs w:val="2"/>
      </w:rPr>
    </w:pPr>
  </w:p>
  <w:p w14:paraId="1564B7E3" w14:textId="77777777" w:rsidR="00653E6C" w:rsidRPr="008B6585" w:rsidRDefault="00653E6C"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0490D" w14:textId="77777777" w:rsidR="00BA532A" w:rsidRDefault="00BA532A">
      <w:pPr>
        <w:spacing w:before="0" w:after="0"/>
      </w:pPr>
      <w:r>
        <w:separator/>
      </w:r>
    </w:p>
  </w:footnote>
  <w:footnote w:type="continuationSeparator" w:id="0">
    <w:p w14:paraId="106805BD" w14:textId="77777777" w:rsidR="00BA532A" w:rsidRDefault="00BA532A">
      <w:pPr>
        <w:spacing w:before="0" w:after="0"/>
      </w:pPr>
      <w:r>
        <w:continuationSeparator/>
      </w:r>
    </w:p>
  </w:footnote>
  <w:footnote w:id="1">
    <w:p w14:paraId="33A9ED5B" w14:textId="77777777" w:rsidR="00653E6C" w:rsidRDefault="00653E6C" w:rsidP="00C93763">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2">
    <w:p w14:paraId="19039839" w14:textId="77777777" w:rsidR="00653E6C" w:rsidRDefault="00653E6C" w:rsidP="00C93763">
      <w:pPr>
        <w:pStyle w:val="FootnoteText"/>
      </w:pPr>
      <w:r>
        <w:rPr>
          <w:rStyle w:val="FootnoteReference"/>
        </w:rPr>
        <w:footnoteRef/>
      </w:r>
      <w:r>
        <w:t xml:space="preserve"> </w:t>
      </w:r>
      <w:r w:rsidRPr="000D3076">
        <w:t xml:space="preserve">The electrification savings counted toward </w:t>
      </w:r>
      <w:proofErr w:type="spellStart"/>
      <w:r w:rsidRPr="000D3076">
        <w:t>ComEd's</w:t>
      </w:r>
      <w:proofErr w:type="spellEnd"/>
      <w:r w:rsidRPr="000D3076">
        <w:t xml:space="preserve">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3">
    <w:p w14:paraId="39F38638" w14:textId="77777777" w:rsidR="00653E6C" w:rsidRDefault="00653E6C"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4">
    <w:p w14:paraId="4E70DF12" w14:textId="77777777" w:rsidR="00653E6C" w:rsidRDefault="00653E6C"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275EECE9" w14:textId="77777777" w:rsidTr="00553C21">
      <w:trPr>
        <w:jc w:val="center"/>
      </w:trPr>
      <w:tc>
        <w:tcPr>
          <w:tcW w:w="2880" w:type="dxa"/>
          <w:vAlign w:val="center"/>
        </w:tcPr>
        <w:p w14:paraId="03934E1A" w14:textId="77777777" w:rsidR="00653E6C" w:rsidRPr="006A71F6" w:rsidRDefault="00653E6C" w:rsidP="00D5276B">
          <w:pPr>
            <w:pStyle w:val="Header"/>
          </w:pPr>
          <w:r>
            <w:rPr>
              <w:noProof/>
            </w:rPr>
            <w:drawing>
              <wp:inline distT="0" distB="0" distL="0" distR="0" wp14:anchorId="4F270968" wp14:editId="27A0B2E6">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4527EA93" w14:textId="01980221" w:rsidR="00653E6C" w:rsidRDefault="00653E6C"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75FE3">
            <w:rPr>
              <w:bCs/>
              <w:noProof/>
            </w:rPr>
            <w:t>ComEd Incentives Program Impact Evaluation Report</w:t>
          </w:r>
          <w:r>
            <w:rPr>
              <w:bCs/>
              <w:noProof/>
            </w:rPr>
            <w:fldChar w:fldCharType="end"/>
          </w:r>
        </w:p>
      </w:tc>
    </w:tr>
  </w:tbl>
  <w:p w14:paraId="7FB36282" w14:textId="77777777" w:rsidR="00653E6C" w:rsidRPr="00B21048" w:rsidRDefault="00653E6C"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6350" w14:textId="77777777" w:rsidR="00653E6C" w:rsidRDefault="00653E6C">
    <w:pPr>
      <w:pStyle w:val="Header"/>
    </w:pPr>
    <w:r>
      <w:rPr>
        <w:noProof/>
      </w:rPr>
      <w:drawing>
        <wp:anchor distT="0" distB="0" distL="114300" distR="114300" simplePos="0" relativeHeight="251658240" behindDoc="0" locked="0" layoutInCell="1" allowOverlap="1" wp14:anchorId="5AFBEC68" wp14:editId="0DA93D3B">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357D60F5" w14:textId="77777777" w:rsidTr="00553C21">
      <w:trPr>
        <w:jc w:val="center"/>
      </w:trPr>
      <w:tc>
        <w:tcPr>
          <w:tcW w:w="2880" w:type="dxa"/>
          <w:vAlign w:val="center"/>
        </w:tcPr>
        <w:p w14:paraId="200DACA9" w14:textId="77777777" w:rsidR="00653E6C" w:rsidRPr="006A71F6" w:rsidRDefault="00653E6C" w:rsidP="00D5276B">
          <w:pPr>
            <w:pStyle w:val="Header"/>
          </w:pPr>
          <w:r>
            <w:rPr>
              <w:noProof/>
            </w:rPr>
            <w:drawing>
              <wp:inline distT="0" distB="0" distL="0" distR="0" wp14:anchorId="309EC60B" wp14:editId="56206405">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47A58F75" w14:textId="3F792DA9" w:rsidR="00653E6C" w:rsidRDefault="00653E6C"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75FE3">
            <w:rPr>
              <w:bCs/>
              <w:noProof/>
            </w:rPr>
            <w:t>ComEd Incentives Program Impact Evaluation Report</w:t>
          </w:r>
          <w:r>
            <w:rPr>
              <w:bCs/>
              <w:noProof/>
            </w:rPr>
            <w:fldChar w:fldCharType="end"/>
          </w:r>
        </w:p>
      </w:tc>
    </w:tr>
  </w:tbl>
  <w:p w14:paraId="25FD6E99" w14:textId="77777777" w:rsidR="00653E6C" w:rsidRPr="00B21048" w:rsidRDefault="00653E6C"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93"/>
    <w:rsid w:val="00161298"/>
    <w:rsid w:val="001D2193"/>
    <w:rsid w:val="001F2EC1"/>
    <w:rsid w:val="00256323"/>
    <w:rsid w:val="00405107"/>
    <w:rsid w:val="00534CFC"/>
    <w:rsid w:val="00546718"/>
    <w:rsid w:val="00575FE3"/>
    <w:rsid w:val="005A6938"/>
    <w:rsid w:val="005D7994"/>
    <w:rsid w:val="005E1BC4"/>
    <w:rsid w:val="00653E6C"/>
    <w:rsid w:val="009D1DC8"/>
    <w:rsid w:val="00AA1BA4"/>
    <w:rsid w:val="00BA532A"/>
    <w:rsid w:val="00C50D9C"/>
    <w:rsid w:val="00C71393"/>
    <w:rsid w:val="00D43FBE"/>
    <w:rsid w:val="00DE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BD09"/>
  <w15:docId w15:val="{AFD17EA3-4510-4361-93B7-3B953B9F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ishant.mehta@guidehouse.co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ff.erickson@guidehous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maglione@guidehouse.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A1BC6-6929-4CE4-84FE-318DC47EC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3.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4.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docMetadata/LabelInfo.xml><?xml version="1.0" encoding="utf-8"?>
<clbl:labelList xmlns:clbl="http://schemas.microsoft.com/office/2020/mipLabelMetadata">
  <clbl:label id="{7efd950c-944d-404f-b6bf-71cb7e06b360}" enabled="1" method="Standard" siteId="{bfa12df7-47f4-4a99-a8ad-1209e99b84fe}"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8</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20285</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Nishant Mehta</cp:lastModifiedBy>
  <cp:revision>25</cp:revision>
  <dcterms:created xsi:type="dcterms:W3CDTF">2025-02-21T19:35:00Z</dcterms:created>
  <dcterms:modified xsi:type="dcterms:W3CDTF">2025-03-12T23:25:00Z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