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C34E" w14:textId="09FBAF4D" w:rsidR="003C1C68" w:rsidRPr="005621C7" w:rsidRDefault="003C1C68" w:rsidP="00A2193B"/>
    <w:p w14:paraId="07864707" w14:textId="77777777" w:rsidR="0019032F" w:rsidRDefault="0019032F" w:rsidP="003C1C68">
      <w:pPr>
        <w:pStyle w:val="TitlePage1"/>
        <w:jc w:val="center"/>
        <w:rPr>
          <w:color w:val="auto"/>
        </w:rPr>
      </w:pPr>
    </w:p>
    <w:p w14:paraId="7FA9B65C" w14:textId="77777777" w:rsidR="00722F7D" w:rsidRPr="005621C7" w:rsidRDefault="00722F7D" w:rsidP="003C1C68">
      <w:pPr>
        <w:pStyle w:val="TitlePage1"/>
        <w:jc w:val="center"/>
        <w:rPr>
          <w:color w:val="auto"/>
        </w:rPr>
      </w:pPr>
    </w:p>
    <w:p w14:paraId="2CC5F2B7" w14:textId="77777777" w:rsidR="0019032F" w:rsidRPr="005621C7" w:rsidRDefault="0019032F" w:rsidP="003C1C68">
      <w:pPr>
        <w:pStyle w:val="TitlePage1"/>
        <w:jc w:val="center"/>
        <w:rPr>
          <w:color w:val="auto"/>
        </w:rPr>
      </w:pPr>
    </w:p>
    <w:p w14:paraId="40FD23BB" w14:textId="527C83B1" w:rsidR="003C1C68" w:rsidRPr="00861C02" w:rsidRDefault="00E43596" w:rsidP="00861C02">
      <w:pPr>
        <w:pStyle w:val="Title"/>
      </w:pPr>
      <w:bookmarkStart w:id="0" w:name="_GoBack"/>
      <w:r>
        <w:t xml:space="preserve">ComEd </w:t>
      </w:r>
      <w:r w:rsidR="00A91AC2">
        <w:t xml:space="preserve">Home Energy Report Program Decay Rate and Persistence Study – Year </w:t>
      </w:r>
      <w:r w:rsidR="00763661">
        <w:t>Five</w:t>
      </w:r>
      <w:r w:rsidR="001059D6">
        <w:t xml:space="preserve"> </w:t>
      </w:r>
      <w:r w:rsidR="00410E15">
        <w:t>Research</w:t>
      </w:r>
      <w:r w:rsidR="003C1C68" w:rsidRPr="00861C02">
        <w:t xml:space="preserve"> Report</w:t>
      </w:r>
      <w:r w:rsidR="00A83863">
        <w:t xml:space="preserve"> </w:t>
      </w:r>
      <w:bookmarkEnd w:id="0"/>
      <w:r w:rsidR="00A83863">
        <w:br/>
      </w:r>
    </w:p>
    <w:p w14:paraId="172C69A8" w14:textId="77777777" w:rsidR="003C1C68" w:rsidRPr="005621C7" w:rsidRDefault="003C1C68" w:rsidP="006F5275">
      <w:pPr>
        <w:pStyle w:val="Subtitle"/>
      </w:pPr>
    </w:p>
    <w:p w14:paraId="1DDE00A4" w14:textId="77777777" w:rsidR="003C1C68" w:rsidRPr="005621C7" w:rsidRDefault="003C1C68" w:rsidP="003C1C68">
      <w:pPr>
        <w:pStyle w:val="TitlePage2"/>
        <w:jc w:val="center"/>
      </w:pPr>
    </w:p>
    <w:p w14:paraId="68CB464D" w14:textId="77777777" w:rsidR="003C1C68" w:rsidRPr="005621C7" w:rsidRDefault="003C1C68" w:rsidP="006F5275">
      <w:pPr>
        <w:pStyle w:val="Subtitle"/>
      </w:pPr>
      <w:r w:rsidRPr="005621C7">
        <w:t>Presented to</w:t>
      </w:r>
    </w:p>
    <w:p w14:paraId="5954F70D" w14:textId="77777777" w:rsidR="003C1C68" w:rsidRPr="005621C7" w:rsidRDefault="003C1C68" w:rsidP="006F5275">
      <w:pPr>
        <w:pStyle w:val="Subtitle"/>
      </w:pPr>
      <w:r w:rsidRPr="005621C7">
        <w:t>Commonwealth Edison Company</w:t>
      </w:r>
    </w:p>
    <w:p w14:paraId="2B9689F6" w14:textId="77777777" w:rsidR="00722F7D" w:rsidRPr="00722F7D" w:rsidRDefault="00722F7D" w:rsidP="00722F7D"/>
    <w:p w14:paraId="1DB3B344" w14:textId="1FDEAE5F" w:rsidR="00346B68" w:rsidRDefault="00763661" w:rsidP="00346B68">
      <w:pPr>
        <w:pStyle w:val="Subtitle"/>
      </w:pPr>
      <w:r>
        <w:t>Draft</w:t>
      </w:r>
    </w:p>
    <w:p w14:paraId="57080E3A" w14:textId="6B16AD6C" w:rsidR="00B807ED" w:rsidRDefault="00B807ED" w:rsidP="00B807ED"/>
    <w:p w14:paraId="6007E6B8" w14:textId="77777777" w:rsidR="00B807ED" w:rsidRPr="00B807ED" w:rsidRDefault="00B807ED" w:rsidP="00B807ED"/>
    <w:p w14:paraId="6E57896F" w14:textId="28A53D59" w:rsidR="00B4556D" w:rsidRDefault="00327C4E" w:rsidP="006F5275">
      <w:r w:rsidRPr="00327C4E">
        <w:t>October</w:t>
      </w:r>
      <w:r w:rsidR="00661E90" w:rsidRPr="00327C4E">
        <w:t xml:space="preserve"> 2</w:t>
      </w:r>
      <w:r w:rsidR="00414D82">
        <w:t>5</w:t>
      </w:r>
      <w:r w:rsidR="00661E90" w:rsidRPr="00327C4E">
        <w:t>, 201</w:t>
      </w:r>
      <w:r w:rsidRPr="00327C4E">
        <w:t>9</w:t>
      </w:r>
    </w:p>
    <w:p w14:paraId="2F4067E7" w14:textId="77777777" w:rsidR="00722F7D" w:rsidRDefault="00722F7D" w:rsidP="006F5275"/>
    <w:p w14:paraId="54DED711" w14:textId="77777777" w:rsidR="00722F7D" w:rsidRDefault="00722F7D" w:rsidP="006F5275"/>
    <w:p w14:paraId="7B359522" w14:textId="77777777" w:rsidR="00444DFF" w:rsidRDefault="00444DFF" w:rsidP="006F5275"/>
    <w:p w14:paraId="51A7416C" w14:textId="77777777" w:rsidR="00444DFF" w:rsidRDefault="00444DFF" w:rsidP="006F5275"/>
    <w:p w14:paraId="1885A0AE" w14:textId="77777777" w:rsidR="00444DFF" w:rsidRPr="005621C7" w:rsidRDefault="00444DFF" w:rsidP="006F5275"/>
    <w:p w14:paraId="03ED9254" w14:textId="77777777" w:rsidR="006F5275" w:rsidRDefault="003C1C68" w:rsidP="006F5275">
      <w:pPr>
        <w:rPr>
          <w:b/>
          <w:i/>
        </w:rPr>
      </w:pPr>
      <w:r w:rsidRPr="006F5275">
        <w:rPr>
          <w:b/>
          <w:i/>
        </w:rPr>
        <w:t>Prepared by:</w:t>
      </w:r>
    </w:p>
    <w:p w14:paraId="4C134A40" w14:textId="77777777" w:rsidR="00660A59" w:rsidRPr="00B53186" w:rsidRDefault="00660A59" w:rsidP="00660A59">
      <w:pPr>
        <w:pStyle w:val="PresentedBy"/>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tblGrid>
      <w:tr w:rsidR="00660A59" w:rsidRPr="00B53186" w14:paraId="4DAB050E" w14:textId="77777777" w:rsidTr="008638EE">
        <w:tc>
          <w:tcPr>
            <w:tcW w:w="3510" w:type="dxa"/>
            <w:vAlign w:val="bottom"/>
          </w:tcPr>
          <w:p w14:paraId="07647A32" w14:textId="229A7324" w:rsidR="00660A59" w:rsidRDefault="00763661" w:rsidP="00660A59">
            <w:pPr>
              <w:pStyle w:val="PresentedBy"/>
              <w:rPr>
                <w:b/>
              </w:rPr>
            </w:pPr>
            <w:r>
              <w:rPr>
                <w:b/>
              </w:rPr>
              <w:t>Carly Olig</w:t>
            </w:r>
          </w:p>
          <w:p w14:paraId="76C43F84" w14:textId="22978EB5" w:rsidR="00A91AC2" w:rsidRPr="00B53186" w:rsidRDefault="00A91AC2" w:rsidP="00660A59">
            <w:pPr>
              <w:pStyle w:val="PresentedBy"/>
              <w:rPr>
                <w:b/>
              </w:rPr>
            </w:pPr>
            <w:r>
              <w:rPr>
                <w:b/>
              </w:rPr>
              <w:t>Navigant</w:t>
            </w:r>
          </w:p>
        </w:tc>
        <w:tc>
          <w:tcPr>
            <w:tcW w:w="3690" w:type="dxa"/>
            <w:vAlign w:val="bottom"/>
          </w:tcPr>
          <w:p w14:paraId="61C59533" w14:textId="43CD5CC2" w:rsidR="00660A59" w:rsidRDefault="00763661" w:rsidP="00660A59">
            <w:pPr>
              <w:pStyle w:val="PresentedBy"/>
              <w:rPr>
                <w:b/>
              </w:rPr>
            </w:pPr>
            <w:r>
              <w:rPr>
                <w:b/>
              </w:rPr>
              <w:t>Vivek Nath</w:t>
            </w:r>
          </w:p>
          <w:p w14:paraId="73F9B53E" w14:textId="4EF9BD41" w:rsidR="00660A59" w:rsidRDefault="00A91AC2" w:rsidP="00660A59">
            <w:pPr>
              <w:pStyle w:val="PresentedBy"/>
              <w:rPr>
                <w:b/>
              </w:rPr>
            </w:pPr>
            <w:r>
              <w:rPr>
                <w:b/>
              </w:rPr>
              <w:t>Navigant</w:t>
            </w:r>
          </w:p>
        </w:tc>
      </w:tr>
    </w:tbl>
    <w:p w14:paraId="12BAC360" w14:textId="38D080BD" w:rsidR="00444DFF" w:rsidRPr="00B53186" w:rsidRDefault="00444DFF" w:rsidP="00660A59">
      <w:pPr>
        <w:rPr>
          <w:color w:val="6F6754"/>
        </w:rPr>
      </w:pPr>
    </w:p>
    <w:p w14:paraId="064CEBF8" w14:textId="52982F58" w:rsidR="00BF7525" w:rsidRPr="005621C7" w:rsidRDefault="00BF7525" w:rsidP="00722F7D"/>
    <w:p w14:paraId="500549FB" w14:textId="28C95F97" w:rsidR="003C1C68" w:rsidRPr="005621C7" w:rsidRDefault="00273FB1" w:rsidP="00722F7D">
      <w:hyperlink r:id="rId11" w:history="1">
        <w:r w:rsidR="00327C4E" w:rsidRPr="00675F8E">
          <w:rPr>
            <w:rStyle w:val="Hyperlink"/>
          </w:rPr>
          <w:t>www.guidehouse.com</w:t>
        </w:r>
      </w:hyperlink>
    </w:p>
    <w:p w14:paraId="75F4078F" w14:textId="77777777" w:rsidR="003C1C68" w:rsidRPr="005621C7" w:rsidRDefault="003C1C68" w:rsidP="003C1C68">
      <w:pPr>
        <w:sectPr w:rsidR="003C1C68" w:rsidRPr="005621C7" w:rsidSect="006F5275">
          <w:headerReference w:type="default" r:id="rId12"/>
          <w:footerReference w:type="even" r:id="rId13"/>
          <w:footerReference w:type="default" r:id="rId14"/>
          <w:pgSz w:w="12240" w:h="15840" w:code="1"/>
          <w:pgMar w:top="1440" w:right="1440" w:bottom="1440" w:left="1440" w:header="720" w:footer="720" w:gutter="0"/>
          <w:cols w:space="720"/>
          <w:docGrid w:linePitch="360"/>
        </w:sectPr>
      </w:pPr>
    </w:p>
    <w:p w14:paraId="2DD2EFF0" w14:textId="77777777" w:rsidR="00AF6479" w:rsidRPr="005621C7" w:rsidRDefault="00AF6479" w:rsidP="009A0F87">
      <w:pPr>
        <w:pStyle w:val="Contactinfo"/>
        <w:rPr>
          <w:b/>
        </w:rPr>
      </w:pPr>
    </w:p>
    <w:p w14:paraId="104B8EC0" w14:textId="77777777" w:rsidR="00AF6479" w:rsidRPr="005621C7" w:rsidRDefault="00AF6479" w:rsidP="009A0F87">
      <w:pPr>
        <w:pStyle w:val="Contactinfo"/>
        <w:rPr>
          <w:b/>
        </w:rPr>
      </w:pPr>
    </w:p>
    <w:p w14:paraId="3DB016F2" w14:textId="77777777" w:rsidR="00AF6479" w:rsidRPr="005621C7" w:rsidRDefault="00AF6479" w:rsidP="009A0F87">
      <w:pPr>
        <w:pStyle w:val="Contactinfo"/>
        <w:rPr>
          <w:b/>
        </w:rPr>
      </w:pPr>
    </w:p>
    <w:p w14:paraId="276D086C" w14:textId="77777777" w:rsidR="00AF6479" w:rsidRPr="005621C7" w:rsidRDefault="00AF6479" w:rsidP="009A0F87">
      <w:pPr>
        <w:pStyle w:val="Contactinfo"/>
        <w:rPr>
          <w:b/>
        </w:rPr>
      </w:pPr>
    </w:p>
    <w:p w14:paraId="1CE8EE27" w14:textId="77777777" w:rsidR="00AF6479" w:rsidRPr="005621C7" w:rsidRDefault="00AF6479" w:rsidP="009A0F87">
      <w:pPr>
        <w:pStyle w:val="Contactinfo"/>
        <w:rPr>
          <w:b/>
        </w:rPr>
      </w:pPr>
    </w:p>
    <w:p w14:paraId="2F051C9F" w14:textId="77777777" w:rsidR="00AF6479" w:rsidRPr="005621C7" w:rsidRDefault="00AF6479" w:rsidP="009A0F87">
      <w:pPr>
        <w:pStyle w:val="Contactinfo"/>
        <w:rPr>
          <w:b/>
        </w:rPr>
      </w:pPr>
    </w:p>
    <w:p w14:paraId="7227BA0E" w14:textId="77777777" w:rsidR="00AF6479" w:rsidRPr="005621C7" w:rsidRDefault="00AF6479" w:rsidP="009A0F87">
      <w:pPr>
        <w:pStyle w:val="Contactinfo"/>
        <w:rPr>
          <w:b/>
        </w:rPr>
      </w:pPr>
      <w:r w:rsidRPr="005621C7">
        <w:rPr>
          <w:b/>
        </w:rPr>
        <w:t>Submitted to:</w:t>
      </w:r>
    </w:p>
    <w:p w14:paraId="7919910F" w14:textId="77777777" w:rsidR="00AF6479" w:rsidRPr="005621C7" w:rsidRDefault="00AF6479" w:rsidP="009A0F87">
      <w:pPr>
        <w:pStyle w:val="Contactinfo"/>
      </w:pPr>
    </w:p>
    <w:p w14:paraId="64DEF4E4" w14:textId="77777777" w:rsidR="00AF6479" w:rsidRPr="005621C7" w:rsidRDefault="003C1C68" w:rsidP="009A0F87">
      <w:pPr>
        <w:pStyle w:val="Contactinfo"/>
      </w:pPr>
      <w:r w:rsidRPr="005621C7">
        <w:t>ComEd</w:t>
      </w:r>
    </w:p>
    <w:p w14:paraId="5865C630" w14:textId="31D8A42A" w:rsidR="00AF6479" w:rsidRPr="00874520" w:rsidRDefault="00D8394D" w:rsidP="00D8394D">
      <w:pPr>
        <w:pStyle w:val="Headerinfo"/>
        <w:rPr>
          <w:rFonts w:cstheme="minorBidi"/>
          <w:noProof w:val="0"/>
          <w:color w:val="auto"/>
          <w:sz w:val="20"/>
          <w:szCs w:val="22"/>
          <w:lang w:val="en-US"/>
        </w:rPr>
      </w:pPr>
      <w:r w:rsidRPr="00874520">
        <w:rPr>
          <w:rFonts w:cstheme="minorBidi"/>
          <w:noProof w:val="0"/>
          <w:color w:val="auto"/>
          <w:sz w:val="20"/>
          <w:szCs w:val="22"/>
          <w:lang w:val="en-US"/>
        </w:rPr>
        <w:t>2011 Swift Drive</w:t>
      </w:r>
    </w:p>
    <w:p w14:paraId="537106D6" w14:textId="382E6B93" w:rsidR="00AF6479" w:rsidRPr="005621C7" w:rsidRDefault="00AF6479" w:rsidP="009A0F87">
      <w:pPr>
        <w:pStyle w:val="Contactinfo"/>
      </w:pPr>
      <w:r w:rsidRPr="005621C7">
        <w:t xml:space="preserve">Oakbrook, IL </w:t>
      </w:r>
      <w:r w:rsidR="00D8394D" w:rsidRPr="005621C7">
        <w:t>60</w:t>
      </w:r>
      <w:r w:rsidR="00D8394D">
        <w:t>523</w:t>
      </w:r>
    </w:p>
    <w:p w14:paraId="3220330F" w14:textId="77777777" w:rsidR="00AF6479" w:rsidRPr="005621C7" w:rsidRDefault="00AF6479" w:rsidP="009A0F87">
      <w:pPr>
        <w:pStyle w:val="Contactinfo"/>
      </w:pPr>
    </w:p>
    <w:p w14:paraId="18538ED5" w14:textId="77777777" w:rsidR="0019032F" w:rsidRPr="005621C7" w:rsidRDefault="0019032F" w:rsidP="009A0F87">
      <w:pPr>
        <w:pStyle w:val="Contactinfo"/>
      </w:pPr>
    </w:p>
    <w:p w14:paraId="589B46B0" w14:textId="77777777" w:rsidR="00AF6479" w:rsidRPr="005621C7" w:rsidRDefault="00AF6479" w:rsidP="009A0F87">
      <w:pPr>
        <w:pStyle w:val="Contactinfo"/>
        <w:rPr>
          <w:b/>
        </w:rPr>
      </w:pPr>
      <w:r w:rsidRPr="005621C7">
        <w:rPr>
          <w:b/>
        </w:rPr>
        <w:t>Submitted by:</w:t>
      </w:r>
    </w:p>
    <w:p w14:paraId="57F3A873" w14:textId="77777777" w:rsidR="00AF6479" w:rsidRPr="005621C7" w:rsidRDefault="00AF6479" w:rsidP="009A0F87">
      <w:pPr>
        <w:pStyle w:val="Contactinfo"/>
      </w:pPr>
    </w:p>
    <w:p w14:paraId="39922DCD" w14:textId="6FB08805" w:rsidR="00AF6479" w:rsidRPr="005621C7" w:rsidRDefault="00AF6479" w:rsidP="009A0F87">
      <w:pPr>
        <w:pStyle w:val="Contactinfo"/>
      </w:pPr>
      <w:r w:rsidRPr="005621C7">
        <w:t>Navigant Consulting, Inc.</w:t>
      </w:r>
      <w:r w:rsidR="00327C4E">
        <w:t>, A Guidehouse Company</w:t>
      </w:r>
    </w:p>
    <w:p w14:paraId="37F3EC23" w14:textId="3C1E99E4" w:rsidR="00AF6479" w:rsidRPr="005621C7" w:rsidRDefault="0012608C" w:rsidP="009A0F87">
      <w:pPr>
        <w:pStyle w:val="Contactinfo"/>
      </w:pPr>
      <w:r>
        <w:t>150 N. Riverside, Suite 2100</w:t>
      </w:r>
    </w:p>
    <w:p w14:paraId="23B6CC50" w14:textId="77777777" w:rsidR="00AF6479" w:rsidRPr="005621C7" w:rsidRDefault="00AF6479" w:rsidP="009A0F87">
      <w:pPr>
        <w:pStyle w:val="Contactinfo"/>
      </w:pPr>
      <w:r w:rsidRPr="005621C7">
        <w:t>Chicago, IL 60606</w:t>
      </w:r>
    </w:p>
    <w:p w14:paraId="36C8EB7C" w14:textId="77777777" w:rsidR="00AF6479" w:rsidRPr="005621C7" w:rsidRDefault="00AF6479" w:rsidP="009A0F87">
      <w:pPr>
        <w:pStyle w:val="Contactinfo"/>
      </w:pPr>
    </w:p>
    <w:p w14:paraId="54FEC664" w14:textId="77777777" w:rsidR="0019032F" w:rsidRPr="005621C7" w:rsidRDefault="0019032F" w:rsidP="009A0F87">
      <w:pPr>
        <w:pStyle w:val="Contactinfo"/>
      </w:pPr>
    </w:p>
    <w:p w14:paraId="4D0DDC12" w14:textId="77777777" w:rsidR="00AF6479" w:rsidRPr="005621C7" w:rsidRDefault="003C1C68" w:rsidP="009A0F87">
      <w:pPr>
        <w:pStyle w:val="Contactinfo"/>
      </w:pPr>
      <w:r w:rsidRPr="005621C7">
        <w:rPr>
          <w:b/>
        </w:rPr>
        <w:t>Contact</w:t>
      </w:r>
      <w:r w:rsidR="00AF6479" w:rsidRPr="005621C7">
        <w:rPr>
          <w:b/>
        </w:rPr>
        <w:t>:</w:t>
      </w:r>
    </w:p>
    <w:p w14:paraId="27C06E0A"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690"/>
        <w:gridCol w:w="3195"/>
        <w:gridCol w:w="3172"/>
      </w:tblGrid>
      <w:tr w:rsidR="00A149A3" w:rsidRPr="007B32D7" w14:paraId="426F6F92" w14:textId="77777777" w:rsidTr="00A149A3">
        <w:tc>
          <w:tcPr>
            <w:tcW w:w="3690" w:type="dxa"/>
          </w:tcPr>
          <w:p w14:paraId="1C4A44C2" w14:textId="77777777" w:rsidR="00A149A3" w:rsidRPr="007B32D7" w:rsidRDefault="00A149A3" w:rsidP="00535D3F">
            <w:pPr>
              <w:pStyle w:val="Contactinfo"/>
            </w:pPr>
            <w:r w:rsidRPr="007B32D7">
              <w:t>Randy Gunn, Managing Director</w:t>
            </w:r>
          </w:p>
          <w:p w14:paraId="683C991F" w14:textId="77777777" w:rsidR="00A149A3" w:rsidRPr="007B32D7" w:rsidRDefault="00A149A3" w:rsidP="00535D3F">
            <w:pPr>
              <w:pStyle w:val="Contactinfo"/>
            </w:pPr>
            <w:r w:rsidRPr="007B32D7">
              <w:t>312.583.5714</w:t>
            </w:r>
          </w:p>
          <w:p w14:paraId="77CB2183" w14:textId="04808037" w:rsidR="001E76D5" w:rsidRPr="007B32D7" w:rsidRDefault="00273FB1" w:rsidP="001E76D5">
            <w:pPr>
              <w:pStyle w:val="Contactinfo"/>
            </w:pPr>
            <w:hyperlink r:id="rId15" w:history="1">
              <w:r w:rsidR="001E76D5" w:rsidRPr="007B32D7">
                <w:t>Randy.Gunn@Navigant.com</w:t>
              </w:r>
            </w:hyperlink>
          </w:p>
        </w:tc>
        <w:tc>
          <w:tcPr>
            <w:tcW w:w="3195" w:type="dxa"/>
          </w:tcPr>
          <w:p w14:paraId="46D183F8" w14:textId="77777777" w:rsidR="00A149A3" w:rsidRPr="007B32D7" w:rsidRDefault="00A149A3" w:rsidP="00436FEE">
            <w:pPr>
              <w:pStyle w:val="Contactinfo"/>
            </w:pPr>
            <w:r w:rsidRPr="007B32D7">
              <w:t>Jeff Erickson, Director</w:t>
            </w:r>
          </w:p>
          <w:p w14:paraId="6EC091CA" w14:textId="4A46C1A0" w:rsidR="00A149A3" w:rsidRPr="007B32D7" w:rsidRDefault="00A149A3" w:rsidP="00436FEE">
            <w:pPr>
              <w:pStyle w:val="Contactinfo"/>
            </w:pPr>
            <w:r w:rsidRPr="007B32D7">
              <w:t>608.</w:t>
            </w:r>
            <w:r w:rsidR="00763661">
              <w:t>616.4962</w:t>
            </w:r>
          </w:p>
          <w:p w14:paraId="6CA5E445" w14:textId="50C37786" w:rsidR="001E76D5" w:rsidRPr="007B32D7" w:rsidRDefault="00273FB1" w:rsidP="007B32D7">
            <w:pPr>
              <w:pStyle w:val="Contactinfo"/>
            </w:pPr>
            <w:hyperlink r:id="rId16" w:history="1">
              <w:r w:rsidR="00A149A3" w:rsidRPr="007B32D7">
                <w:t>Jeff.Erickson@Navigant.Com</w:t>
              </w:r>
            </w:hyperlink>
          </w:p>
        </w:tc>
        <w:tc>
          <w:tcPr>
            <w:tcW w:w="3172" w:type="dxa"/>
          </w:tcPr>
          <w:p w14:paraId="696CD1B9" w14:textId="6282C9FD" w:rsidR="00A91AC2" w:rsidRDefault="00A91AC2" w:rsidP="00A91AC2">
            <w:pPr>
              <w:pStyle w:val="Contactinfo"/>
            </w:pPr>
            <w:r>
              <w:t xml:space="preserve">Carly Olig, </w:t>
            </w:r>
            <w:r w:rsidR="00A54DAF">
              <w:t>Associate</w:t>
            </w:r>
            <w:r>
              <w:t xml:space="preserve"> </w:t>
            </w:r>
            <w:r w:rsidR="00A54DAF">
              <w:t>Director</w:t>
            </w:r>
          </w:p>
          <w:p w14:paraId="0EB689F1" w14:textId="305A90C0" w:rsidR="00A91AC2" w:rsidRDefault="00A91AC2" w:rsidP="00A91AC2">
            <w:pPr>
              <w:pStyle w:val="Contactinfo"/>
            </w:pPr>
            <w:r>
              <w:t>608.</w:t>
            </w:r>
            <w:r w:rsidR="00763661">
              <w:t>616.4810</w:t>
            </w:r>
          </w:p>
          <w:p w14:paraId="1EA531AD" w14:textId="40EA8BDD" w:rsidR="00A83863" w:rsidRPr="007B32D7" w:rsidRDefault="00A91AC2" w:rsidP="00A91AC2">
            <w:pPr>
              <w:pStyle w:val="Contactinfo"/>
            </w:pPr>
            <w:r>
              <w:t>Carly.Olig@Navigant.com</w:t>
            </w:r>
            <w:r w:rsidRPr="007B32D7">
              <w:t xml:space="preserve"> </w:t>
            </w:r>
          </w:p>
        </w:tc>
      </w:tr>
    </w:tbl>
    <w:p w14:paraId="481816F2" w14:textId="1C53C958" w:rsidR="00AF6479" w:rsidRPr="007B32D7" w:rsidRDefault="00AF6479" w:rsidP="009A59F0">
      <w:pPr>
        <w:pStyle w:val="Contactinfo"/>
      </w:pPr>
    </w:p>
    <w:p w14:paraId="1032F60A" w14:textId="421FC747" w:rsidR="006F5275" w:rsidRPr="005621C7" w:rsidRDefault="00415C54" w:rsidP="00A83863">
      <w:r w:rsidRPr="005621C7">
        <w:t xml:space="preserve">Disclaimer: This report was prepared by </w:t>
      </w:r>
      <w:r w:rsidR="00874520" w:rsidRPr="00BD6313">
        <w:t>Navigant Consulting, Inc., n/k/a Guidehouse Inc. (Navigant)</w:t>
      </w:r>
      <w:r w:rsidR="00874520">
        <w:rPr>
          <w:rStyle w:val="FootnoteReference"/>
        </w:rPr>
        <w:footnoteReference w:id="1"/>
      </w:r>
      <w:r w:rsidRPr="005621C7">
        <w:t xml:space="preserve"> for ComEd based upon information provided by ComEd and from other sources. Use of this report by any other party for whatever purpose should not, and does not, absolve such party from using due diligence in verifying the report’s contents. Neither Navigant nor any of its subsidiaries or affiliates assumes any liability or duty of care to such parties, and hereby disclaims any such liability.</w:t>
      </w:r>
    </w:p>
    <w:p w14:paraId="0E15A9FD" w14:textId="77777777" w:rsidR="00415C54" w:rsidRPr="005621C7" w:rsidRDefault="00415C54" w:rsidP="009A59F0">
      <w:pPr>
        <w:pStyle w:val="Contactinfo"/>
      </w:pPr>
    </w:p>
    <w:p w14:paraId="702705E8" w14:textId="77777777" w:rsidR="00415C54" w:rsidRPr="005621C7" w:rsidRDefault="00415C54" w:rsidP="009A59F0">
      <w:pPr>
        <w:pStyle w:val="Contactinfo"/>
        <w:sectPr w:rsidR="00415C54" w:rsidRPr="005621C7" w:rsidSect="007D70E2">
          <w:headerReference w:type="default" r:id="rId17"/>
          <w:footerReference w:type="default" r:id="rId18"/>
          <w:pgSz w:w="12240" w:h="15840" w:code="1"/>
          <w:pgMar w:top="1440" w:right="1440" w:bottom="1440" w:left="1440" w:header="720" w:footer="720" w:gutter="0"/>
          <w:pgNumType w:fmt="lowerRoman" w:start="1"/>
          <w:cols w:space="720"/>
          <w:docGrid w:linePitch="360"/>
        </w:sectPr>
      </w:pPr>
    </w:p>
    <w:p w14:paraId="241A7B8F" w14:textId="4C56868A" w:rsidR="00AF6479" w:rsidRPr="005621C7" w:rsidRDefault="00AF6479" w:rsidP="00722F7D">
      <w:pPr>
        <w:pStyle w:val="TOCHeading"/>
        <w:tabs>
          <w:tab w:val="center" w:pos="4680"/>
        </w:tabs>
      </w:pPr>
      <w:r w:rsidRPr="005621C7">
        <w:lastRenderedPageBreak/>
        <w:t>Table of Contents</w:t>
      </w:r>
    </w:p>
    <w:p w14:paraId="2657F470" w14:textId="0205C830" w:rsidR="00302145" w:rsidRDefault="001E76D5">
      <w:pPr>
        <w:pStyle w:val="TOC1"/>
        <w:rPr>
          <w:rFonts w:asciiTheme="minorHAnsi" w:eastAsiaTheme="minorEastAsia" w:hAnsiTheme="minorHAnsi"/>
          <w:noProof/>
          <w:sz w:val="22"/>
        </w:rPr>
      </w:pPr>
      <w:r>
        <w:rPr>
          <w:b/>
          <w:noProof/>
        </w:rPr>
        <w:fldChar w:fldCharType="begin"/>
      </w:r>
      <w:r>
        <w:rPr>
          <w:b/>
          <w:noProof/>
        </w:rPr>
        <w:instrText xml:space="preserve"> TOC \o "1-3" \h \z \u </w:instrText>
      </w:r>
      <w:r>
        <w:rPr>
          <w:b/>
          <w:noProof/>
        </w:rPr>
        <w:fldChar w:fldCharType="separate"/>
      </w:r>
      <w:hyperlink w:anchor="_Toc525646485" w:history="1">
        <w:r w:rsidR="00302145" w:rsidRPr="00352C93">
          <w:rPr>
            <w:rStyle w:val="Hyperlink"/>
            <w:noProof/>
          </w:rPr>
          <w:t>1. Introduction</w:t>
        </w:r>
        <w:r w:rsidR="00302145">
          <w:rPr>
            <w:noProof/>
            <w:webHidden/>
          </w:rPr>
          <w:tab/>
        </w:r>
        <w:r w:rsidR="00302145">
          <w:rPr>
            <w:noProof/>
            <w:webHidden/>
          </w:rPr>
          <w:fldChar w:fldCharType="begin"/>
        </w:r>
        <w:r w:rsidR="00302145">
          <w:rPr>
            <w:noProof/>
            <w:webHidden/>
          </w:rPr>
          <w:instrText xml:space="preserve"> PAGEREF _Toc525646485 \h </w:instrText>
        </w:r>
        <w:r w:rsidR="00302145">
          <w:rPr>
            <w:noProof/>
            <w:webHidden/>
          </w:rPr>
        </w:r>
        <w:r w:rsidR="00302145">
          <w:rPr>
            <w:noProof/>
            <w:webHidden/>
          </w:rPr>
          <w:fldChar w:fldCharType="separate"/>
        </w:r>
        <w:r w:rsidR="006E4D05">
          <w:rPr>
            <w:noProof/>
            <w:webHidden/>
          </w:rPr>
          <w:t>1</w:t>
        </w:r>
        <w:r w:rsidR="00302145">
          <w:rPr>
            <w:noProof/>
            <w:webHidden/>
          </w:rPr>
          <w:fldChar w:fldCharType="end"/>
        </w:r>
      </w:hyperlink>
    </w:p>
    <w:p w14:paraId="17492F14" w14:textId="511AC58A" w:rsidR="00302145" w:rsidRDefault="00273FB1">
      <w:pPr>
        <w:pStyle w:val="TOC1"/>
        <w:rPr>
          <w:rFonts w:asciiTheme="minorHAnsi" w:eastAsiaTheme="minorEastAsia" w:hAnsiTheme="minorHAnsi"/>
          <w:noProof/>
          <w:sz w:val="22"/>
        </w:rPr>
      </w:pPr>
      <w:hyperlink w:anchor="_Toc525646486" w:history="1">
        <w:r w:rsidR="00302145" w:rsidRPr="00352C93">
          <w:rPr>
            <w:rStyle w:val="Hyperlink"/>
            <w:noProof/>
          </w:rPr>
          <w:t>2. Research Description</w:t>
        </w:r>
        <w:r w:rsidR="00302145">
          <w:rPr>
            <w:noProof/>
            <w:webHidden/>
          </w:rPr>
          <w:tab/>
        </w:r>
        <w:r w:rsidR="00302145">
          <w:rPr>
            <w:noProof/>
            <w:webHidden/>
          </w:rPr>
          <w:fldChar w:fldCharType="begin"/>
        </w:r>
        <w:r w:rsidR="00302145">
          <w:rPr>
            <w:noProof/>
            <w:webHidden/>
          </w:rPr>
          <w:instrText xml:space="preserve"> PAGEREF _Toc525646486 \h </w:instrText>
        </w:r>
        <w:r w:rsidR="00302145">
          <w:rPr>
            <w:noProof/>
            <w:webHidden/>
          </w:rPr>
        </w:r>
        <w:r w:rsidR="00302145">
          <w:rPr>
            <w:noProof/>
            <w:webHidden/>
          </w:rPr>
          <w:fldChar w:fldCharType="separate"/>
        </w:r>
        <w:r w:rsidR="006E4D05">
          <w:rPr>
            <w:noProof/>
            <w:webHidden/>
          </w:rPr>
          <w:t>1</w:t>
        </w:r>
        <w:r w:rsidR="00302145">
          <w:rPr>
            <w:noProof/>
            <w:webHidden/>
          </w:rPr>
          <w:fldChar w:fldCharType="end"/>
        </w:r>
      </w:hyperlink>
    </w:p>
    <w:p w14:paraId="6D9FC331" w14:textId="5D783346" w:rsidR="00302145" w:rsidRDefault="00273FB1">
      <w:pPr>
        <w:pStyle w:val="TOC1"/>
        <w:rPr>
          <w:rFonts w:asciiTheme="minorHAnsi" w:eastAsiaTheme="minorEastAsia" w:hAnsiTheme="minorHAnsi"/>
          <w:noProof/>
          <w:sz w:val="22"/>
        </w:rPr>
      </w:pPr>
      <w:hyperlink w:anchor="_Toc525646487" w:history="1">
        <w:r w:rsidR="00302145" w:rsidRPr="00352C93">
          <w:rPr>
            <w:rStyle w:val="Hyperlink"/>
            <w:noProof/>
          </w:rPr>
          <w:t>3. Research Results</w:t>
        </w:r>
        <w:r w:rsidR="00302145">
          <w:rPr>
            <w:noProof/>
            <w:webHidden/>
          </w:rPr>
          <w:tab/>
        </w:r>
        <w:r w:rsidR="00302145">
          <w:rPr>
            <w:noProof/>
            <w:webHidden/>
          </w:rPr>
          <w:fldChar w:fldCharType="begin"/>
        </w:r>
        <w:r w:rsidR="00302145">
          <w:rPr>
            <w:noProof/>
            <w:webHidden/>
          </w:rPr>
          <w:instrText xml:space="preserve"> PAGEREF _Toc525646487 \h </w:instrText>
        </w:r>
        <w:r w:rsidR="00302145">
          <w:rPr>
            <w:noProof/>
            <w:webHidden/>
          </w:rPr>
        </w:r>
        <w:r w:rsidR="00302145">
          <w:rPr>
            <w:noProof/>
            <w:webHidden/>
          </w:rPr>
          <w:fldChar w:fldCharType="separate"/>
        </w:r>
        <w:r w:rsidR="006E4D05">
          <w:rPr>
            <w:noProof/>
            <w:webHidden/>
          </w:rPr>
          <w:t>2</w:t>
        </w:r>
        <w:r w:rsidR="00302145">
          <w:rPr>
            <w:noProof/>
            <w:webHidden/>
          </w:rPr>
          <w:fldChar w:fldCharType="end"/>
        </w:r>
      </w:hyperlink>
    </w:p>
    <w:p w14:paraId="25102018" w14:textId="1934DB36" w:rsidR="00302145" w:rsidRDefault="00273FB1">
      <w:pPr>
        <w:pStyle w:val="TOC2"/>
        <w:rPr>
          <w:rFonts w:asciiTheme="minorHAnsi" w:eastAsiaTheme="minorEastAsia" w:hAnsiTheme="minorHAnsi"/>
          <w:sz w:val="22"/>
        </w:rPr>
      </w:pPr>
      <w:hyperlink w:anchor="_Toc525646488" w:history="1">
        <w:r w:rsidR="00302145" w:rsidRPr="00352C93">
          <w:rPr>
            <w:rStyle w:val="Hyperlink"/>
          </w:rPr>
          <w:t>Annual Savings Decay Rate</w:t>
        </w:r>
        <w:r w:rsidR="00302145">
          <w:rPr>
            <w:webHidden/>
          </w:rPr>
          <w:tab/>
        </w:r>
        <w:r w:rsidR="00302145">
          <w:rPr>
            <w:webHidden/>
          </w:rPr>
          <w:fldChar w:fldCharType="begin"/>
        </w:r>
        <w:r w:rsidR="00302145">
          <w:rPr>
            <w:webHidden/>
          </w:rPr>
          <w:instrText xml:space="preserve"> PAGEREF _Toc525646488 \h </w:instrText>
        </w:r>
        <w:r w:rsidR="00302145">
          <w:rPr>
            <w:webHidden/>
          </w:rPr>
        </w:r>
        <w:r w:rsidR="00302145">
          <w:rPr>
            <w:webHidden/>
          </w:rPr>
          <w:fldChar w:fldCharType="separate"/>
        </w:r>
        <w:r w:rsidR="006E4D05">
          <w:rPr>
            <w:webHidden/>
          </w:rPr>
          <w:t>2</w:t>
        </w:r>
        <w:r w:rsidR="00302145">
          <w:rPr>
            <w:webHidden/>
          </w:rPr>
          <w:fldChar w:fldCharType="end"/>
        </w:r>
      </w:hyperlink>
    </w:p>
    <w:p w14:paraId="76AC04C5" w14:textId="4158C991" w:rsidR="00302145" w:rsidRDefault="00273FB1">
      <w:pPr>
        <w:pStyle w:val="TOC1"/>
        <w:rPr>
          <w:rFonts w:asciiTheme="minorHAnsi" w:eastAsiaTheme="minorEastAsia" w:hAnsiTheme="minorHAnsi"/>
          <w:noProof/>
          <w:sz w:val="22"/>
        </w:rPr>
      </w:pPr>
      <w:hyperlink w:anchor="_Toc525646489" w:history="1">
        <w:r w:rsidR="00302145" w:rsidRPr="00352C93">
          <w:rPr>
            <w:rStyle w:val="Hyperlink"/>
            <w:noProof/>
          </w:rPr>
          <w:t>4. Findings and Recommendations</w:t>
        </w:r>
        <w:r w:rsidR="00302145">
          <w:rPr>
            <w:noProof/>
            <w:webHidden/>
          </w:rPr>
          <w:tab/>
        </w:r>
        <w:r w:rsidR="00302145">
          <w:rPr>
            <w:noProof/>
            <w:webHidden/>
          </w:rPr>
          <w:fldChar w:fldCharType="begin"/>
        </w:r>
        <w:r w:rsidR="00302145">
          <w:rPr>
            <w:noProof/>
            <w:webHidden/>
          </w:rPr>
          <w:instrText xml:space="preserve"> PAGEREF _Toc525646489 \h </w:instrText>
        </w:r>
        <w:r w:rsidR="00302145">
          <w:rPr>
            <w:noProof/>
            <w:webHidden/>
          </w:rPr>
        </w:r>
        <w:r w:rsidR="00302145">
          <w:rPr>
            <w:noProof/>
            <w:webHidden/>
          </w:rPr>
          <w:fldChar w:fldCharType="separate"/>
        </w:r>
        <w:r w:rsidR="006E4D05">
          <w:rPr>
            <w:noProof/>
            <w:webHidden/>
          </w:rPr>
          <w:t>5</w:t>
        </w:r>
        <w:r w:rsidR="00302145">
          <w:rPr>
            <w:noProof/>
            <w:webHidden/>
          </w:rPr>
          <w:fldChar w:fldCharType="end"/>
        </w:r>
      </w:hyperlink>
    </w:p>
    <w:p w14:paraId="403FE16B" w14:textId="6972DDC1" w:rsidR="00302145" w:rsidRDefault="00273FB1">
      <w:pPr>
        <w:pStyle w:val="TOC1"/>
        <w:rPr>
          <w:rFonts w:asciiTheme="minorHAnsi" w:eastAsiaTheme="minorEastAsia" w:hAnsiTheme="minorHAnsi"/>
          <w:noProof/>
          <w:sz w:val="22"/>
        </w:rPr>
      </w:pPr>
      <w:hyperlink w:anchor="_Toc525646490" w:history="1">
        <w:r w:rsidR="00302145" w:rsidRPr="00352C93">
          <w:rPr>
            <w:rStyle w:val="Hyperlink"/>
            <w:noProof/>
          </w:rPr>
          <w:t>5. Appendix 1. Impact Analysis Methodology</w:t>
        </w:r>
        <w:r w:rsidR="00302145">
          <w:rPr>
            <w:noProof/>
            <w:webHidden/>
          </w:rPr>
          <w:tab/>
        </w:r>
        <w:r w:rsidR="00302145">
          <w:rPr>
            <w:noProof/>
            <w:webHidden/>
          </w:rPr>
          <w:fldChar w:fldCharType="begin"/>
        </w:r>
        <w:r w:rsidR="00302145">
          <w:rPr>
            <w:noProof/>
            <w:webHidden/>
          </w:rPr>
          <w:instrText xml:space="preserve"> PAGEREF _Toc525646490 \h </w:instrText>
        </w:r>
        <w:r w:rsidR="00302145">
          <w:rPr>
            <w:noProof/>
            <w:webHidden/>
          </w:rPr>
        </w:r>
        <w:r w:rsidR="00302145">
          <w:rPr>
            <w:noProof/>
            <w:webHidden/>
          </w:rPr>
          <w:fldChar w:fldCharType="separate"/>
        </w:r>
        <w:r w:rsidR="006E4D05">
          <w:rPr>
            <w:noProof/>
            <w:webHidden/>
          </w:rPr>
          <w:t>6</w:t>
        </w:r>
        <w:r w:rsidR="00302145">
          <w:rPr>
            <w:noProof/>
            <w:webHidden/>
          </w:rPr>
          <w:fldChar w:fldCharType="end"/>
        </w:r>
      </w:hyperlink>
    </w:p>
    <w:p w14:paraId="6DB7966B" w14:textId="2B27B375" w:rsidR="00302145" w:rsidRDefault="00273FB1">
      <w:pPr>
        <w:pStyle w:val="TOC2"/>
        <w:rPr>
          <w:rFonts w:asciiTheme="minorHAnsi" w:eastAsiaTheme="minorEastAsia" w:hAnsiTheme="minorHAnsi"/>
          <w:sz w:val="22"/>
        </w:rPr>
      </w:pPr>
      <w:hyperlink w:anchor="_Toc525646491" w:history="1">
        <w:r w:rsidR="00302145" w:rsidRPr="00352C93">
          <w:rPr>
            <w:rStyle w:val="Hyperlink"/>
            <w:rFonts w:eastAsiaTheme="majorEastAsia"/>
          </w:rPr>
          <w:t>5.1</w:t>
        </w:r>
        <w:r w:rsidR="00302145" w:rsidRPr="00352C93">
          <w:rPr>
            <w:rStyle w:val="Hyperlink"/>
          </w:rPr>
          <w:t xml:space="preserve"> Statistical Models Used in the Impact Evaluation</w:t>
        </w:r>
        <w:r w:rsidR="00302145">
          <w:rPr>
            <w:webHidden/>
          </w:rPr>
          <w:tab/>
        </w:r>
        <w:r w:rsidR="00302145">
          <w:rPr>
            <w:webHidden/>
          </w:rPr>
          <w:fldChar w:fldCharType="begin"/>
        </w:r>
        <w:r w:rsidR="00302145">
          <w:rPr>
            <w:webHidden/>
          </w:rPr>
          <w:instrText xml:space="preserve"> PAGEREF _Toc525646491 \h </w:instrText>
        </w:r>
        <w:r w:rsidR="00302145">
          <w:rPr>
            <w:webHidden/>
          </w:rPr>
        </w:r>
        <w:r w:rsidR="00302145">
          <w:rPr>
            <w:webHidden/>
          </w:rPr>
          <w:fldChar w:fldCharType="separate"/>
        </w:r>
        <w:r w:rsidR="006E4D05">
          <w:rPr>
            <w:webHidden/>
          </w:rPr>
          <w:t>6</w:t>
        </w:r>
        <w:r w:rsidR="00302145">
          <w:rPr>
            <w:webHidden/>
          </w:rPr>
          <w:fldChar w:fldCharType="end"/>
        </w:r>
      </w:hyperlink>
    </w:p>
    <w:p w14:paraId="37126AD4" w14:textId="326A5007" w:rsidR="00302145" w:rsidRDefault="00273FB1">
      <w:pPr>
        <w:pStyle w:val="TOC3"/>
        <w:rPr>
          <w:rFonts w:asciiTheme="minorHAnsi" w:hAnsiTheme="minorHAnsi"/>
          <w:sz w:val="22"/>
          <w:szCs w:val="22"/>
        </w:rPr>
      </w:pPr>
      <w:hyperlink w:anchor="_Toc525646492" w:history="1">
        <w:r w:rsidR="00302145" w:rsidRPr="00352C93">
          <w:rPr>
            <w:rStyle w:val="Hyperlink"/>
            <w:rFonts w:eastAsiaTheme="majorEastAsia"/>
          </w:rPr>
          <w:t>5.1.1</w:t>
        </w:r>
        <w:r w:rsidR="00302145" w:rsidRPr="00352C93">
          <w:rPr>
            <w:rStyle w:val="Hyperlink"/>
          </w:rPr>
          <w:t xml:space="preserve"> Lagged Dependent Variable Model</w:t>
        </w:r>
        <w:r w:rsidR="00302145">
          <w:rPr>
            <w:webHidden/>
          </w:rPr>
          <w:tab/>
        </w:r>
        <w:r w:rsidR="00302145">
          <w:rPr>
            <w:webHidden/>
          </w:rPr>
          <w:fldChar w:fldCharType="begin"/>
        </w:r>
        <w:r w:rsidR="00302145">
          <w:rPr>
            <w:webHidden/>
          </w:rPr>
          <w:instrText xml:space="preserve"> PAGEREF _Toc525646492 \h </w:instrText>
        </w:r>
        <w:r w:rsidR="00302145">
          <w:rPr>
            <w:webHidden/>
          </w:rPr>
        </w:r>
        <w:r w:rsidR="00302145">
          <w:rPr>
            <w:webHidden/>
          </w:rPr>
          <w:fldChar w:fldCharType="separate"/>
        </w:r>
        <w:r w:rsidR="006E4D05">
          <w:rPr>
            <w:webHidden/>
          </w:rPr>
          <w:t>6</w:t>
        </w:r>
        <w:r w:rsidR="00302145">
          <w:rPr>
            <w:webHidden/>
          </w:rPr>
          <w:fldChar w:fldCharType="end"/>
        </w:r>
      </w:hyperlink>
    </w:p>
    <w:p w14:paraId="5899067B" w14:textId="3E2BC96F" w:rsidR="00302145" w:rsidRDefault="00273FB1">
      <w:pPr>
        <w:pStyle w:val="TOC3"/>
        <w:rPr>
          <w:rFonts w:asciiTheme="minorHAnsi" w:hAnsiTheme="minorHAnsi"/>
          <w:sz w:val="22"/>
          <w:szCs w:val="22"/>
        </w:rPr>
      </w:pPr>
      <w:hyperlink w:anchor="_Toc525646493" w:history="1">
        <w:r w:rsidR="00302145" w:rsidRPr="00352C93">
          <w:rPr>
            <w:rStyle w:val="Hyperlink"/>
            <w:rFonts w:eastAsiaTheme="majorEastAsia"/>
          </w:rPr>
          <w:t>5.1.2</w:t>
        </w:r>
        <w:r w:rsidR="00302145" w:rsidRPr="00352C93">
          <w:rPr>
            <w:rStyle w:val="Hyperlink"/>
          </w:rPr>
          <w:t xml:space="preserve"> Linear Fixed Effects Regression Model</w:t>
        </w:r>
        <w:r w:rsidR="00302145">
          <w:rPr>
            <w:webHidden/>
          </w:rPr>
          <w:tab/>
        </w:r>
        <w:r w:rsidR="00302145">
          <w:rPr>
            <w:webHidden/>
          </w:rPr>
          <w:fldChar w:fldCharType="begin"/>
        </w:r>
        <w:r w:rsidR="00302145">
          <w:rPr>
            <w:webHidden/>
          </w:rPr>
          <w:instrText xml:space="preserve"> PAGEREF _Toc525646493 \h </w:instrText>
        </w:r>
        <w:r w:rsidR="00302145">
          <w:rPr>
            <w:webHidden/>
          </w:rPr>
        </w:r>
        <w:r w:rsidR="00302145">
          <w:rPr>
            <w:webHidden/>
          </w:rPr>
          <w:fldChar w:fldCharType="separate"/>
        </w:r>
        <w:r w:rsidR="006E4D05">
          <w:rPr>
            <w:webHidden/>
          </w:rPr>
          <w:t>7</w:t>
        </w:r>
        <w:r w:rsidR="00302145">
          <w:rPr>
            <w:webHidden/>
          </w:rPr>
          <w:fldChar w:fldCharType="end"/>
        </w:r>
      </w:hyperlink>
    </w:p>
    <w:p w14:paraId="019A70C2" w14:textId="70027969" w:rsidR="00302145" w:rsidRDefault="00273FB1">
      <w:pPr>
        <w:pStyle w:val="TOC2"/>
        <w:rPr>
          <w:rFonts w:asciiTheme="minorHAnsi" w:eastAsiaTheme="minorEastAsia" w:hAnsiTheme="minorHAnsi"/>
          <w:sz w:val="22"/>
        </w:rPr>
      </w:pPr>
      <w:hyperlink w:anchor="_Toc525646494" w:history="1">
        <w:r w:rsidR="00302145" w:rsidRPr="00352C93">
          <w:rPr>
            <w:rStyle w:val="Hyperlink"/>
            <w:rFonts w:eastAsiaTheme="majorEastAsia"/>
          </w:rPr>
          <w:t>5.2</w:t>
        </w:r>
        <w:r w:rsidR="00302145" w:rsidRPr="00352C93">
          <w:rPr>
            <w:rStyle w:val="Hyperlink"/>
          </w:rPr>
          <w:t xml:space="preserve"> Estimating Decay of Savings</w:t>
        </w:r>
        <w:r w:rsidR="00302145">
          <w:rPr>
            <w:webHidden/>
          </w:rPr>
          <w:tab/>
        </w:r>
        <w:r w:rsidR="00302145">
          <w:rPr>
            <w:webHidden/>
          </w:rPr>
          <w:fldChar w:fldCharType="begin"/>
        </w:r>
        <w:r w:rsidR="00302145">
          <w:rPr>
            <w:webHidden/>
          </w:rPr>
          <w:instrText xml:space="preserve"> PAGEREF _Toc525646494 \h </w:instrText>
        </w:r>
        <w:r w:rsidR="00302145">
          <w:rPr>
            <w:webHidden/>
          </w:rPr>
        </w:r>
        <w:r w:rsidR="00302145">
          <w:rPr>
            <w:webHidden/>
          </w:rPr>
          <w:fldChar w:fldCharType="separate"/>
        </w:r>
        <w:r w:rsidR="006E4D05">
          <w:rPr>
            <w:webHidden/>
          </w:rPr>
          <w:t>8</w:t>
        </w:r>
        <w:r w:rsidR="00302145">
          <w:rPr>
            <w:webHidden/>
          </w:rPr>
          <w:fldChar w:fldCharType="end"/>
        </w:r>
      </w:hyperlink>
    </w:p>
    <w:p w14:paraId="1CE46E50" w14:textId="422ED24E" w:rsidR="00302145" w:rsidRDefault="00273FB1">
      <w:pPr>
        <w:pStyle w:val="TOC2"/>
        <w:rPr>
          <w:rFonts w:asciiTheme="minorHAnsi" w:eastAsiaTheme="minorEastAsia" w:hAnsiTheme="minorHAnsi"/>
          <w:sz w:val="22"/>
        </w:rPr>
      </w:pPr>
      <w:hyperlink w:anchor="_Toc525646495" w:history="1">
        <w:r w:rsidR="00302145" w:rsidRPr="00352C93">
          <w:rPr>
            <w:rStyle w:val="Hyperlink"/>
            <w:rFonts w:eastAsiaTheme="majorEastAsia"/>
          </w:rPr>
          <w:t>5.3</w:t>
        </w:r>
        <w:r w:rsidR="00302145" w:rsidRPr="00352C93">
          <w:rPr>
            <w:rStyle w:val="Hyperlink"/>
          </w:rPr>
          <w:t xml:space="preserve"> Accounting for Uplift in Other Energy Efficiency Programs</w:t>
        </w:r>
        <w:r w:rsidR="00302145">
          <w:rPr>
            <w:webHidden/>
          </w:rPr>
          <w:tab/>
        </w:r>
        <w:r w:rsidR="00302145">
          <w:rPr>
            <w:webHidden/>
          </w:rPr>
          <w:fldChar w:fldCharType="begin"/>
        </w:r>
        <w:r w:rsidR="00302145">
          <w:rPr>
            <w:webHidden/>
          </w:rPr>
          <w:instrText xml:space="preserve"> PAGEREF _Toc525646495 \h </w:instrText>
        </w:r>
        <w:r w:rsidR="00302145">
          <w:rPr>
            <w:webHidden/>
          </w:rPr>
        </w:r>
        <w:r w:rsidR="00302145">
          <w:rPr>
            <w:webHidden/>
          </w:rPr>
          <w:fldChar w:fldCharType="separate"/>
        </w:r>
        <w:r w:rsidR="006E4D05">
          <w:rPr>
            <w:webHidden/>
          </w:rPr>
          <w:t>9</w:t>
        </w:r>
        <w:r w:rsidR="00302145">
          <w:rPr>
            <w:webHidden/>
          </w:rPr>
          <w:fldChar w:fldCharType="end"/>
        </w:r>
      </w:hyperlink>
    </w:p>
    <w:p w14:paraId="0268B082" w14:textId="4FD8D667" w:rsidR="00302145" w:rsidRDefault="00273FB1">
      <w:pPr>
        <w:pStyle w:val="TOC3"/>
        <w:rPr>
          <w:rFonts w:asciiTheme="minorHAnsi" w:hAnsiTheme="minorHAnsi"/>
          <w:sz w:val="22"/>
          <w:szCs w:val="22"/>
        </w:rPr>
      </w:pPr>
      <w:hyperlink w:anchor="_Toc525646496" w:history="1">
        <w:r w:rsidR="00302145" w:rsidRPr="00352C93">
          <w:rPr>
            <w:rStyle w:val="Hyperlink"/>
            <w:rFonts w:eastAsiaTheme="majorEastAsia"/>
          </w:rPr>
          <w:t>5.3.1</w:t>
        </w:r>
        <w:r w:rsidR="00302145" w:rsidRPr="00352C93">
          <w:rPr>
            <w:rStyle w:val="Hyperlink"/>
          </w:rPr>
          <w:t xml:space="preserve"> Accounting for Uplift in the Analysis Period</w:t>
        </w:r>
        <w:r w:rsidR="00302145">
          <w:rPr>
            <w:webHidden/>
          </w:rPr>
          <w:tab/>
        </w:r>
        <w:r w:rsidR="00302145">
          <w:rPr>
            <w:webHidden/>
          </w:rPr>
          <w:fldChar w:fldCharType="begin"/>
        </w:r>
        <w:r w:rsidR="00302145">
          <w:rPr>
            <w:webHidden/>
          </w:rPr>
          <w:instrText xml:space="preserve"> PAGEREF _Toc525646496 \h </w:instrText>
        </w:r>
        <w:r w:rsidR="00302145">
          <w:rPr>
            <w:webHidden/>
          </w:rPr>
        </w:r>
        <w:r w:rsidR="00302145">
          <w:rPr>
            <w:webHidden/>
          </w:rPr>
          <w:fldChar w:fldCharType="separate"/>
        </w:r>
        <w:r w:rsidR="006E4D05">
          <w:rPr>
            <w:webHidden/>
          </w:rPr>
          <w:t>9</w:t>
        </w:r>
        <w:r w:rsidR="00302145">
          <w:rPr>
            <w:webHidden/>
          </w:rPr>
          <w:fldChar w:fldCharType="end"/>
        </w:r>
      </w:hyperlink>
    </w:p>
    <w:p w14:paraId="0548281C" w14:textId="1AAD46EA" w:rsidR="00302145" w:rsidRDefault="00273FB1">
      <w:pPr>
        <w:pStyle w:val="TOC3"/>
        <w:rPr>
          <w:rFonts w:asciiTheme="minorHAnsi" w:hAnsiTheme="minorHAnsi"/>
          <w:sz w:val="22"/>
          <w:szCs w:val="22"/>
        </w:rPr>
      </w:pPr>
      <w:hyperlink w:anchor="_Toc525646497" w:history="1">
        <w:r w:rsidR="00302145" w:rsidRPr="00352C93">
          <w:rPr>
            <w:rStyle w:val="Hyperlink"/>
            <w:rFonts w:eastAsiaTheme="majorEastAsia"/>
          </w:rPr>
          <w:t>5.3.2</w:t>
        </w:r>
        <w:r w:rsidR="00302145" w:rsidRPr="00352C93">
          <w:rPr>
            <w:rStyle w:val="Hyperlink"/>
          </w:rPr>
          <w:t xml:space="preserve"> Accounting for Legacy Uplift</w:t>
        </w:r>
        <w:r w:rsidR="00302145">
          <w:rPr>
            <w:webHidden/>
          </w:rPr>
          <w:tab/>
        </w:r>
        <w:r w:rsidR="00302145">
          <w:rPr>
            <w:webHidden/>
          </w:rPr>
          <w:fldChar w:fldCharType="begin"/>
        </w:r>
        <w:r w:rsidR="00302145">
          <w:rPr>
            <w:webHidden/>
          </w:rPr>
          <w:instrText xml:space="preserve"> PAGEREF _Toc525646497 \h </w:instrText>
        </w:r>
        <w:r w:rsidR="00302145">
          <w:rPr>
            <w:webHidden/>
          </w:rPr>
        </w:r>
        <w:r w:rsidR="00302145">
          <w:rPr>
            <w:webHidden/>
          </w:rPr>
          <w:fldChar w:fldCharType="separate"/>
        </w:r>
        <w:r w:rsidR="006E4D05">
          <w:rPr>
            <w:webHidden/>
          </w:rPr>
          <w:t>10</w:t>
        </w:r>
        <w:r w:rsidR="00302145">
          <w:rPr>
            <w:webHidden/>
          </w:rPr>
          <w:fldChar w:fldCharType="end"/>
        </w:r>
      </w:hyperlink>
    </w:p>
    <w:p w14:paraId="3C3770D6" w14:textId="2ECF483E" w:rsidR="00302145" w:rsidRDefault="00273FB1">
      <w:pPr>
        <w:pStyle w:val="TOC1"/>
        <w:rPr>
          <w:rFonts w:asciiTheme="minorHAnsi" w:eastAsiaTheme="minorEastAsia" w:hAnsiTheme="minorHAnsi"/>
          <w:noProof/>
          <w:sz w:val="22"/>
        </w:rPr>
      </w:pPr>
      <w:hyperlink w:anchor="_Toc525646498" w:history="1">
        <w:r w:rsidR="00302145" w:rsidRPr="00352C93">
          <w:rPr>
            <w:rStyle w:val="Hyperlink"/>
            <w:noProof/>
          </w:rPr>
          <w:t>6. Appendix 2. Impact Analysis Detail</w:t>
        </w:r>
        <w:r w:rsidR="00302145">
          <w:rPr>
            <w:noProof/>
            <w:webHidden/>
          </w:rPr>
          <w:tab/>
        </w:r>
        <w:r w:rsidR="00302145">
          <w:rPr>
            <w:noProof/>
            <w:webHidden/>
          </w:rPr>
          <w:fldChar w:fldCharType="begin"/>
        </w:r>
        <w:r w:rsidR="00302145">
          <w:rPr>
            <w:noProof/>
            <w:webHidden/>
          </w:rPr>
          <w:instrText xml:space="preserve"> PAGEREF _Toc525646498 \h </w:instrText>
        </w:r>
        <w:r w:rsidR="00302145">
          <w:rPr>
            <w:noProof/>
            <w:webHidden/>
          </w:rPr>
        </w:r>
        <w:r w:rsidR="00302145">
          <w:rPr>
            <w:noProof/>
            <w:webHidden/>
          </w:rPr>
          <w:fldChar w:fldCharType="separate"/>
        </w:r>
        <w:r w:rsidR="006E4D05">
          <w:rPr>
            <w:noProof/>
            <w:webHidden/>
          </w:rPr>
          <w:t>10</w:t>
        </w:r>
        <w:r w:rsidR="00302145">
          <w:rPr>
            <w:noProof/>
            <w:webHidden/>
          </w:rPr>
          <w:fldChar w:fldCharType="end"/>
        </w:r>
      </w:hyperlink>
    </w:p>
    <w:p w14:paraId="35F08C7A" w14:textId="38BF277D" w:rsidR="00302145" w:rsidRDefault="00273FB1">
      <w:pPr>
        <w:pStyle w:val="TOC1"/>
        <w:rPr>
          <w:rFonts w:asciiTheme="minorHAnsi" w:eastAsiaTheme="minorEastAsia" w:hAnsiTheme="minorHAnsi"/>
          <w:noProof/>
          <w:sz w:val="22"/>
        </w:rPr>
      </w:pPr>
      <w:hyperlink w:anchor="_Toc525646499" w:history="1">
        <w:r w:rsidR="00302145" w:rsidRPr="00352C93">
          <w:rPr>
            <w:rStyle w:val="Hyperlink"/>
            <w:noProof/>
          </w:rPr>
          <w:t>7. Appendix 3. Detailed Data Cleaning</w:t>
        </w:r>
        <w:r w:rsidR="00302145">
          <w:rPr>
            <w:noProof/>
            <w:webHidden/>
          </w:rPr>
          <w:tab/>
        </w:r>
        <w:r w:rsidR="00302145">
          <w:rPr>
            <w:noProof/>
            <w:webHidden/>
          </w:rPr>
          <w:fldChar w:fldCharType="begin"/>
        </w:r>
        <w:r w:rsidR="00302145">
          <w:rPr>
            <w:noProof/>
            <w:webHidden/>
          </w:rPr>
          <w:instrText xml:space="preserve"> PAGEREF _Toc525646499 \h </w:instrText>
        </w:r>
        <w:r w:rsidR="00302145">
          <w:rPr>
            <w:noProof/>
            <w:webHidden/>
          </w:rPr>
        </w:r>
        <w:r w:rsidR="00302145">
          <w:rPr>
            <w:noProof/>
            <w:webHidden/>
          </w:rPr>
          <w:fldChar w:fldCharType="separate"/>
        </w:r>
        <w:r w:rsidR="006E4D05">
          <w:rPr>
            <w:noProof/>
            <w:webHidden/>
          </w:rPr>
          <w:t>10</w:t>
        </w:r>
        <w:r w:rsidR="00302145">
          <w:rPr>
            <w:noProof/>
            <w:webHidden/>
          </w:rPr>
          <w:fldChar w:fldCharType="end"/>
        </w:r>
      </w:hyperlink>
    </w:p>
    <w:p w14:paraId="35038974" w14:textId="1AE38AFE" w:rsidR="00EA399C" w:rsidRDefault="001E76D5" w:rsidP="001636C7">
      <w:pPr>
        <w:pStyle w:val="TableofFigures"/>
      </w:pPr>
      <w:r>
        <w:rPr>
          <w:b/>
          <w:noProof/>
          <w:sz w:val="24"/>
        </w:rPr>
        <w:fldChar w:fldCharType="end"/>
      </w:r>
    </w:p>
    <w:p w14:paraId="17E30D14" w14:textId="77777777" w:rsidR="00E33D80" w:rsidRPr="005621C7" w:rsidRDefault="00E33D80" w:rsidP="00F71D56">
      <w:pPr>
        <w:pStyle w:val="TOCHeading"/>
      </w:pPr>
      <w:r w:rsidRPr="005621C7">
        <w:t>List of Tables and Figures</w:t>
      </w:r>
    </w:p>
    <w:p w14:paraId="781D3888" w14:textId="6A3C6FCF" w:rsidR="00302145" w:rsidRDefault="00E33D80">
      <w:pPr>
        <w:pStyle w:val="TableofFigures"/>
        <w:rPr>
          <w:rFonts w:asciiTheme="minorHAnsi" w:eastAsiaTheme="minorEastAsia" w:hAnsiTheme="minorHAnsi"/>
          <w:noProof/>
          <w:sz w:val="22"/>
        </w:rPr>
      </w:pPr>
      <w:r w:rsidRPr="005621C7">
        <w:fldChar w:fldCharType="begin"/>
      </w:r>
      <w:r w:rsidRPr="005621C7">
        <w:instrText xml:space="preserve"> TOC \h \z \c "Figure" </w:instrText>
      </w:r>
      <w:r w:rsidRPr="005621C7">
        <w:fldChar w:fldCharType="separate"/>
      </w:r>
      <w:hyperlink w:anchor="_Toc525646500" w:history="1">
        <w:r w:rsidR="00302145" w:rsidRPr="005C23FC">
          <w:rPr>
            <w:rStyle w:val="Hyperlink"/>
            <w:noProof/>
          </w:rPr>
          <w:t>Figure 3</w:t>
        </w:r>
        <w:r w:rsidR="00302145" w:rsidRPr="005C23FC">
          <w:rPr>
            <w:rStyle w:val="Hyperlink"/>
            <w:noProof/>
          </w:rPr>
          <w:noBreakHyphen/>
          <w:t>1. Decay Rate</w:t>
        </w:r>
        <w:r w:rsidR="00302145">
          <w:rPr>
            <w:noProof/>
            <w:webHidden/>
          </w:rPr>
          <w:tab/>
        </w:r>
        <w:r w:rsidR="00302145">
          <w:rPr>
            <w:noProof/>
            <w:webHidden/>
          </w:rPr>
          <w:fldChar w:fldCharType="begin"/>
        </w:r>
        <w:r w:rsidR="00302145">
          <w:rPr>
            <w:noProof/>
            <w:webHidden/>
          </w:rPr>
          <w:instrText xml:space="preserve"> PAGEREF _Toc525646500 \h </w:instrText>
        </w:r>
        <w:r w:rsidR="00302145">
          <w:rPr>
            <w:noProof/>
            <w:webHidden/>
          </w:rPr>
        </w:r>
        <w:r w:rsidR="00302145">
          <w:rPr>
            <w:noProof/>
            <w:webHidden/>
          </w:rPr>
          <w:fldChar w:fldCharType="separate"/>
        </w:r>
        <w:r w:rsidR="006E4D05">
          <w:rPr>
            <w:noProof/>
            <w:webHidden/>
          </w:rPr>
          <w:t>3</w:t>
        </w:r>
        <w:r w:rsidR="00302145">
          <w:rPr>
            <w:noProof/>
            <w:webHidden/>
          </w:rPr>
          <w:fldChar w:fldCharType="end"/>
        </w:r>
      </w:hyperlink>
    </w:p>
    <w:p w14:paraId="140EA9E0" w14:textId="574A669D" w:rsidR="00302145" w:rsidRDefault="00273FB1">
      <w:pPr>
        <w:pStyle w:val="TableofFigures"/>
        <w:rPr>
          <w:rFonts w:asciiTheme="minorHAnsi" w:eastAsiaTheme="minorEastAsia" w:hAnsiTheme="minorHAnsi"/>
          <w:noProof/>
          <w:sz w:val="22"/>
        </w:rPr>
      </w:pPr>
      <w:hyperlink w:anchor="_Toc525646501" w:history="1">
        <w:r w:rsidR="00302145" w:rsidRPr="005C23FC">
          <w:rPr>
            <w:rStyle w:val="Hyperlink"/>
            <w:noProof/>
          </w:rPr>
          <w:t>Figure 3</w:t>
        </w:r>
        <w:r w:rsidR="00302145" w:rsidRPr="005C23FC">
          <w:rPr>
            <w:rStyle w:val="Hyperlink"/>
            <w:noProof/>
          </w:rPr>
          <w:noBreakHyphen/>
          <w:t>2. Decay Rate Comparison</w:t>
        </w:r>
        <w:r w:rsidR="00302145">
          <w:rPr>
            <w:noProof/>
            <w:webHidden/>
          </w:rPr>
          <w:tab/>
        </w:r>
        <w:r w:rsidR="00302145">
          <w:rPr>
            <w:noProof/>
            <w:webHidden/>
          </w:rPr>
          <w:fldChar w:fldCharType="begin"/>
        </w:r>
        <w:r w:rsidR="00302145">
          <w:rPr>
            <w:noProof/>
            <w:webHidden/>
          </w:rPr>
          <w:instrText xml:space="preserve"> PAGEREF _Toc525646501 \h </w:instrText>
        </w:r>
        <w:r w:rsidR="00302145">
          <w:rPr>
            <w:noProof/>
            <w:webHidden/>
          </w:rPr>
        </w:r>
        <w:r w:rsidR="00302145">
          <w:rPr>
            <w:noProof/>
            <w:webHidden/>
          </w:rPr>
          <w:fldChar w:fldCharType="separate"/>
        </w:r>
        <w:r w:rsidR="006E4D05">
          <w:rPr>
            <w:noProof/>
            <w:webHidden/>
          </w:rPr>
          <w:t>4</w:t>
        </w:r>
        <w:r w:rsidR="00302145">
          <w:rPr>
            <w:noProof/>
            <w:webHidden/>
          </w:rPr>
          <w:fldChar w:fldCharType="end"/>
        </w:r>
      </w:hyperlink>
    </w:p>
    <w:p w14:paraId="443E6B17" w14:textId="43503C11" w:rsidR="00FC3C05" w:rsidRDefault="00E33D80" w:rsidP="00FC3C05">
      <w:pPr>
        <w:pStyle w:val="TableofFigures"/>
      </w:pPr>
      <w:r w:rsidRPr="005621C7">
        <w:fldChar w:fldCharType="end"/>
      </w:r>
    </w:p>
    <w:p w14:paraId="1458117B" w14:textId="6D38263C" w:rsidR="00302145" w:rsidRDefault="005F6937">
      <w:pPr>
        <w:pStyle w:val="TableofFigures"/>
        <w:rPr>
          <w:rFonts w:asciiTheme="minorHAnsi" w:eastAsiaTheme="minorEastAsia" w:hAnsiTheme="minorHAnsi"/>
          <w:noProof/>
          <w:sz w:val="22"/>
        </w:rPr>
      </w:pPr>
      <w:r>
        <w:fldChar w:fldCharType="begin"/>
      </w:r>
      <w:r>
        <w:instrText xml:space="preserve"> TOC \h \z \c "Table" </w:instrText>
      </w:r>
      <w:r>
        <w:fldChar w:fldCharType="separate"/>
      </w:r>
      <w:hyperlink w:anchor="_Toc525646502" w:history="1">
        <w:r w:rsidR="00302145" w:rsidRPr="00DA4C52">
          <w:rPr>
            <w:rStyle w:val="Hyperlink"/>
            <w:noProof/>
          </w:rPr>
          <w:t>Table 3</w:t>
        </w:r>
        <w:r w:rsidR="00302145" w:rsidRPr="00DA4C52">
          <w:rPr>
            <w:rStyle w:val="Hyperlink"/>
            <w:noProof/>
          </w:rPr>
          <w:noBreakHyphen/>
          <w:t>1. HER Decay Rates</w:t>
        </w:r>
        <w:r w:rsidR="00302145">
          <w:rPr>
            <w:noProof/>
            <w:webHidden/>
          </w:rPr>
          <w:tab/>
        </w:r>
        <w:r w:rsidR="00302145">
          <w:rPr>
            <w:noProof/>
            <w:webHidden/>
          </w:rPr>
          <w:fldChar w:fldCharType="begin"/>
        </w:r>
        <w:r w:rsidR="00302145">
          <w:rPr>
            <w:noProof/>
            <w:webHidden/>
          </w:rPr>
          <w:instrText xml:space="preserve"> PAGEREF _Toc525646502 \h </w:instrText>
        </w:r>
        <w:r w:rsidR="00302145">
          <w:rPr>
            <w:noProof/>
            <w:webHidden/>
          </w:rPr>
        </w:r>
        <w:r w:rsidR="00302145">
          <w:rPr>
            <w:noProof/>
            <w:webHidden/>
          </w:rPr>
          <w:fldChar w:fldCharType="separate"/>
        </w:r>
        <w:r w:rsidR="006E4D05">
          <w:rPr>
            <w:noProof/>
            <w:webHidden/>
          </w:rPr>
          <w:t>2</w:t>
        </w:r>
        <w:r w:rsidR="00302145">
          <w:rPr>
            <w:noProof/>
            <w:webHidden/>
          </w:rPr>
          <w:fldChar w:fldCharType="end"/>
        </w:r>
      </w:hyperlink>
    </w:p>
    <w:p w14:paraId="11A3456C" w14:textId="4491715E" w:rsidR="00302145" w:rsidRDefault="00273FB1">
      <w:pPr>
        <w:pStyle w:val="TableofFigures"/>
        <w:rPr>
          <w:rFonts w:asciiTheme="minorHAnsi" w:eastAsiaTheme="minorEastAsia" w:hAnsiTheme="minorHAnsi"/>
          <w:noProof/>
          <w:sz w:val="22"/>
        </w:rPr>
      </w:pPr>
      <w:hyperlink w:anchor="_Toc525646503" w:history="1">
        <w:r w:rsidR="00302145" w:rsidRPr="00DA4C52">
          <w:rPr>
            <w:rStyle w:val="Hyperlink"/>
            <w:noProof/>
          </w:rPr>
          <w:t>Table 3</w:t>
        </w:r>
        <w:r w:rsidR="00302145" w:rsidRPr="00DA4C52">
          <w:rPr>
            <w:rStyle w:val="Hyperlink"/>
            <w:noProof/>
          </w:rPr>
          <w:noBreakHyphen/>
          <w:t>2. HER Persistence Factors</w:t>
        </w:r>
        <w:r w:rsidR="00302145">
          <w:rPr>
            <w:noProof/>
            <w:webHidden/>
          </w:rPr>
          <w:tab/>
        </w:r>
        <w:r w:rsidR="00302145">
          <w:rPr>
            <w:noProof/>
            <w:webHidden/>
          </w:rPr>
          <w:fldChar w:fldCharType="begin"/>
        </w:r>
        <w:r w:rsidR="00302145">
          <w:rPr>
            <w:noProof/>
            <w:webHidden/>
          </w:rPr>
          <w:instrText xml:space="preserve"> PAGEREF _Toc525646503 \h </w:instrText>
        </w:r>
        <w:r w:rsidR="00302145">
          <w:rPr>
            <w:noProof/>
            <w:webHidden/>
          </w:rPr>
        </w:r>
        <w:r w:rsidR="00302145">
          <w:rPr>
            <w:noProof/>
            <w:webHidden/>
          </w:rPr>
          <w:fldChar w:fldCharType="separate"/>
        </w:r>
        <w:r w:rsidR="006E4D05">
          <w:rPr>
            <w:noProof/>
            <w:webHidden/>
          </w:rPr>
          <w:t>2</w:t>
        </w:r>
        <w:r w:rsidR="00302145">
          <w:rPr>
            <w:noProof/>
            <w:webHidden/>
          </w:rPr>
          <w:fldChar w:fldCharType="end"/>
        </w:r>
      </w:hyperlink>
    </w:p>
    <w:p w14:paraId="3FAAFA61" w14:textId="7A19DBCF" w:rsidR="00302145" w:rsidRDefault="00273FB1">
      <w:pPr>
        <w:pStyle w:val="TableofFigures"/>
        <w:rPr>
          <w:rFonts w:asciiTheme="minorHAnsi" w:eastAsiaTheme="minorEastAsia" w:hAnsiTheme="minorHAnsi"/>
          <w:noProof/>
          <w:sz w:val="22"/>
        </w:rPr>
      </w:pPr>
      <w:hyperlink w:anchor="_Toc525646504" w:history="1">
        <w:r w:rsidR="00302145" w:rsidRPr="00DA4C52">
          <w:rPr>
            <w:rStyle w:val="Hyperlink"/>
            <w:noProof/>
          </w:rPr>
          <w:t>Table 3</w:t>
        </w:r>
        <w:r w:rsidR="00302145" w:rsidRPr="00DA4C52">
          <w:rPr>
            <w:rStyle w:val="Hyperlink"/>
            <w:noProof/>
          </w:rPr>
          <w:noBreakHyphen/>
          <w:t>3. Existing and Recommended TRM Persistence Factors</w:t>
        </w:r>
        <w:r w:rsidR="00302145">
          <w:rPr>
            <w:noProof/>
            <w:webHidden/>
          </w:rPr>
          <w:tab/>
        </w:r>
        <w:r w:rsidR="00302145">
          <w:rPr>
            <w:noProof/>
            <w:webHidden/>
          </w:rPr>
          <w:fldChar w:fldCharType="begin"/>
        </w:r>
        <w:r w:rsidR="00302145">
          <w:rPr>
            <w:noProof/>
            <w:webHidden/>
          </w:rPr>
          <w:instrText xml:space="preserve"> PAGEREF _Toc525646504 \h </w:instrText>
        </w:r>
        <w:r w:rsidR="00302145">
          <w:rPr>
            <w:noProof/>
            <w:webHidden/>
          </w:rPr>
        </w:r>
        <w:r w:rsidR="00302145">
          <w:rPr>
            <w:noProof/>
            <w:webHidden/>
          </w:rPr>
          <w:fldChar w:fldCharType="separate"/>
        </w:r>
        <w:r w:rsidR="006E4D05">
          <w:rPr>
            <w:noProof/>
            <w:webHidden/>
          </w:rPr>
          <w:t>4</w:t>
        </w:r>
        <w:r w:rsidR="00302145">
          <w:rPr>
            <w:noProof/>
            <w:webHidden/>
          </w:rPr>
          <w:fldChar w:fldCharType="end"/>
        </w:r>
      </w:hyperlink>
    </w:p>
    <w:p w14:paraId="1D543348" w14:textId="5E0D56FE" w:rsidR="00302145" w:rsidRDefault="00273FB1">
      <w:pPr>
        <w:pStyle w:val="TableofFigures"/>
        <w:rPr>
          <w:rFonts w:asciiTheme="minorHAnsi" w:eastAsiaTheme="minorEastAsia" w:hAnsiTheme="minorHAnsi"/>
          <w:noProof/>
          <w:sz w:val="22"/>
        </w:rPr>
      </w:pPr>
      <w:hyperlink w:anchor="_Toc525646505" w:history="1">
        <w:r w:rsidR="00302145" w:rsidRPr="00DA4C52">
          <w:rPr>
            <w:rStyle w:val="Hyperlink"/>
            <w:noProof/>
          </w:rPr>
          <w:t>Table 3</w:t>
        </w:r>
        <w:r w:rsidR="00302145" w:rsidRPr="00DA4C52">
          <w:rPr>
            <w:rStyle w:val="Hyperlink"/>
            <w:noProof/>
          </w:rPr>
          <w:noBreakHyphen/>
          <w:t>4. HER Persistence Savings and Measure Life</w:t>
        </w:r>
        <w:r w:rsidR="00302145">
          <w:rPr>
            <w:noProof/>
            <w:webHidden/>
          </w:rPr>
          <w:tab/>
        </w:r>
        <w:r w:rsidR="00302145">
          <w:rPr>
            <w:noProof/>
            <w:webHidden/>
          </w:rPr>
          <w:fldChar w:fldCharType="begin"/>
        </w:r>
        <w:r w:rsidR="00302145">
          <w:rPr>
            <w:noProof/>
            <w:webHidden/>
          </w:rPr>
          <w:instrText xml:space="preserve"> PAGEREF _Toc525646505 \h </w:instrText>
        </w:r>
        <w:r w:rsidR="00302145">
          <w:rPr>
            <w:noProof/>
            <w:webHidden/>
          </w:rPr>
        </w:r>
        <w:r w:rsidR="00302145">
          <w:rPr>
            <w:noProof/>
            <w:webHidden/>
          </w:rPr>
          <w:fldChar w:fldCharType="separate"/>
        </w:r>
        <w:r w:rsidR="006E4D05">
          <w:rPr>
            <w:noProof/>
            <w:webHidden/>
          </w:rPr>
          <w:t>5</w:t>
        </w:r>
        <w:r w:rsidR="00302145">
          <w:rPr>
            <w:noProof/>
            <w:webHidden/>
          </w:rPr>
          <w:fldChar w:fldCharType="end"/>
        </w:r>
      </w:hyperlink>
    </w:p>
    <w:p w14:paraId="4240150B" w14:textId="67DDBFB6" w:rsidR="00302145" w:rsidRDefault="00273FB1">
      <w:pPr>
        <w:pStyle w:val="TableofFigures"/>
        <w:rPr>
          <w:rFonts w:asciiTheme="minorHAnsi" w:eastAsiaTheme="minorEastAsia" w:hAnsiTheme="minorHAnsi"/>
          <w:noProof/>
          <w:sz w:val="22"/>
        </w:rPr>
      </w:pPr>
      <w:hyperlink w:anchor="_Toc525646506" w:history="1">
        <w:r w:rsidR="00302145" w:rsidRPr="00DA4C52">
          <w:rPr>
            <w:rStyle w:val="Hyperlink"/>
            <w:noProof/>
          </w:rPr>
          <w:t>Table 3</w:t>
        </w:r>
        <w:r w:rsidR="00302145" w:rsidRPr="00DA4C52">
          <w:rPr>
            <w:rStyle w:val="Hyperlink"/>
            <w:noProof/>
          </w:rPr>
          <w:noBreakHyphen/>
          <w:t>5. HER Total Savings from November 2016 - October 2017</w:t>
        </w:r>
        <w:r w:rsidR="00302145">
          <w:rPr>
            <w:noProof/>
            <w:webHidden/>
          </w:rPr>
          <w:tab/>
        </w:r>
        <w:r w:rsidR="00302145">
          <w:rPr>
            <w:noProof/>
            <w:webHidden/>
          </w:rPr>
          <w:fldChar w:fldCharType="begin"/>
        </w:r>
        <w:r w:rsidR="00302145">
          <w:rPr>
            <w:noProof/>
            <w:webHidden/>
          </w:rPr>
          <w:instrText xml:space="preserve"> PAGEREF _Toc525646506 \h </w:instrText>
        </w:r>
        <w:r w:rsidR="00302145">
          <w:rPr>
            <w:noProof/>
            <w:webHidden/>
          </w:rPr>
        </w:r>
        <w:r w:rsidR="00302145">
          <w:rPr>
            <w:noProof/>
            <w:webHidden/>
          </w:rPr>
          <w:fldChar w:fldCharType="separate"/>
        </w:r>
        <w:r w:rsidR="006E4D05">
          <w:rPr>
            <w:noProof/>
            <w:webHidden/>
          </w:rPr>
          <w:t>5</w:t>
        </w:r>
        <w:r w:rsidR="00302145">
          <w:rPr>
            <w:noProof/>
            <w:webHidden/>
          </w:rPr>
          <w:fldChar w:fldCharType="end"/>
        </w:r>
      </w:hyperlink>
    </w:p>
    <w:p w14:paraId="2F741034" w14:textId="3517792A" w:rsidR="00302145" w:rsidRDefault="00273FB1">
      <w:pPr>
        <w:pStyle w:val="TableofFigures"/>
        <w:rPr>
          <w:rFonts w:asciiTheme="minorHAnsi" w:eastAsiaTheme="minorEastAsia" w:hAnsiTheme="minorHAnsi"/>
          <w:noProof/>
          <w:sz w:val="22"/>
        </w:rPr>
      </w:pPr>
      <w:hyperlink w:anchor="_Toc525646507" w:history="1">
        <w:r w:rsidR="00302145" w:rsidRPr="00DA4C52">
          <w:rPr>
            <w:rStyle w:val="Hyperlink"/>
            <w:noProof/>
          </w:rPr>
          <w:t>Table 7</w:t>
        </w:r>
        <w:r w:rsidR="00302145" w:rsidRPr="00DA4C52">
          <w:rPr>
            <w:rStyle w:val="Hyperlink"/>
            <w:noProof/>
          </w:rPr>
          <w:noBreakHyphen/>
          <w:t>1. Customers and Observations Removed by Data Cleaning Step (Wave 1)</w:t>
        </w:r>
        <w:r w:rsidR="00302145">
          <w:rPr>
            <w:noProof/>
            <w:webHidden/>
          </w:rPr>
          <w:tab/>
        </w:r>
        <w:r w:rsidR="00302145">
          <w:rPr>
            <w:noProof/>
            <w:webHidden/>
          </w:rPr>
          <w:fldChar w:fldCharType="begin"/>
        </w:r>
        <w:r w:rsidR="00302145">
          <w:rPr>
            <w:noProof/>
            <w:webHidden/>
          </w:rPr>
          <w:instrText xml:space="preserve"> PAGEREF _Toc525646507 \h </w:instrText>
        </w:r>
        <w:r w:rsidR="00302145">
          <w:rPr>
            <w:noProof/>
            <w:webHidden/>
          </w:rPr>
        </w:r>
        <w:r w:rsidR="00302145">
          <w:rPr>
            <w:noProof/>
            <w:webHidden/>
          </w:rPr>
          <w:fldChar w:fldCharType="separate"/>
        </w:r>
        <w:r w:rsidR="006E4D05">
          <w:rPr>
            <w:noProof/>
            <w:webHidden/>
          </w:rPr>
          <w:t>11</w:t>
        </w:r>
        <w:r w:rsidR="00302145">
          <w:rPr>
            <w:noProof/>
            <w:webHidden/>
          </w:rPr>
          <w:fldChar w:fldCharType="end"/>
        </w:r>
      </w:hyperlink>
    </w:p>
    <w:p w14:paraId="129E6021" w14:textId="106EC37A" w:rsidR="00302145" w:rsidRDefault="00273FB1">
      <w:pPr>
        <w:pStyle w:val="TableofFigures"/>
        <w:rPr>
          <w:rFonts w:asciiTheme="minorHAnsi" w:eastAsiaTheme="minorEastAsia" w:hAnsiTheme="minorHAnsi"/>
          <w:noProof/>
          <w:sz w:val="22"/>
        </w:rPr>
      </w:pPr>
      <w:hyperlink w:anchor="_Toc525646508" w:history="1">
        <w:r w:rsidR="00302145" w:rsidRPr="00DA4C52">
          <w:rPr>
            <w:rStyle w:val="Hyperlink"/>
            <w:noProof/>
          </w:rPr>
          <w:t>Table 7</w:t>
        </w:r>
        <w:r w:rsidR="00302145" w:rsidRPr="00DA4C52">
          <w:rPr>
            <w:rStyle w:val="Hyperlink"/>
            <w:noProof/>
          </w:rPr>
          <w:noBreakHyphen/>
          <w:t>2. Customers and Observations Removed by Data Cleaning Step (Wave 3)</w:t>
        </w:r>
        <w:r w:rsidR="00302145">
          <w:rPr>
            <w:noProof/>
            <w:webHidden/>
          </w:rPr>
          <w:tab/>
        </w:r>
        <w:r w:rsidR="00302145">
          <w:rPr>
            <w:noProof/>
            <w:webHidden/>
          </w:rPr>
          <w:fldChar w:fldCharType="begin"/>
        </w:r>
        <w:r w:rsidR="00302145">
          <w:rPr>
            <w:noProof/>
            <w:webHidden/>
          </w:rPr>
          <w:instrText xml:space="preserve"> PAGEREF _Toc525646508 \h </w:instrText>
        </w:r>
        <w:r w:rsidR="00302145">
          <w:rPr>
            <w:noProof/>
            <w:webHidden/>
          </w:rPr>
        </w:r>
        <w:r w:rsidR="00302145">
          <w:rPr>
            <w:noProof/>
            <w:webHidden/>
          </w:rPr>
          <w:fldChar w:fldCharType="separate"/>
        </w:r>
        <w:r w:rsidR="006E4D05">
          <w:rPr>
            <w:noProof/>
            <w:webHidden/>
          </w:rPr>
          <w:t>11</w:t>
        </w:r>
        <w:r w:rsidR="00302145">
          <w:rPr>
            <w:noProof/>
            <w:webHidden/>
          </w:rPr>
          <w:fldChar w:fldCharType="end"/>
        </w:r>
      </w:hyperlink>
    </w:p>
    <w:p w14:paraId="60DA7F2B" w14:textId="399102CA" w:rsidR="00302145" w:rsidRDefault="00273FB1">
      <w:pPr>
        <w:pStyle w:val="TableofFigures"/>
        <w:rPr>
          <w:rFonts w:asciiTheme="minorHAnsi" w:eastAsiaTheme="minorEastAsia" w:hAnsiTheme="minorHAnsi"/>
          <w:noProof/>
          <w:sz w:val="22"/>
        </w:rPr>
      </w:pPr>
      <w:hyperlink w:anchor="_Toc525646509" w:history="1">
        <w:r w:rsidR="00302145" w:rsidRPr="00DA4C52">
          <w:rPr>
            <w:rStyle w:val="Hyperlink"/>
            <w:noProof/>
          </w:rPr>
          <w:t>Table 7</w:t>
        </w:r>
        <w:r w:rsidR="00302145" w:rsidRPr="00DA4C52">
          <w:rPr>
            <w:rStyle w:val="Hyperlink"/>
            <w:noProof/>
          </w:rPr>
          <w:noBreakHyphen/>
          <w:t>3. Customers and Observations Removed by Data Cleaning Step (Wave 5)</w:t>
        </w:r>
        <w:r w:rsidR="00302145">
          <w:rPr>
            <w:noProof/>
            <w:webHidden/>
          </w:rPr>
          <w:tab/>
        </w:r>
        <w:r w:rsidR="00302145">
          <w:rPr>
            <w:noProof/>
            <w:webHidden/>
          </w:rPr>
          <w:fldChar w:fldCharType="begin"/>
        </w:r>
        <w:r w:rsidR="00302145">
          <w:rPr>
            <w:noProof/>
            <w:webHidden/>
          </w:rPr>
          <w:instrText xml:space="preserve"> PAGEREF _Toc525646509 \h </w:instrText>
        </w:r>
        <w:r w:rsidR="00302145">
          <w:rPr>
            <w:noProof/>
            <w:webHidden/>
          </w:rPr>
        </w:r>
        <w:r w:rsidR="00302145">
          <w:rPr>
            <w:noProof/>
            <w:webHidden/>
          </w:rPr>
          <w:fldChar w:fldCharType="separate"/>
        </w:r>
        <w:r w:rsidR="006E4D05">
          <w:rPr>
            <w:noProof/>
            <w:webHidden/>
          </w:rPr>
          <w:t>12</w:t>
        </w:r>
        <w:r w:rsidR="00302145">
          <w:rPr>
            <w:noProof/>
            <w:webHidden/>
          </w:rPr>
          <w:fldChar w:fldCharType="end"/>
        </w:r>
      </w:hyperlink>
    </w:p>
    <w:p w14:paraId="6FABA58A" w14:textId="60D63264" w:rsidR="00464F7A" w:rsidRDefault="005F6937" w:rsidP="00A83863">
      <w:pPr>
        <w:pStyle w:val="TableofFigures"/>
      </w:pPr>
      <w:r>
        <w:fldChar w:fldCharType="end"/>
      </w:r>
    </w:p>
    <w:p w14:paraId="00EEE08B" w14:textId="77777777" w:rsidR="006E72EA" w:rsidRPr="005621C7" w:rsidRDefault="006E72EA" w:rsidP="0039685C">
      <w:pPr>
        <w:pStyle w:val="TableofFigures"/>
        <w:sectPr w:rsidR="006E72EA" w:rsidRPr="005621C7" w:rsidSect="007D70E2">
          <w:footerReference w:type="default" r:id="rId19"/>
          <w:pgSz w:w="12240" w:h="15840" w:code="1"/>
          <w:pgMar w:top="1440" w:right="1440" w:bottom="1440" w:left="1440" w:header="720" w:footer="720" w:gutter="0"/>
          <w:pgNumType w:fmt="lowerRoman" w:start="1"/>
          <w:cols w:space="720"/>
          <w:docGrid w:linePitch="360"/>
        </w:sectPr>
      </w:pPr>
    </w:p>
    <w:p w14:paraId="6728D4A3" w14:textId="217C891B" w:rsidR="006E72EA" w:rsidRDefault="00E42F86" w:rsidP="007B32D7">
      <w:pPr>
        <w:pStyle w:val="Heading1"/>
      </w:pPr>
      <w:bookmarkStart w:id="1" w:name="_Toc525646485"/>
      <w:r>
        <w:lastRenderedPageBreak/>
        <w:t>Introduction</w:t>
      </w:r>
      <w:bookmarkEnd w:id="1"/>
    </w:p>
    <w:p w14:paraId="0C365484" w14:textId="6C5F5DD1" w:rsidR="00E42F86" w:rsidRPr="004258FC" w:rsidRDefault="00464F7A" w:rsidP="00464F7A">
      <w:pPr>
        <w:rPr>
          <w:rFonts w:cs="Arial"/>
          <w:szCs w:val="40"/>
        </w:rPr>
      </w:pPr>
      <w:bookmarkStart w:id="2" w:name="_Toc241481251"/>
      <w:bookmarkStart w:id="3" w:name="_Toc255776003"/>
      <w:r w:rsidRPr="0098050B">
        <w:rPr>
          <w:rFonts w:cs="Arial"/>
        </w:rPr>
        <w:t xml:space="preserve">This report presents </w:t>
      </w:r>
      <w:r w:rsidR="00E42F86" w:rsidRPr="0098050B">
        <w:rPr>
          <w:rFonts w:cs="Arial"/>
        </w:rPr>
        <w:t xml:space="preserve">the results of the </w:t>
      </w:r>
      <w:r w:rsidR="00763661">
        <w:rPr>
          <w:rFonts w:cs="Arial"/>
        </w:rPr>
        <w:t>fifth</w:t>
      </w:r>
      <w:r w:rsidR="00F35298">
        <w:rPr>
          <w:rFonts w:cs="Arial"/>
        </w:rPr>
        <w:t xml:space="preserve"> year of research</w:t>
      </w:r>
      <w:r w:rsidR="00327C4E">
        <w:rPr>
          <w:rFonts w:cs="Arial"/>
        </w:rPr>
        <w:t xml:space="preserve"> </w:t>
      </w:r>
      <w:r w:rsidR="00F35298">
        <w:rPr>
          <w:rFonts w:cs="Arial"/>
        </w:rPr>
        <w:t xml:space="preserve">on persistence and decay in </w:t>
      </w:r>
      <w:r w:rsidR="00F40577">
        <w:rPr>
          <w:rFonts w:cs="Arial"/>
        </w:rPr>
        <w:t>ComEd</w:t>
      </w:r>
      <w:r w:rsidR="00F35298">
        <w:rPr>
          <w:rFonts w:cs="Arial"/>
        </w:rPr>
        <w:t>’s</w:t>
      </w:r>
      <w:r w:rsidR="004C162A">
        <w:rPr>
          <w:rFonts w:cs="Arial"/>
        </w:rPr>
        <w:t xml:space="preserve"> </w:t>
      </w:r>
      <w:r w:rsidR="00261028">
        <w:rPr>
          <w:rFonts w:cs="Arial"/>
        </w:rPr>
        <w:t>Home Energy Report (HER)</w:t>
      </w:r>
      <w:r w:rsidR="0098050B" w:rsidRPr="0098050B">
        <w:rPr>
          <w:rFonts w:cs="Arial"/>
        </w:rPr>
        <w:t xml:space="preserve"> </w:t>
      </w:r>
      <w:r w:rsidR="00661E90">
        <w:rPr>
          <w:rFonts w:cs="Arial"/>
        </w:rPr>
        <w:t>P</w:t>
      </w:r>
      <w:r w:rsidR="00F35298">
        <w:rPr>
          <w:rFonts w:cs="Arial"/>
        </w:rPr>
        <w:t>rogram</w:t>
      </w:r>
      <w:r>
        <w:t>.</w:t>
      </w:r>
      <w:r w:rsidRPr="00D85EE1">
        <w:t xml:space="preserve"> </w:t>
      </w:r>
      <w:r w:rsidR="00F35298">
        <w:t>The</w:t>
      </w:r>
      <w:r w:rsidR="004258FC">
        <w:t xml:space="preserve"> primary objective is to identify the extent to which household energy savings persisted or decayed once customers no longer received HERs. </w:t>
      </w:r>
      <w:r w:rsidR="00000D5D">
        <w:t>The appendix presents the impact analysis methodology.</w:t>
      </w:r>
      <w:r w:rsidR="00E42F86">
        <w:t xml:space="preserve"> </w:t>
      </w:r>
      <w:r w:rsidR="007F465E">
        <w:t xml:space="preserve">Navigant’s </w:t>
      </w:r>
      <w:r w:rsidR="00763661">
        <w:t>fifth</w:t>
      </w:r>
      <w:r w:rsidR="007F465E">
        <w:t>-year assessment evaluates savings between November 1, 201</w:t>
      </w:r>
      <w:r w:rsidR="00763661">
        <w:t>7</w:t>
      </w:r>
      <w:r w:rsidR="007F465E">
        <w:t xml:space="preserve"> and October 31, 201</w:t>
      </w:r>
      <w:r w:rsidR="00763661">
        <w:t>8</w:t>
      </w:r>
      <w:r w:rsidR="007F465E">
        <w:t>.</w:t>
      </w:r>
    </w:p>
    <w:p w14:paraId="205370F0" w14:textId="16B47D3A" w:rsidR="00C00025" w:rsidRDefault="00C02824" w:rsidP="00CE5320">
      <w:pPr>
        <w:pStyle w:val="Heading1"/>
      </w:pPr>
      <w:bookmarkStart w:id="4" w:name="_Ref520117355"/>
      <w:bookmarkStart w:id="5" w:name="_Toc525646486"/>
      <w:r>
        <w:t xml:space="preserve">Research </w:t>
      </w:r>
      <w:r w:rsidR="00C00025">
        <w:t>Description</w:t>
      </w:r>
      <w:bookmarkEnd w:id="4"/>
      <w:bookmarkEnd w:id="5"/>
    </w:p>
    <w:p w14:paraId="2AE67F18" w14:textId="73C9AB81" w:rsidR="0018585E" w:rsidRDefault="00100ED6" w:rsidP="003E11A9">
      <w:pPr>
        <w:pStyle w:val="CommentText"/>
      </w:pPr>
      <w:r>
        <w:t xml:space="preserve">This report </w:t>
      </w:r>
      <w:r w:rsidR="0018585E">
        <w:t>extend</w:t>
      </w:r>
      <w:r w:rsidR="00C81E7C">
        <w:t>s</w:t>
      </w:r>
      <w:r w:rsidR="0018585E">
        <w:t xml:space="preserve"> earlier research which evaluated savings rates one, two, three</w:t>
      </w:r>
      <w:r w:rsidR="00763661">
        <w:t xml:space="preserve">, and four </w:t>
      </w:r>
      <w:r w:rsidR="0018585E">
        <w:t>year</w:t>
      </w:r>
      <w:r w:rsidR="00F35298">
        <w:t xml:space="preserve">s after </w:t>
      </w:r>
      <w:r w:rsidR="0018585E">
        <w:t>HER termination.</w:t>
      </w:r>
      <w:r w:rsidR="0018585E" w:rsidRPr="007C6105">
        <w:rPr>
          <w:rStyle w:val="FootnoteReference"/>
        </w:rPr>
        <w:footnoteReference w:id="2"/>
      </w:r>
      <w:r w:rsidR="0018585E" w:rsidRPr="007C6105">
        <w:rPr>
          <w:vertAlign w:val="superscript"/>
        </w:rPr>
        <w:t>,</w:t>
      </w:r>
      <w:r w:rsidR="0018585E" w:rsidRPr="007C6105">
        <w:rPr>
          <w:rStyle w:val="FootnoteReference"/>
        </w:rPr>
        <w:footnoteReference w:id="3"/>
      </w:r>
      <w:r w:rsidR="00120ADC" w:rsidRPr="007C6105">
        <w:rPr>
          <w:vertAlign w:val="superscript"/>
        </w:rPr>
        <w:t>,</w:t>
      </w:r>
      <w:r w:rsidR="00120ADC">
        <w:rPr>
          <w:rStyle w:val="FootnoteReference"/>
        </w:rPr>
        <w:footnoteReference w:id="4"/>
      </w:r>
      <w:r w:rsidR="00763661">
        <w:rPr>
          <w:vertAlign w:val="superscript"/>
        </w:rPr>
        <w:t>,</w:t>
      </w:r>
      <w:r w:rsidR="00763661">
        <w:rPr>
          <w:rStyle w:val="FootnoteReference"/>
        </w:rPr>
        <w:footnoteReference w:id="5"/>
      </w:r>
      <w:r w:rsidR="00763661">
        <w:rPr>
          <w:vertAlign w:val="superscript"/>
        </w:rPr>
        <w:t xml:space="preserve"> </w:t>
      </w:r>
      <w:r w:rsidR="0018585E">
        <w:t>By cont</w:t>
      </w:r>
      <w:r w:rsidR="00240E54">
        <w:t xml:space="preserve">inuing this analysis for a </w:t>
      </w:r>
      <w:r w:rsidR="00763661">
        <w:t>fifth</w:t>
      </w:r>
      <w:r w:rsidR="0018585E">
        <w:t xml:space="preserve"> year, Navigant can better identify the rate at which savings diminish following report termination, as this decay is not necessarily constant over time. These results can be used as one data point to determine the persistence factors and measure life for HER programs in the Illinois Technical Reference Manual (IL TRM).</w:t>
      </w:r>
      <w:r w:rsidR="0018585E">
        <w:rPr>
          <w:rStyle w:val="FootnoteReference"/>
        </w:rPr>
        <w:footnoteReference w:id="6"/>
      </w:r>
    </w:p>
    <w:p w14:paraId="70AA97E2" w14:textId="26CDF0DF" w:rsidR="00240E54" w:rsidRDefault="00240E54" w:rsidP="0018585E"/>
    <w:p w14:paraId="196B9B48" w14:textId="219F14D6" w:rsidR="00240E54" w:rsidRDefault="00F35298" w:rsidP="00240E54">
      <w:r>
        <w:t>T</w:t>
      </w:r>
      <w:r w:rsidR="00240E54">
        <w:t xml:space="preserve">he HER </w:t>
      </w:r>
      <w:r w:rsidR="00D8394D">
        <w:t xml:space="preserve">Program </w:t>
      </w:r>
      <w:r>
        <w:t xml:space="preserve">is designed </w:t>
      </w:r>
      <w:r w:rsidR="00240E54">
        <w:t>to generate energy savings by providing residential customers with information about energy use and conservation. Program participants receive this information in the form of regularly-mailed HERs that g</w:t>
      </w:r>
      <w:r>
        <w:t>i</w:t>
      </w:r>
      <w:r w:rsidR="00240E54">
        <w:t>ve customers insight into their energy use, including:</w:t>
      </w:r>
    </w:p>
    <w:p w14:paraId="5030E907" w14:textId="29A4905B" w:rsidR="00240E54" w:rsidRDefault="00240E54" w:rsidP="00B807ED">
      <w:pPr>
        <w:pStyle w:val="ListParagraph"/>
        <w:numPr>
          <w:ilvl w:val="0"/>
          <w:numId w:val="24"/>
        </w:numPr>
        <w:spacing w:line="264" w:lineRule="auto"/>
        <w:contextualSpacing w:val="0"/>
      </w:pPr>
      <w:r>
        <w:t>An assessment of how the customer’s recent energy use compare</w:t>
      </w:r>
      <w:r w:rsidR="00F35298">
        <w:t>s</w:t>
      </w:r>
      <w:r>
        <w:t xml:space="preserve"> to past energy use</w:t>
      </w:r>
    </w:p>
    <w:p w14:paraId="7F68A381" w14:textId="46E22247" w:rsidR="00240E54" w:rsidRDefault="00240E54" w:rsidP="00B807ED">
      <w:pPr>
        <w:pStyle w:val="ListParagraph"/>
        <w:numPr>
          <w:ilvl w:val="0"/>
          <w:numId w:val="24"/>
        </w:numPr>
        <w:spacing w:line="264" w:lineRule="auto"/>
        <w:contextualSpacing w:val="0"/>
      </w:pPr>
      <w:r>
        <w:t xml:space="preserve">Tips on how to reduce energy consumption, some of which </w:t>
      </w:r>
      <w:r w:rsidR="00F35298">
        <w:t>a</w:t>
      </w:r>
      <w:r>
        <w:t>re tailored to the customer’s unique circumstances</w:t>
      </w:r>
    </w:p>
    <w:p w14:paraId="6C5596A1" w14:textId="6F05D937" w:rsidR="00240E54" w:rsidRDefault="00240E54" w:rsidP="00B807ED">
      <w:pPr>
        <w:pStyle w:val="ListParagraph"/>
        <w:numPr>
          <w:ilvl w:val="0"/>
          <w:numId w:val="24"/>
        </w:numPr>
        <w:spacing w:line="264" w:lineRule="auto"/>
        <w:contextualSpacing w:val="0"/>
      </w:pPr>
      <w:r>
        <w:t>Information on how their energy use compare</w:t>
      </w:r>
      <w:r w:rsidR="00F35298">
        <w:t>s</w:t>
      </w:r>
      <w:r>
        <w:t xml:space="preserve"> to that of neighbors with similar homes</w:t>
      </w:r>
    </w:p>
    <w:p w14:paraId="2A80879D" w14:textId="77777777" w:rsidR="00240E54" w:rsidRDefault="00240E54" w:rsidP="00240E54"/>
    <w:p w14:paraId="798D8A9F" w14:textId="664F57D6" w:rsidR="00CE5320" w:rsidRDefault="00240E54" w:rsidP="00CE5320">
      <w:r>
        <w:t xml:space="preserve">ComEd discontinued the HER </w:t>
      </w:r>
      <w:r w:rsidR="00661E90">
        <w:t>P</w:t>
      </w:r>
      <w:r>
        <w:t>rogram for three sets of participants in October 2013. Customers in the Wave 1 terminated report (TR) group received reports for just over four years before they were discontinued</w:t>
      </w:r>
      <w:r w:rsidR="00D8394D">
        <w:t xml:space="preserve">; </w:t>
      </w:r>
      <w:r>
        <w:t>Wave 3 TR customers</w:t>
      </w:r>
      <w:r w:rsidR="00D8394D">
        <w:t>,</w:t>
      </w:r>
      <w:r>
        <w:t xml:space="preserve"> for two and a half years</w:t>
      </w:r>
      <w:r w:rsidR="00D8394D">
        <w:t>;</w:t>
      </w:r>
      <w:r>
        <w:t xml:space="preserve"> and Wave 5 TR customers</w:t>
      </w:r>
      <w:r w:rsidR="00D8394D">
        <w:t>,</w:t>
      </w:r>
      <w:r>
        <w:t xml:space="preserve"> for just over one year.</w:t>
      </w:r>
      <w:r w:rsidR="00C02824">
        <w:t xml:space="preserve"> This research examines how savings from the reports persist for the TR customers in the </w:t>
      </w:r>
      <w:r w:rsidR="00763661">
        <w:t>fifth</w:t>
      </w:r>
      <w:r w:rsidR="00C02824">
        <w:t xml:space="preserve"> year after the last reports were sent (i.e., in period from November 201</w:t>
      </w:r>
      <w:r w:rsidR="00763661">
        <w:t>7</w:t>
      </w:r>
      <w:r w:rsidR="00C02824">
        <w:t xml:space="preserve"> to October 201</w:t>
      </w:r>
      <w:r w:rsidR="00763661">
        <w:t>8</w:t>
      </w:r>
      <w:r w:rsidR="00C02824">
        <w:t>).</w:t>
      </w:r>
    </w:p>
    <w:p w14:paraId="5B36C945" w14:textId="5FD4475D" w:rsidR="00C43CDB" w:rsidRDefault="00C43CDB" w:rsidP="00CE5320"/>
    <w:p w14:paraId="6DC298D1" w14:textId="0CE9A442" w:rsidR="00C43CDB" w:rsidRDefault="00C43CDB" w:rsidP="00CE5320">
      <w:r>
        <w:t>Results from this analysis are specific to the study population and ComEd</w:t>
      </w:r>
      <w:r w:rsidR="00327C4E">
        <w:t>’s</w:t>
      </w:r>
      <w:r>
        <w:t xml:space="preserve"> HER treatment of </w:t>
      </w:r>
      <w:r w:rsidR="00D8394D">
        <w:t xml:space="preserve">four </w:t>
      </w:r>
      <w:r>
        <w:t>print reports</w:t>
      </w:r>
      <w:r w:rsidR="00327C4E">
        <w:t xml:space="preserve"> annually</w:t>
      </w:r>
      <w:r>
        <w:t xml:space="preserve">, monthly electronic HERs, and additional web features. Regulators, evaluators, and utilities should be judicious about extrapolating from Navigant’s results to other populations and HER treatments. </w:t>
      </w:r>
    </w:p>
    <w:p w14:paraId="64C9D38D" w14:textId="79BC6FE3" w:rsidR="006D40FC" w:rsidRDefault="00C02824" w:rsidP="00E42F86">
      <w:pPr>
        <w:pStyle w:val="Heading1"/>
      </w:pPr>
      <w:bookmarkStart w:id="6" w:name="_Toc525646487"/>
      <w:r>
        <w:lastRenderedPageBreak/>
        <w:t>Research Results</w:t>
      </w:r>
      <w:bookmarkEnd w:id="6"/>
    </w:p>
    <w:p w14:paraId="638E0B00" w14:textId="77777777" w:rsidR="00675569" w:rsidRDefault="00675569" w:rsidP="00B807ED">
      <w:pPr>
        <w:pStyle w:val="Heading2"/>
        <w:numPr>
          <w:ilvl w:val="0"/>
          <w:numId w:val="0"/>
        </w:numPr>
        <w:ind w:left="720" w:hanging="720"/>
      </w:pPr>
      <w:bookmarkStart w:id="7" w:name="_Toc440555149"/>
      <w:bookmarkStart w:id="8" w:name="_Toc493583416"/>
      <w:bookmarkStart w:id="9" w:name="_Toc525646488"/>
      <w:r>
        <w:t>Annual Savings Decay Rate</w:t>
      </w:r>
      <w:bookmarkEnd w:id="7"/>
      <w:bookmarkEnd w:id="8"/>
      <w:bookmarkEnd w:id="9"/>
    </w:p>
    <w:p w14:paraId="5B48F9A8" w14:textId="184EA799" w:rsidR="00675569" w:rsidRDefault="00B65017" w:rsidP="00675569">
      <w:r>
        <w:fldChar w:fldCharType="begin"/>
      </w:r>
      <w:r>
        <w:instrText xml:space="preserve"> REF _Ref520289001 \h </w:instrText>
      </w:r>
      <w:r>
        <w:fldChar w:fldCharType="separate"/>
      </w:r>
      <w:r w:rsidR="006E4D05">
        <w:t xml:space="preserve">Table </w:t>
      </w:r>
      <w:r w:rsidR="006E4D05">
        <w:rPr>
          <w:noProof/>
        </w:rPr>
        <w:t>3</w:t>
      </w:r>
      <w:r w:rsidR="006E4D05">
        <w:noBreakHyphen/>
      </w:r>
      <w:r w:rsidR="006E4D05">
        <w:rPr>
          <w:noProof/>
        </w:rPr>
        <w:t>1</w:t>
      </w:r>
      <w:r>
        <w:fldChar w:fldCharType="end"/>
      </w:r>
      <w:r>
        <w:t xml:space="preserve"> and </w:t>
      </w:r>
      <w:r>
        <w:fldChar w:fldCharType="begin"/>
      </w:r>
      <w:r>
        <w:instrText xml:space="preserve"> REF _Ref520289013 \h </w:instrText>
      </w:r>
      <w:r>
        <w:fldChar w:fldCharType="separate"/>
      </w:r>
      <w:r w:rsidR="006E4D05">
        <w:t xml:space="preserve">Table </w:t>
      </w:r>
      <w:r w:rsidR="006E4D05">
        <w:rPr>
          <w:noProof/>
        </w:rPr>
        <w:t>3</w:t>
      </w:r>
      <w:r w:rsidR="006E4D05">
        <w:noBreakHyphen/>
      </w:r>
      <w:r w:rsidR="006E4D05">
        <w:rPr>
          <w:noProof/>
        </w:rPr>
        <w:t>2</w:t>
      </w:r>
      <w:r>
        <w:fldChar w:fldCharType="end"/>
      </w:r>
      <w:r>
        <w:t xml:space="preserve"> </w:t>
      </w:r>
      <w:r w:rsidR="00675569">
        <w:t>p</w:t>
      </w:r>
      <w:r w:rsidR="00675569" w:rsidRPr="00DB2DC8">
        <w:t xml:space="preserve">resent </w:t>
      </w:r>
      <w:r w:rsidR="00675569">
        <w:t>annual decay rates and persistence factors</w:t>
      </w:r>
      <w:r w:rsidR="00DA4D32">
        <w:rPr>
          <w:rStyle w:val="FootnoteReference"/>
        </w:rPr>
        <w:footnoteReference w:id="7"/>
      </w:r>
      <w:r w:rsidR="00675569">
        <w:t xml:space="preserve"> for the three TR g</w:t>
      </w:r>
      <w:r w:rsidR="003E6C0C">
        <w:t xml:space="preserve">roups in </w:t>
      </w:r>
      <w:r w:rsidR="00977F34">
        <w:t xml:space="preserve">each of the </w:t>
      </w:r>
      <w:r w:rsidR="00D1749E">
        <w:t>five</w:t>
      </w:r>
      <w:r w:rsidR="00977F34">
        <w:t xml:space="preserve"> years</w:t>
      </w:r>
      <w:r w:rsidR="00675569">
        <w:t xml:space="preserve"> </w:t>
      </w:r>
      <w:r w:rsidR="00D1749E">
        <w:t xml:space="preserve">since </w:t>
      </w:r>
      <w:r w:rsidR="00675569">
        <w:t>customers stopped receiving reports.</w:t>
      </w:r>
      <w:r w:rsidR="00675569">
        <w:rPr>
          <w:rStyle w:val="FootnoteReference"/>
        </w:rPr>
        <w:footnoteReference w:id="8"/>
      </w:r>
      <w:r w:rsidR="00675569">
        <w:t xml:space="preserve"> Navigant calculated persistence for each wave by comparing savings rates of the TR group to those of the continued report (CR) group. </w:t>
      </w:r>
      <w:r w:rsidR="00675569" w:rsidRPr="00327C4E">
        <w:t>The first two years after customers stopped receiving reports, decay rates increased for all three waves</w:t>
      </w:r>
      <w:r w:rsidR="00233A89" w:rsidRPr="00327C4E">
        <w:t>. In years three</w:t>
      </w:r>
      <w:r w:rsidR="003D02BE" w:rsidRPr="00327C4E">
        <w:t xml:space="preserve">, </w:t>
      </w:r>
      <w:r w:rsidR="00233A89" w:rsidRPr="00327C4E">
        <w:t>four</w:t>
      </w:r>
      <w:r w:rsidR="00327C4E" w:rsidRPr="00327C4E">
        <w:t>,</w:t>
      </w:r>
      <w:r w:rsidR="003D02BE" w:rsidRPr="00327C4E">
        <w:t xml:space="preserve"> and five</w:t>
      </w:r>
      <w:r w:rsidR="00233A89" w:rsidRPr="00327C4E">
        <w:t xml:space="preserve">, decay rates showed mixed results – increasing for some waves and decreasing for </w:t>
      </w:r>
      <w:r w:rsidR="004C162A" w:rsidRPr="00327C4E">
        <w:t>others.</w:t>
      </w:r>
      <w:r w:rsidR="00CE5776">
        <w:t xml:space="preserve"> Many of the values across the years are not statistically different from one another.</w:t>
      </w:r>
      <w:r w:rsidR="004C162A">
        <w:t xml:space="preserve"> The</w:t>
      </w:r>
      <w:r w:rsidR="003E6C0C">
        <w:t xml:space="preserve"> average decay rate across waves </w:t>
      </w:r>
      <w:r w:rsidR="00C02824">
        <w:t>was</w:t>
      </w:r>
      <w:r w:rsidR="003E6C0C">
        <w:t xml:space="preserve"> </w:t>
      </w:r>
      <w:r w:rsidR="003E6C0C" w:rsidRPr="00327C4E">
        <w:t>3</w:t>
      </w:r>
      <w:r w:rsidR="003D02BE" w:rsidRPr="00327C4E">
        <w:t>7</w:t>
      </w:r>
      <w:r w:rsidR="00574AC1">
        <w:t xml:space="preserve"> percent</w:t>
      </w:r>
      <w:r w:rsidR="003E6C0C">
        <w:t xml:space="preserve"> </w:t>
      </w:r>
      <w:r w:rsidR="002D1939">
        <w:t xml:space="preserve">in the </w:t>
      </w:r>
      <w:r w:rsidR="00F54592">
        <w:t>fifth</w:t>
      </w:r>
      <w:r w:rsidR="002D1939">
        <w:t xml:space="preserve"> year </w:t>
      </w:r>
      <w:r w:rsidR="00864FA3">
        <w:t xml:space="preserve">of </w:t>
      </w:r>
      <w:r w:rsidR="002D1939">
        <w:t>the persistence analysis</w:t>
      </w:r>
      <w:r w:rsidR="003E6C0C">
        <w:t xml:space="preserve">. </w:t>
      </w:r>
    </w:p>
    <w:p w14:paraId="5A8D198E" w14:textId="77777777" w:rsidR="00F54592" w:rsidRDefault="00F54592" w:rsidP="00675569"/>
    <w:p w14:paraId="78FBB933" w14:textId="3693D69B" w:rsidR="003E6C0C" w:rsidRDefault="003E6C0C" w:rsidP="000E5D6C">
      <w:pPr>
        <w:pStyle w:val="Caption"/>
        <w:spacing w:after="0"/>
      </w:pPr>
      <w:bookmarkStart w:id="10" w:name="_Ref520289001"/>
      <w:bookmarkStart w:id="11" w:name="_Toc525646502"/>
      <w:r>
        <w:t xml:space="preserve">Table </w:t>
      </w:r>
      <w:fldSimple w:instr=" STYLEREF 1 \s ">
        <w:r w:rsidR="006E4D05">
          <w:rPr>
            <w:noProof/>
          </w:rPr>
          <w:t>3</w:t>
        </w:r>
      </w:fldSimple>
      <w:r w:rsidR="006B1101">
        <w:noBreakHyphen/>
      </w:r>
      <w:fldSimple w:instr=" SEQ Table \* ARABIC \s 1 ">
        <w:r w:rsidR="006E4D05">
          <w:rPr>
            <w:noProof/>
          </w:rPr>
          <w:t>1</w:t>
        </w:r>
      </w:fldSimple>
      <w:bookmarkEnd w:id="10"/>
      <w:r>
        <w:t>. HER Decay Rates</w:t>
      </w:r>
      <w:bookmarkEnd w:id="11"/>
    </w:p>
    <w:tbl>
      <w:tblPr>
        <w:tblStyle w:val="EnergyTable"/>
        <w:tblpPr w:leftFromText="180" w:rightFromText="180" w:vertAnchor="text" w:horzAnchor="margin" w:tblpY="137"/>
        <w:tblW w:w="9221" w:type="dxa"/>
        <w:jc w:val="left"/>
        <w:tblLook w:val="04A0" w:firstRow="1" w:lastRow="0" w:firstColumn="1" w:lastColumn="0" w:noHBand="0" w:noVBand="1"/>
      </w:tblPr>
      <w:tblGrid>
        <w:gridCol w:w="4096"/>
        <w:gridCol w:w="1200"/>
        <w:gridCol w:w="1200"/>
        <w:gridCol w:w="1200"/>
        <w:gridCol w:w="1525"/>
      </w:tblGrid>
      <w:tr w:rsidR="00675569" w:rsidRPr="00675569" w14:paraId="5F690521" w14:textId="77777777" w:rsidTr="00675569">
        <w:trPr>
          <w:cnfStyle w:val="100000000000" w:firstRow="1" w:lastRow="0" w:firstColumn="0" w:lastColumn="0" w:oddVBand="0" w:evenVBand="0" w:oddHBand="0" w:evenHBand="0" w:firstRowFirstColumn="0" w:firstRowLastColumn="0" w:lastRowFirstColumn="0" w:lastRowLastColumn="0"/>
          <w:trHeight w:val="309"/>
          <w:jc w:val="left"/>
        </w:trPr>
        <w:tc>
          <w:tcPr>
            <w:cnfStyle w:val="001000000000" w:firstRow="0" w:lastRow="0" w:firstColumn="1" w:lastColumn="0" w:oddVBand="0" w:evenVBand="0" w:oddHBand="0" w:evenHBand="0" w:firstRowFirstColumn="0" w:firstRowLastColumn="0" w:lastRowFirstColumn="0" w:lastRowLastColumn="0"/>
            <w:tcW w:w="4096" w:type="dxa"/>
            <w:noWrap/>
            <w:hideMark/>
          </w:tcPr>
          <w:p w14:paraId="1F0A1C92" w14:textId="77777777" w:rsidR="00675569" w:rsidRPr="00675569" w:rsidRDefault="00675569" w:rsidP="00391806">
            <w:pPr>
              <w:keepNext/>
              <w:contextualSpacing w:val="0"/>
              <w:rPr>
                <w:rFonts w:ascii="Arial Narrow" w:eastAsia="Times New Roman" w:hAnsi="Arial Narrow" w:cs="Arial"/>
                <w:bCs/>
                <w:color w:val="FFFFFF"/>
                <w:szCs w:val="20"/>
              </w:rPr>
            </w:pPr>
          </w:p>
        </w:tc>
        <w:tc>
          <w:tcPr>
            <w:tcW w:w="1200" w:type="dxa"/>
            <w:noWrap/>
            <w:hideMark/>
          </w:tcPr>
          <w:p w14:paraId="61F6D2B8" w14:textId="77777777" w:rsidR="00675569" w:rsidRPr="00675569" w:rsidRDefault="00675569"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75569">
              <w:rPr>
                <w:rFonts w:ascii="Arial Narrow" w:eastAsia="Times New Roman" w:hAnsi="Arial Narrow" w:cs="Arial"/>
                <w:bCs/>
                <w:color w:val="FFFFFF"/>
                <w:szCs w:val="20"/>
              </w:rPr>
              <w:t>Wave 1</w:t>
            </w:r>
          </w:p>
        </w:tc>
        <w:tc>
          <w:tcPr>
            <w:tcW w:w="1200" w:type="dxa"/>
            <w:noWrap/>
            <w:hideMark/>
          </w:tcPr>
          <w:p w14:paraId="54FEDA33" w14:textId="77777777" w:rsidR="00675569" w:rsidRPr="00675569" w:rsidRDefault="00675569"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75569">
              <w:rPr>
                <w:rFonts w:ascii="Arial Narrow" w:eastAsia="Times New Roman" w:hAnsi="Arial Narrow" w:cs="Arial"/>
                <w:bCs/>
                <w:color w:val="FFFFFF"/>
                <w:szCs w:val="20"/>
              </w:rPr>
              <w:t>Wave 3</w:t>
            </w:r>
          </w:p>
        </w:tc>
        <w:tc>
          <w:tcPr>
            <w:tcW w:w="1200" w:type="dxa"/>
            <w:noWrap/>
            <w:hideMark/>
          </w:tcPr>
          <w:p w14:paraId="5005ABF2" w14:textId="77777777" w:rsidR="00675569" w:rsidRPr="00675569" w:rsidRDefault="00675569"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75569">
              <w:rPr>
                <w:rFonts w:ascii="Arial Narrow" w:eastAsia="Times New Roman" w:hAnsi="Arial Narrow" w:cs="Arial"/>
                <w:bCs/>
                <w:color w:val="FFFFFF"/>
                <w:szCs w:val="20"/>
              </w:rPr>
              <w:t>Wave 5</w:t>
            </w:r>
          </w:p>
        </w:tc>
        <w:tc>
          <w:tcPr>
            <w:tcW w:w="1525" w:type="dxa"/>
            <w:noWrap/>
            <w:hideMark/>
          </w:tcPr>
          <w:p w14:paraId="04A23F74" w14:textId="77777777" w:rsidR="00675569" w:rsidRPr="00675569" w:rsidRDefault="00675569"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75569">
              <w:rPr>
                <w:rFonts w:ascii="Arial Narrow" w:eastAsia="Times New Roman" w:hAnsi="Arial Narrow" w:cs="Arial"/>
                <w:bCs/>
                <w:color w:val="FFFFFF"/>
                <w:szCs w:val="20"/>
              </w:rPr>
              <w:t>Average</w:t>
            </w:r>
          </w:p>
        </w:tc>
      </w:tr>
      <w:tr w:rsidR="00675569" w:rsidRPr="00675569" w14:paraId="23B30979" w14:textId="77777777" w:rsidTr="00675569">
        <w:trPr>
          <w:cnfStyle w:val="000000100000" w:firstRow="0" w:lastRow="0" w:firstColumn="0" w:lastColumn="0" w:oddVBand="0" w:evenVBand="0" w:oddHBand="1" w:evenHBand="0" w:firstRowFirstColumn="0" w:firstRowLastColumn="0" w:lastRowFirstColumn="0" w:lastRowLastColumn="0"/>
          <w:trHeight w:val="292"/>
          <w:jc w:val="left"/>
        </w:trPr>
        <w:tc>
          <w:tcPr>
            <w:cnfStyle w:val="001000000000" w:firstRow="0" w:lastRow="0" w:firstColumn="1" w:lastColumn="0" w:oddVBand="0" w:evenVBand="0" w:oddHBand="0" w:evenHBand="0" w:firstRowFirstColumn="0" w:firstRowLastColumn="0" w:lastRowFirstColumn="0" w:lastRowLastColumn="0"/>
            <w:tcW w:w="4096" w:type="dxa"/>
            <w:noWrap/>
            <w:hideMark/>
          </w:tcPr>
          <w:p w14:paraId="5AF6A179" w14:textId="77777777" w:rsidR="00675569" w:rsidRPr="00675569" w:rsidRDefault="00675569" w:rsidP="00391806">
            <w:pPr>
              <w:keepNext/>
              <w:contextualSpacing w:val="0"/>
              <w:jc w:val="left"/>
              <w:rPr>
                <w:rFonts w:ascii="Arial Narrow" w:eastAsia="Times New Roman" w:hAnsi="Arial Narrow" w:cs="Arial"/>
                <w:szCs w:val="20"/>
              </w:rPr>
            </w:pPr>
            <w:r w:rsidRPr="00675569">
              <w:rPr>
                <w:rFonts w:ascii="Arial Narrow" w:eastAsia="Times New Roman" w:hAnsi="Arial Narrow" w:cs="Arial"/>
                <w:szCs w:val="20"/>
              </w:rPr>
              <w:t>Year 1 (Nov 2013 - Oct 2014)</w:t>
            </w:r>
          </w:p>
        </w:tc>
        <w:tc>
          <w:tcPr>
            <w:tcW w:w="1200" w:type="dxa"/>
            <w:noWrap/>
            <w:hideMark/>
          </w:tcPr>
          <w:p w14:paraId="429D7AAB"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4%</w:t>
            </w:r>
          </w:p>
        </w:tc>
        <w:tc>
          <w:tcPr>
            <w:tcW w:w="1200" w:type="dxa"/>
            <w:noWrap/>
            <w:hideMark/>
          </w:tcPr>
          <w:p w14:paraId="2E77D88D"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2%</w:t>
            </w:r>
          </w:p>
        </w:tc>
        <w:tc>
          <w:tcPr>
            <w:tcW w:w="1200" w:type="dxa"/>
            <w:noWrap/>
            <w:hideMark/>
          </w:tcPr>
          <w:p w14:paraId="46BB5850"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22%</w:t>
            </w:r>
          </w:p>
        </w:tc>
        <w:tc>
          <w:tcPr>
            <w:tcW w:w="1525" w:type="dxa"/>
            <w:noWrap/>
            <w:hideMark/>
          </w:tcPr>
          <w:p w14:paraId="1C37CCA8"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10%</w:t>
            </w:r>
          </w:p>
        </w:tc>
      </w:tr>
      <w:tr w:rsidR="00675569" w:rsidRPr="00675569" w14:paraId="784D958D" w14:textId="77777777" w:rsidTr="00675569">
        <w:trPr>
          <w:cnfStyle w:val="000000010000" w:firstRow="0" w:lastRow="0" w:firstColumn="0" w:lastColumn="0" w:oddVBand="0" w:evenVBand="0" w:oddHBand="0" w:evenHBand="1" w:firstRowFirstColumn="0" w:firstRowLastColumn="0" w:lastRowFirstColumn="0" w:lastRowLastColumn="0"/>
          <w:trHeight w:val="292"/>
          <w:jc w:val="left"/>
        </w:trPr>
        <w:tc>
          <w:tcPr>
            <w:cnfStyle w:val="001000000000" w:firstRow="0" w:lastRow="0" w:firstColumn="1" w:lastColumn="0" w:oddVBand="0" w:evenVBand="0" w:oddHBand="0" w:evenHBand="0" w:firstRowFirstColumn="0" w:firstRowLastColumn="0" w:lastRowFirstColumn="0" w:lastRowLastColumn="0"/>
            <w:tcW w:w="4096" w:type="dxa"/>
            <w:noWrap/>
            <w:hideMark/>
          </w:tcPr>
          <w:p w14:paraId="267F2287" w14:textId="77777777" w:rsidR="00675569" w:rsidRPr="00675569" w:rsidRDefault="00675569" w:rsidP="00391806">
            <w:pPr>
              <w:keepNext/>
              <w:contextualSpacing w:val="0"/>
              <w:jc w:val="left"/>
              <w:rPr>
                <w:rFonts w:ascii="Arial Narrow" w:eastAsia="Times New Roman" w:hAnsi="Arial Narrow" w:cs="Arial"/>
                <w:szCs w:val="20"/>
              </w:rPr>
            </w:pPr>
            <w:r w:rsidRPr="00675569">
              <w:rPr>
                <w:rFonts w:ascii="Arial Narrow" w:eastAsia="Times New Roman" w:hAnsi="Arial Narrow" w:cs="Arial"/>
                <w:szCs w:val="20"/>
              </w:rPr>
              <w:t>Year 2 (Nov 2014 - Oct 2015)</w:t>
            </w:r>
          </w:p>
        </w:tc>
        <w:tc>
          <w:tcPr>
            <w:tcW w:w="1200" w:type="dxa"/>
            <w:noWrap/>
            <w:hideMark/>
          </w:tcPr>
          <w:p w14:paraId="765C5807" w14:textId="77777777" w:rsidR="00675569" w:rsidRP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15%</w:t>
            </w:r>
          </w:p>
        </w:tc>
        <w:tc>
          <w:tcPr>
            <w:tcW w:w="1200" w:type="dxa"/>
            <w:noWrap/>
            <w:hideMark/>
          </w:tcPr>
          <w:p w14:paraId="4FA9ED38" w14:textId="77777777" w:rsidR="00675569" w:rsidRP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17%</w:t>
            </w:r>
          </w:p>
        </w:tc>
        <w:tc>
          <w:tcPr>
            <w:tcW w:w="1200" w:type="dxa"/>
            <w:noWrap/>
            <w:hideMark/>
          </w:tcPr>
          <w:p w14:paraId="44FE4DBE" w14:textId="77777777" w:rsidR="00675569" w:rsidRP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60%</w:t>
            </w:r>
          </w:p>
        </w:tc>
        <w:tc>
          <w:tcPr>
            <w:tcW w:w="1525" w:type="dxa"/>
            <w:noWrap/>
            <w:hideMark/>
          </w:tcPr>
          <w:p w14:paraId="6AF9480A" w14:textId="77777777" w:rsidR="00675569" w:rsidRP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31%</w:t>
            </w:r>
          </w:p>
        </w:tc>
      </w:tr>
      <w:tr w:rsidR="00675569" w:rsidRPr="00675569" w14:paraId="19C12B85" w14:textId="77777777" w:rsidTr="00675569">
        <w:trPr>
          <w:cnfStyle w:val="000000100000" w:firstRow="0" w:lastRow="0" w:firstColumn="0" w:lastColumn="0" w:oddVBand="0" w:evenVBand="0" w:oddHBand="1" w:evenHBand="0" w:firstRowFirstColumn="0" w:firstRowLastColumn="0" w:lastRowFirstColumn="0" w:lastRowLastColumn="0"/>
          <w:trHeight w:val="292"/>
          <w:jc w:val="left"/>
        </w:trPr>
        <w:tc>
          <w:tcPr>
            <w:cnfStyle w:val="001000000000" w:firstRow="0" w:lastRow="0" w:firstColumn="1" w:lastColumn="0" w:oddVBand="0" w:evenVBand="0" w:oddHBand="0" w:evenHBand="0" w:firstRowFirstColumn="0" w:firstRowLastColumn="0" w:lastRowFirstColumn="0" w:lastRowLastColumn="0"/>
            <w:tcW w:w="4096" w:type="dxa"/>
            <w:noWrap/>
            <w:hideMark/>
          </w:tcPr>
          <w:p w14:paraId="536F2E0B" w14:textId="77777777" w:rsidR="00675569" w:rsidRPr="00675569" w:rsidRDefault="00675569" w:rsidP="00391806">
            <w:pPr>
              <w:keepNext/>
              <w:contextualSpacing w:val="0"/>
              <w:jc w:val="left"/>
              <w:rPr>
                <w:rFonts w:ascii="Arial Narrow" w:eastAsia="Times New Roman" w:hAnsi="Arial Narrow" w:cs="Arial"/>
                <w:szCs w:val="20"/>
              </w:rPr>
            </w:pPr>
            <w:r w:rsidRPr="00675569">
              <w:rPr>
                <w:rFonts w:ascii="Arial Narrow" w:eastAsia="Times New Roman" w:hAnsi="Arial Narrow" w:cs="Arial"/>
                <w:szCs w:val="20"/>
              </w:rPr>
              <w:t>Year 3 (Nov 2015 - Oct 2016)</w:t>
            </w:r>
          </w:p>
        </w:tc>
        <w:tc>
          <w:tcPr>
            <w:tcW w:w="1200" w:type="dxa"/>
            <w:noWrap/>
            <w:hideMark/>
          </w:tcPr>
          <w:p w14:paraId="6B464485"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39%</w:t>
            </w:r>
          </w:p>
        </w:tc>
        <w:tc>
          <w:tcPr>
            <w:tcW w:w="1200" w:type="dxa"/>
            <w:noWrap/>
            <w:hideMark/>
          </w:tcPr>
          <w:p w14:paraId="01BF8B12"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18%</w:t>
            </w:r>
          </w:p>
        </w:tc>
        <w:tc>
          <w:tcPr>
            <w:tcW w:w="1200" w:type="dxa"/>
            <w:noWrap/>
            <w:hideMark/>
          </w:tcPr>
          <w:p w14:paraId="2C46E29E"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47%</w:t>
            </w:r>
          </w:p>
        </w:tc>
        <w:tc>
          <w:tcPr>
            <w:tcW w:w="1525" w:type="dxa"/>
            <w:noWrap/>
            <w:hideMark/>
          </w:tcPr>
          <w:p w14:paraId="3670A044" w14:textId="77777777" w:rsidR="00675569" w:rsidRPr="00675569" w:rsidRDefault="00675569"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35%</w:t>
            </w:r>
          </w:p>
        </w:tc>
      </w:tr>
      <w:tr w:rsidR="00675569" w:rsidRPr="00675569" w14:paraId="4085E1D4" w14:textId="77777777" w:rsidTr="00675569">
        <w:trPr>
          <w:cnfStyle w:val="000000010000" w:firstRow="0" w:lastRow="0" w:firstColumn="0" w:lastColumn="0" w:oddVBand="0" w:evenVBand="0" w:oddHBand="0" w:evenHBand="1" w:firstRowFirstColumn="0" w:firstRowLastColumn="0" w:lastRowFirstColumn="0" w:lastRowLastColumn="0"/>
          <w:trHeight w:val="292"/>
          <w:jc w:val="left"/>
        </w:trPr>
        <w:tc>
          <w:tcPr>
            <w:cnfStyle w:val="001000000000" w:firstRow="0" w:lastRow="0" w:firstColumn="1" w:lastColumn="0" w:oddVBand="0" w:evenVBand="0" w:oddHBand="0" w:evenHBand="0" w:firstRowFirstColumn="0" w:firstRowLastColumn="0" w:lastRowFirstColumn="0" w:lastRowLastColumn="0"/>
            <w:tcW w:w="4096" w:type="dxa"/>
            <w:noWrap/>
            <w:hideMark/>
          </w:tcPr>
          <w:p w14:paraId="0A383787" w14:textId="77777777" w:rsidR="00675569" w:rsidRDefault="00675569" w:rsidP="00391806">
            <w:pPr>
              <w:keepNext/>
              <w:contextualSpacing w:val="0"/>
              <w:jc w:val="left"/>
              <w:rPr>
                <w:rFonts w:ascii="Arial Narrow" w:eastAsia="Times New Roman" w:hAnsi="Arial Narrow" w:cs="Arial"/>
                <w:szCs w:val="20"/>
              </w:rPr>
            </w:pPr>
            <w:r w:rsidRPr="00675569">
              <w:rPr>
                <w:rFonts w:ascii="Arial Narrow" w:eastAsia="Times New Roman" w:hAnsi="Arial Narrow" w:cs="Arial"/>
                <w:szCs w:val="20"/>
              </w:rPr>
              <w:t>Year 4 (Nov 2016 - Oct 2017)</w:t>
            </w:r>
          </w:p>
          <w:p w14:paraId="22AF467D" w14:textId="30BF059F" w:rsidR="00327C4E" w:rsidRPr="00327C4E" w:rsidRDefault="00327C4E" w:rsidP="00391806">
            <w:pPr>
              <w:keepNext/>
              <w:contextualSpacing w:val="0"/>
              <w:jc w:val="left"/>
              <w:rPr>
                <w:rFonts w:ascii="Arial Narrow" w:eastAsia="Times New Roman" w:hAnsi="Arial Narrow" w:cs="Arial"/>
                <w:i/>
                <w:szCs w:val="20"/>
              </w:rPr>
            </w:pPr>
            <w:r w:rsidRPr="00327C4E">
              <w:rPr>
                <w:rFonts w:ascii="Arial Narrow" w:eastAsia="Times New Roman" w:hAnsi="Arial Narrow" w:cs="Arial"/>
                <w:i/>
                <w:iCs/>
                <w:color w:val="555759"/>
                <w:szCs w:val="20"/>
              </w:rPr>
              <w:t>Year 4 Standard Error</w:t>
            </w:r>
          </w:p>
        </w:tc>
        <w:tc>
          <w:tcPr>
            <w:tcW w:w="1200" w:type="dxa"/>
            <w:noWrap/>
            <w:hideMark/>
          </w:tcPr>
          <w:p w14:paraId="0522DCE3" w14:textId="77777777" w:rsid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28%</w:t>
            </w:r>
          </w:p>
          <w:p w14:paraId="392FF397" w14:textId="1D663C95" w:rsidR="00CE5776" w:rsidRPr="00675569" w:rsidRDefault="00CE5776" w:rsidP="00CE577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CE5776">
              <w:rPr>
                <w:rFonts w:ascii="Arial Narrow" w:eastAsia="Times New Roman" w:hAnsi="Arial Narrow" w:cs="Arial"/>
                <w:i/>
                <w:iCs/>
                <w:color w:val="555759"/>
                <w:szCs w:val="20"/>
              </w:rPr>
              <w:t>17%</w:t>
            </w:r>
          </w:p>
        </w:tc>
        <w:tc>
          <w:tcPr>
            <w:tcW w:w="1200" w:type="dxa"/>
            <w:noWrap/>
            <w:hideMark/>
          </w:tcPr>
          <w:p w14:paraId="7F2D9F52" w14:textId="77777777" w:rsid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24%</w:t>
            </w:r>
          </w:p>
          <w:p w14:paraId="7FA0BAF3" w14:textId="08A200FC" w:rsidR="00CE5776" w:rsidRPr="00CE5776" w:rsidRDefault="00CE5776"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i/>
                <w:color w:val="555759"/>
                <w:szCs w:val="20"/>
              </w:rPr>
            </w:pPr>
            <w:r w:rsidRPr="00CE5776">
              <w:rPr>
                <w:rFonts w:ascii="Arial Narrow" w:eastAsia="Times New Roman" w:hAnsi="Arial Narrow" w:cs="Arial"/>
                <w:i/>
                <w:color w:val="555759"/>
                <w:szCs w:val="20"/>
              </w:rPr>
              <w:t>13%</w:t>
            </w:r>
          </w:p>
        </w:tc>
        <w:tc>
          <w:tcPr>
            <w:tcW w:w="1200" w:type="dxa"/>
            <w:noWrap/>
            <w:hideMark/>
          </w:tcPr>
          <w:p w14:paraId="5ABAB8CD" w14:textId="77777777" w:rsid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38%</w:t>
            </w:r>
          </w:p>
          <w:p w14:paraId="5430E6F9" w14:textId="5B3E319F" w:rsidR="00CE5776" w:rsidRPr="00CE5776" w:rsidRDefault="00CE5776"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i/>
                <w:szCs w:val="20"/>
              </w:rPr>
            </w:pPr>
            <w:r w:rsidRPr="00CE5776">
              <w:rPr>
                <w:rFonts w:ascii="Arial Narrow" w:eastAsia="Times New Roman" w:hAnsi="Arial Narrow" w:cs="Arial"/>
                <w:i/>
                <w:color w:val="555759"/>
                <w:szCs w:val="20"/>
              </w:rPr>
              <w:t>32%</w:t>
            </w:r>
          </w:p>
        </w:tc>
        <w:tc>
          <w:tcPr>
            <w:tcW w:w="1525" w:type="dxa"/>
            <w:noWrap/>
            <w:hideMark/>
          </w:tcPr>
          <w:p w14:paraId="082300BB" w14:textId="77777777" w:rsidR="00675569" w:rsidRDefault="00675569"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675569">
              <w:rPr>
                <w:rFonts w:ascii="Arial Narrow" w:eastAsia="Times New Roman" w:hAnsi="Arial Narrow" w:cs="Arial"/>
                <w:szCs w:val="20"/>
              </w:rPr>
              <w:t>30%</w:t>
            </w:r>
          </w:p>
          <w:p w14:paraId="7319D178" w14:textId="41DFB883" w:rsidR="00CE5776" w:rsidRPr="00CE5776" w:rsidRDefault="00CE5776"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i/>
                <w:szCs w:val="20"/>
              </w:rPr>
            </w:pPr>
            <w:r w:rsidRPr="00CE5776">
              <w:rPr>
                <w:rFonts w:ascii="Arial Narrow" w:eastAsia="Times New Roman" w:hAnsi="Arial Narrow" w:cs="Arial"/>
                <w:i/>
                <w:color w:val="555759"/>
                <w:szCs w:val="20"/>
              </w:rPr>
              <w:t>-</w:t>
            </w:r>
          </w:p>
        </w:tc>
      </w:tr>
      <w:tr w:rsidR="00CE5776" w:rsidRPr="00675569" w14:paraId="132F1CDF" w14:textId="77777777" w:rsidTr="00CE5776">
        <w:trPr>
          <w:cnfStyle w:val="000000100000" w:firstRow="0" w:lastRow="0" w:firstColumn="0" w:lastColumn="0" w:oddVBand="0" w:evenVBand="0" w:oddHBand="1" w:evenHBand="0" w:firstRowFirstColumn="0" w:firstRowLastColumn="0" w:lastRowFirstColumn="0" w:lastRowLastColumn="0"/>
          <w:trHeight w:val="455"/>
          <w:jc w:val="left"/>
        </w:trPr>
        <w:tc>
          <w:tcPr>
            <w:cnfStyle w:val="001000000000" w:firstRow="0" w:lastRow="0" w:firstColumn="1" w:lastColumn="0" w:oddVBand="0" w:evenVBand="0" w:oddHBand="0" w:evenHBand="0" w:firstRowFirstColumn="0" w:firstRowLastColumn="0" w:lastRowFirstColumn="0" w:lastRowLastColumn="0"/>
            <w:tcW w:w="4096" w:type="dxa"/>
            <w:noWrap/>
            <w:vAlign w:val="top"/>
          </w:tcPr>
          <w:p w14:paraId="6D8DE0FA" w14:textId="77777777" w:rsidR="00CE5776" w:rsidRPr="00675569" w:rsidRDefault="00CE5776" w:rsidP="002B2082">
            <w:pPr>
              <w:keepNext/>
              <w:contextualSpacing w:val="0"/>
              <w:jc w:val="left"/>
              <w:rPr>
                <w:rFonts w:ascii="Arial Narrow" w:eastAsia="Times New Roman" w:hAnsi="Arial Narrow" w:cs="Arial"/>
                <w:szCs w:val="20"/>
              </w:rPr>
            </w:pPr>
            <w:r w:rsidRPr="002B2082">
              <w:rPr>
                <w:rFonts w:ascii="Arial Narrow" w:eastAsia="Times New Roman" w:hAnsi="Arial Narrow" w:cs="Arial"/>
                <w:szCs w:val="20"/>
              </w:rPr>
              <w:t>Year 5 (Nov 2017 - Oct 2018)</w:t>
            </w:r>
          </w:p>
          <w:p w14:paraId="6F6CE235" w14:textId="76FCBFA4" w:rsidR="00CE5776" w:rsidRPr="00675569" w:rsidRDefault="00CE5776" w:rsidP="00D8394D">
            <w:pPr>
              <w:keepNext/>
              <w:jc w:val="left"/>
              <w:rPr>
                <w:rFonts w:ascii="Arial Narrow" w:eastAsia="Times New Roman" w:hAnsi="Arial Narrow" w:cs="Arial"/>
                <w:szCs w:val="20"/>
              </w:rPr>
            </w:pPr>
            <w:r w:rsidRPr="002B2082">
              <w:rPr>
                <w:rFonts w:ascii="Arial Narrow" w:eastAsia="Times New Roman" w:hAnsi="Arial Narrow" w:cs="Arial"/>
                <w:i/>
                <w:iCs/>
                <w:color w:val="555759"/>
                <w:szCs w:val="20"/>
              </w:rPr>
              <w:t>Year 5 Standard Error</w:t>
            </w:r>
          </w:p>
        </w:tc>
        <w:tc>
          <w:tcPr>
            <w:tcW w:w="1200" w:type="dxa"/>
            <w:noWrap/>
            <w:vAlign w:val="top"/>
          </w:tcPr>
          <w:p w14:paraId="287D6B5B" w14:textId="77777777" w:rsidR="00CE5776" w:rsidRPr="00675569" w:rsidRDefault="00CE5776"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14%</w:t>
            </w:r>
          </w:p>
          <w:p w14:paraId="3F2F0F34" w14:textId="6E8C40FF" w:rsidR="00CE5776" w:rsidRPr="00675569" w:rsidRDefault="00CE5776" w:rsidP="00D8394D">
            <w:pPr>
              <w:keepNext/>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iCs/>
                <w:color w:val="555759"/>
                <w:szCs w:val="20"/>
              </w:rPr>
              <w:t>19%</w:t>
            </w:r>
          </w:p>
        </w:tc>
        <w:tc>
          <w:tcPr>
            <w:tcW w:w="1200" w:type="dxa"/>
            <w:noWrap/>
            <w:vAlign w:val="top"/>
          </w:tcPr>
          <w:p w14:paraId="77BC10FB" w14:textId="77777777" w:rsidR="00CE5776" w:rsidRPr="00675569" w:rsidRDefault="00CE5776"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31%</w:t>
            </w:r>
          </w:p>
          <w:p w14:paraId="0B6712CA" w14:textId="04E454F7" w:rsidR="00CE5776" w:rsidRPr="00675569" w:rsidRDefault="00CE5776" w:rsidP="00D8394D">
            <w:pPr>
              <w:keepNext/>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iCs/>
                <w:color w:val="555759"/>
                <w:szCs w:val="20"/>
              </w:rPr>
              <w:t>16%</w:t>
            </w:r>
          </w:p>
        </w:tc>
        <w:tc>
          <w:tcPr>
            <w:tcW w:w="1200" w:type="dxa"/>
            <w:noWrap/>
            <w:vAlign w:val="top"/>
          </w:tcPr>
          <w:p w14:paraId="112009E8" w14:textId="77777777" w:rsidR="00CE5776" w:rsidRPr="00675569" w:rsidRDefault="00CE5776"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65%</w:t>
            </w:r>
          </w:p>
          <w:p w14:paraId="0C487B25" w14:textId="1528D6C3" w:rsidR="00CE5776" w:rsidRPr="00675569" w:rsidRDefault="00CE5776" w:rsidP="00D8394D">
            <w:pPr>
              <w:keepNext/>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iCs/>
                <w:color w:val="555759"/>
                <w:szCs w:val="20"/>
              </w:rPr>
              <w:t>31%</w:t>
            </w:r>
          </w:p>
        </w:tc>
        <w:tc>
          <w:tcPr>
            <w:tcW w:w="1525" w:type="dxa"/>
            <w:noWrap/>
            <w:vAlign w:val="top"/>
          </w:tcPr>
          <w:p w14:paraId="2D91102C" w14:textId="77777777" w:rsidR="00CE5776" w:rsidRPr="00675569" w:rsidRDefault="00CE5776"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37%</w:t>
            </w:r>
          </w:p>
          <w:p w14:paraId="53A8F0EA" w14:textId="31262893" w:rsidR="00CE5776" w:rsidRPr="00675569" w:rsidRDefault="00CE5776" w:rsidP="00D8394D">
            <w:pPr>
              <w:keepNext/>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iCs/>
                <w:color w:val="555759"/>
                <w:szCs w:val="20"/>
              </w:rPr>
              <w:t>-</w:t>
            </w:r>
          </w:p>
        </w:tc>
      </w:tr>
    </w:tbl>
    <w:p w14:paraId="0265486D" w14:textId="5354C035" w:rsidR="003E6C0C" w:rsidRDefault="00D15F3F" w:rsidP="005671DE">
      <w:pPr>
        <w:pStyle w:val="Source"/>
      </w:pPr>
      <w:r w:rsidRPr="00DD2588">
        <w:t>Source: Navigant analysis</w:t>
      </w:r>
    </w:p>
    <w:p w14:paraId="6E2F9E90" w14:textId="64EB7855" w:rsidR="00675569" w:rsidRDefault="003E6C0C" w:rsidP="00391806">
      <w:pPr>
        <w:pStyle w:val="Caption"/>
      </w:pPr>
      <w:bookmarkStart w:id="12" w:name="_Ref520289013"/>
      <w:bookmarkStart w:id="13" w:name="_Toc525646503"/>
      <w:r>
        <w:t xml:space="preserve">Table </w:t>
      </w:r>
      <w:fldSimple w:instr=" STYLEREF 1 \s ">
        <w:r w:rsidR="006E4D05">
          <w:rPr>
            <w:noProof/>
          </w:rPr>
          <w:t>3</w:t>
        </w:r>
      </w:fldSimple>
      <w:r w:rsidR="006B1101">
        <w:noBreakHyphen/>
      </w:r>
      <w:fldSimple w:instr=" SEQ Table \* ARABIC \s 1 ">
        <w:r w:rsidR="006E4D05">
          <w:rPr>
            <w:noProof/>
          </w:rPr>
          <w:t>2</w:t>
        </w:r>
      </w:fldSimple>
      <w:bookmarkEnd w:id="12"/>
      <w:r>
        <w:t>. HER Persistence Factors</w:t>
      </w:r>
      <w:bookmarkEnd w:id="13"/>
    </w:p>
    <w:tbl>
      <w:tblPr>
        <w:tblStyle w:val="EnergyTable"/>
        <w:tblW w:w="9166" w:type="dxa"/>
        <w:tblLook w:val="04A0" w:firstRow="1" w:lastRow="0" w:firstColumn="1" w:lastColumn="0" w:noHBand="0" w:noVBand="1"/>
      </w:tblPr>
      <w:tblGrid>
        <w:gridCol w:w="4071"/>
        <w:gridCol w:w="1193"/>
        <w:gridCol w:w="1193"/>
        <w:gridCol w:w="1193"/>
        <w:gridCol w:w="1516"/>
      </w:tblGrid>
      <w:tr w:rsidR="003E6C0C" w:rsidRPr="003E6C0C" w14:paraId="217BF33E" w14:textId="77777777" w:rsidTr="003E6C0C">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4071" w:type="dxa"/>
            <w:noWrap/>
            <w:hideMark/>
          </w:tcPr>
          <w:p w14:paraId="66322771" w14:textId="77777777" w:rsidR="003E6C0C" w:rsidRPr="003E6C0C" w:rsidRDefault="003E6C0C" w:rsidP="00391806">
            <w:pPr>
              <w:keepNext/>
              <w:contextualSpacing w:val="0"/>
              <w:rPr>
                <w:rFonts w:ascii="Arial Narrow" w:eastAsia="Times New Roman" w:hAnsi="Arial Narrow" w:cs="Arial"/>
                <w:bCs/>
                <w:color w:val="FFFFFF"/>
                <w:szCs w:val="20"/>
              </w:rPr>
            </w:pPr>
          </w:p>
        </w:tc>
        <w:tc>
          <w:tcPr>
            <w:tcW w:w="1193" w:type="dxa"/>
            <w:noWrap/>
            <w:hideMark/>
          </w:tcPr>
          <w:p w14:paraId="2D1FF83D" w14:textId="77777777" w:rsidR="003E6C0C" w:rsidRPr="003E6C0C" w:rsidRDefault="003E6C0C"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3E6C0C">
              <w:rPr>
                <w:rFonts w:ascii="Arial Narrow" w:eastAsia="Times New Roman" w:hAnsi="Arial Narrow" w:cs="Arial"/>
                <w:bCs/>
                <w:color w:val="FFFFFF"/>
                <w:szCs w:val="20"/>
              </w:rPr>
              <w:t>Wave 1</w:t>
            </w:r>
          </w:p>
        </w:tc>
        <w:tc>
          <w:tcPr>
            <w:tcW w:w="1193" w:type="dxa"/>
            <w:noWrap/>
            <w:hideMark/>
          </w:tcPr>
          <w:p w14:paraId="3E82FC00" w14:textId="77777777" w:rsidR="003E6C0C" w:rsidRPr="003E6C0C" w:rsidRDefault="003E6C0C"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3E6C0C">
              <w:rPr>
                <w:rFonts w:ascii="Arial Narrow" w:eastAsia="Times New Roman" w:hAnsi="Arial Narrow" w:cs="Arial"/>
                <w:bCs/>
                <w:color w:val="FFFFFF"/>
                <w:szCs w:val="20"/>
              </w:rPr>
              <w:t>Wave 3</w:t>
            </w:r>
          </w:p>
        </w:tc>
        <w:tc>
          <w:tcPr>
            <w:tcW w:w="1193" w:type="dxa"/>
            <w:noWrap/>
            <w:hideMark/>
          </w:tcPr>
          <w:p w14:paraId="420A5C8C" w14:textId="77777777" w:rsidR="003E6C0C" w:rsidRPr="003E6C0C" w:rsidRDefault="003E6C0C"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3E6C0C">
              <w:rPr>
                <w:rFonts w:ascii="Arial Narrow" w:eastAsia="Times New Roman" w:hAnsi="Arial Narrow" w:cs="Arial"/>
                <w:bCs/>
                <w:color w:val="FFFFFF"/>
                <w:szCs w:val="20"/>
              </w:rPr>
              <w:t>Wave 5</w:t>
            </w:r>
          </w:p>
        </w:tc>
        <w:tc>
          <w:tcPr>
            <w:tcW w:w="1516" w:type="dxa"/>
            <w:noWrap/>
            <w:hideMark/>
          </w:tcPr>
          <w:p w14:paraId="228D4AD1" w14:textId="77777777" w:rsidR="003E6C0C" w:rsidRPr="003E6C0C" w:rsidRDefault="003E6C0C"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3E6C0C">
              <w:rPr>
                <w:rFonts w:ascii="Arial Narrow" w:eastAsia="Times New Roman" w:hAnsi="Arial Narrow" w:cs="Arial"/>
                <w:bCs/>
                <w:color w:val="FFFFFF"/>
                <w:szCs w:val="20"/>
              </w:rPr>
              <w:t>Average</w:t>
            </w:r>
          </w:p>
        </w:tc>
      </w:tr>
      <w:tr w:rsidR="003E6C0C" w:rsidRPr="003E6C0C" w14:paraId="6041E9B5" w14:textId="77777777" w:rsidTr="003E6C0C">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071" w:type="dxa"/>
            <w:noWrap/>
            <w:hideMark/>
          </w:tcPr>
          <w:p w14:paraId="2B2F57A8" w14:textId="77777777" w:rsidR="003E6C0C" w:rsidRPr="003E6C0C" w:rsidRDefault="003E6C0C" w:rsidP="00391806">
            <w:pPr>
              <w:keepNext/>
              <w:contextualSpacing w:val="0"/>
              <w:jc w:val="left"/>
              <w:rPr>
                <w:rFonts w:ascii="Arial Narrow" w:eastAsia="Times New Roman" w:hAnsi="Arial Narrow" w:cs="Arial"/>
                <w:szCs w:val="20"/>
              </w:rPr>
            </w:pPr>
            <w:r w:rsidRPr="003E6C0C">
              <w:rPr>
                <w:rFonts w:ascii="Arial Narrow" w:eastAsia="Times New Roman" w:hAnsi="Arial Narrow" w:cs="Arial"/>
                <w:szCs w:val="20"/>
              </w:rPr>
              <w:t>Year 1 (Nov 2013 - Oct 2014)</w:t>
            </w:r>
          </w:p>
        </w:tc>
        <w:tc>
          <w:tcPr>
            <w:tcW w:w="1193" w:type="dxa"/>
            <w:noWrap/>
            <w:hideMark/>
          </w:tcPr>
          <w:p w14:paraId="5242A278"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96%</w:t>
            </w:r>
          </w:p>
        </w:tc>
        <w:tc>
          <w:tcPr>
            <w:tcW w:w="1193" w:type="dxa"/>
            <w:noWrap/>
            <w:hideMark/>
          </w:tcPr>
          <w:p w14:paraId="615FB8A6"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98%</w:t>
            </w:r>
          </w:p>
        </w:tc>
        <w:tc>
          <w:tcPr>
            <w:tcW w:w="1193" w:type="dxa"/>
            <w:noWrap/>
            <w:hideMark/>
          </w:tcPr>
          <w:p w14:paraId="303B9717"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78%</w:t>
            </w:r>
          </w:p>
        </w:tc>
        <w:tc>
          <w:tcPr>
            <w:tcW w:w="1516" w:type="dxa"/>
            <w:noWrap/>
            <w:hideMark/>
          </w:tcPr>
          <w:p w14:paraId="79201E93"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90%</w:t>
            </w:r>
          </w:p>
        </w:tc>
      </w:tr>
      <w:tr w:rsidR="003E6C0C" w:rsidRPr="003E6C0C" w14:paraId="4F4DD126" w14:textId="77777777" w:rsidTr="003E6C0C">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071" w:type="dxa"/>
            <w:noWrap/>
            <w:hideMark/>
          </w:tcPr>
          <w:p w14:paraId="5BAFABC7" w14:textId="77777777" w:rsidR="003E6C0C" w:rsidRPr="003E6C0C" w:rsidRDefault="003E6C0C" w:rsidP="00391806">
            <w:pPr>
              <w:keepNext/>
              <w:contextualSpacing w:val="0"/>
              <w:jc w:val="left"/>
              <w:rPr>
                <w:rFonts w:ascii="Arial Narrow" w:eastAsia="Times New Roman" w:hAnsi="Arial Narrow" w:cs="Arial"/>
                <w:szCs w:val="20"/>
              </w:rPr>
            </w:pPr>
            <w:r w:rsidRPr="003E6C0C">
              <w:rPr>
                <w:rFonts w:ascii="Arial Narrow" w:eastAsia="Times New Roman" w:hAnsi="Arial Narrow" w:cs="Arial"/>
                <w:szCs w:val="20"/>
              </w:rPr>
              <w:t>Year 2 (Nov 2014 - Oct 2015)</w:t>
            </w:r>
          </w:p>
        </w:tc>
        <w:tc>
          <w:tcPr>
            <w:tcW w:w="1193" w:type="dxa"/>
            <w:noWrap/>
            <w:hideMark/>
          </w:tcPr>
          <w:p w14:paraId="7D5DE820"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85%</w:t>
            </w:r>
          </w:p>
        </w:tc>
        <w:tc>
          <w:tcPr>
            <w:tcW w:w="1193" w:type="dxa"/>
            <w:noWrap/>
            <w:hideMark/>
          </w:tcPr>
          <w:p w14:paraId="169F16FA"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83%</w:t>
            </w:r>
          </w:p>
        </w:tc>
        <w:tc>
          <w:tcPr>
            <w:tcW w:w="1193" w:type="dxa"/>
            <w:noWrap/>
            <w:hideMark/>
          </w:tcPr>
          <w:p w14:paraId="70413854"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40%</w:t>
            </w:r>
          </w:p>
        </w:tc>
        <w:tc>
          <w:tcPr>
            <w:tcW w:w="1516" w:type="dxa"/>
            <w:noWrap/>
            <w:hideMark/>
          </w:tcPr>
          <w:p w14:paraId="111AE19C"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69%</w:t>
            </w:r>
          </w:p>
        </w:tc>
      </w:tr>
      <w:tr w:rsidR="003E6C0C" w:rsidRPr="003E6C0C" w14:paraId="1865A53D" w14:textId="77777777" w:rsidTr="003E6C0C">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071" w:type="dxa"/>
            <w:noWrap/>
            <w:hideMark/>
          </w:tcPr>
          <w:p w14:paraId="775D7079" w14:textId="77777777" w:rsidR="003E6C0C" w:rsidRPr="003E6C0C" w:rsidRDefault="003E6C0C" w:rsidP="00391806">
            <w:pPr>
              <w:keepNext/>
              <w:contextualSpacing w:val="0"/>
              <w:jc w:val="left"/>
              <w:rPr>
                <w:rFonts w:ascii="Arial Narrow" w:eastAsia="Times New Roman" w:hAnsi="Arial Narrow" w:cs="Arial"/>
                <w:szCs w:val="20"/>
              </w:rPr>
            </w:pPr>
            <w:r w:rsidRPr="003E6C0C">
              <w:rPr>
                <w:rFonts w:ascii="Arial Narrow" w:eastAsia="Times New Roman" w:hAnsi="Arial Narrow" w:cs="Arial"/>
                <w:szCs w:val="20"/>
              </w:rPr>
              <w:t>Year 3 (Nov 2015 - Oct 2016)</w:t>
            </w:r>
          </w:p>
        </w:tc>
        <w:tc>
          <w:tcPr>
            <w:tcW w:w="1193" w:type="dxa"/>
            <w:noWrap/>
            <w:hideMark/>
          </w:tcPr>
          <w:p w14:paraId="56B0D1B5"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61%</w:t>
            </w:r>
          </w:p>
        </w:tc>
        <w:tc>
          <w:tcPr>
            <w:tcW w:w="1193" w:type="dxa"/>
            <w:noWrap/>
            <w:hideMark/>
          </w:tcPr>
          <w:p w14:paraId="586A016B"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82%</w:t>
            </w:r>
          </w:p>
        </w:tc>
        <w:tc>
          <w:tcPr>
            <w:tcW w:w="1193" w:type="dxa"/>
            <w:noWrap/>
            <w:hideMark/>
          </w:tcPr>
          <w:p w14:paraId="75C53897"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53%</w:t>
            </w:r>
          </w:p>
        </w:tc>
        <w:tc>
          <w:tcPr>
            <w:tcW w:w="1516" w:type="dxa"/>
            <w:noWrap/>
            <w:hideMark/>
          </w:tcPr>
          <w:p w14:paraId="2A18E714" w14:textId="77777777" w:rsidR="003E6C0C" w:rsidRPr="003E6C0C" w:rsidRDefault="003E6C0C"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65%</w:t>
            </w:r>
          </w:p>
        </w:tc>
      </w:tr>
      <w:tr w:rsidR="003E6C0C" w:rsidRPr="003E6C0C" w14:paraId="0DBADF66" w14:textId="77777777" w:rsidTr="003E6C0C">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071" w:type="dxa"/>
            <w:noWrap/>
            <w:hideMark/>
          </w:tcPr>
          <w:p w14:paraId="0E80C6C4" w14:textId="77777777" w:rsidR="003E6C0C" w:rsidRPr="003E6C0C" w:rsidRDefault="003E6C0C" w:rsidP="00391806">
            <w:pPr>
              <w:keepNext/>
              <w:contextualSpacing w:val="0"/>
              <w:jc w:val="left"/>
              <w:rPr>
                <w:rFonts w:ascii="Arial Narrow" w:eastAsia="Times New Roman" w:hAnsi="Arial Narrow" w:cs="Arial"/>
                <w:szCs w:val="20"/>
              </w:rPr>
            </w:pPr>
            <w:r w:rsidRPr="003E6C0C">
              <w:rPr>
                <w:rFonts w:ascii="Arial Narrow" w:eastAsia="Times New Roman" w:hAnsi="Arial Narrow" w:cs="Arial"/>
                <w:szCs w:val="20"/>
              </w:rPr>
              <w:t>Year 4 (Nov 2016 - Oct 2017)</w:t>
            </w:r>
          </w:p>
        </w:tc>
        <w:tc>
          <w:tcPr>
            <w:tcW w:w="1193" w:type="dxa"/>
            <w:noWrap/>
            <w:hideMark/>
          </w:tcPr>
          <w:p w14:paraId="7D560A1E"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72%</w:t>
            </w:r>
          </w:p>
        </w:tc>
        <w:tc>
          <w:tcPr>
            <w:tcW w:w="1193" w:type="dxa"/>
            <w:noWrap/>
            <w:hideMark/>
          </w:tcPr>
          <w:p w14:paraId="68CF1496"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76%</w:t>
            </w:r>
          </w:p>
        </w:tc>
        <w:tc>
          <w:tcPr>
            <w:tcW w:w="1193" w:type="dxa"/>
            <w:noWrap/>
            <w:hideMark/>
          </w:tcPr>
          <w:p w14:paraId="6B55A9B6"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62%</w:t>
            </w:r>
          </w:p>
        </w:tc>
        <w:tc>
          <w:tcPr>
            <w:tcW w:w="1516" w:type="dxa"/>
            <w:noWrap/>
            <w:hideMark/>
          </w:tcPr>
          <w:p w14:paraId="505CA88C" w14:textId="77777777" w:rsidR="003E6C0C" w:rsidRPr="003E6C0C" w:rsidRDefault="003E6C0C" w:rsidP="0039180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3E6C0C">
              <w:rPr>
                <w:rFonts w:ascii="Arial Narrow" w:eastAsia="Times New Roman" w:hAnsi="Arial Narrow" w:cs="Arial"/>
                <w:szCs w:val="20"/>
              </w:rPr>
              <w:t>70%</w:t>
            </w:r>
          </w:p>
        </w:tc>
      </w:tr>
      <w:tr w:rsidR="002B2082" w:rsidRPr="002B2082" w14:paraId="48D8BA01" w14:textId="77777777" w:rsidTr="00271F7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071" w:type="dxa"/>
            <w:noWrap/>
            <w:vAlign w:val="top"/>
          </w:tcPr>
          <w:p w14:paraId="663C94FA" w14:textId="46187C1B" w:rsidR="002B2082" w:rsidRPr="003E6C0C" w:rsidRDefault="002B2082" w:rsidP="002B2082">
            <w:pPr>
              <w:keepNext/>
              <w:contextualSpacing w:val="0"/>
              <w:jc w:val="left"/>
              <w:rPr>
                <w:rFonts w:ascii="Arial Narrow" w:eastAsia="Times New Roman" w:hAnsi="Arial Narrow" w:cs="Arial"/>
                <w:szCs w:val="20"/>
              </w:rPr>
            </w:pPr>
            <w:r w:rsidRPr="002B2082">
              <w:rPr>
                <w:rFonts w:ascii="Arial Narrow" w:eastAsia="Times New Roman" w:hAnsi="Arial Narrow" w:cs="Arial"/>
                <w:szCs w:val="20"/>
              </w:rPr>
              <w:t>Year 5 (Nov 2017 - Oct 2018)</w:t>
            </w:r>
          </w:p>
        </w:tc>
        <w:tc>
          <w:tcPr>
            <w:tcW w:w="1193" w:type="dxa"/>
            <w:noWrap/>
            <w:vAlign w:val="top"/>
          </w:tcPr>
          <w:p w14:paraId="3D2C16C2" w14:textId="345DEE80" w:rsidR="002B2082" w:rsidRPr="003E6C0C" w:rsidRDefault="002B2082"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86%</w:t>
            </w:r>
          </w:p>
        </w:tc>
        <w:tc>
          <w:tcPr>
            <w:tcW w:w="1193" w:type="dxa"/>
            <w:noWrap/>
            <w:vAlign w:val="top"/>
          </w:tcPr>
          <w:p w14:paraId="5F71E572" w14:textId="12938469" w:rsidR="002B2082" w:rsidRPr="003E6C0C" w:rsidRDefault="002B2082"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69%</w:t>
            </w:r>
          </w:p>
        </w:tc>
        <w:tc>
          <w:tcPr>
            <w:tcW w:w="1193" w:type="dxa"/>
            <w:noWrap/>
            <w:vAlign w:val="top"/>
          </w:tcPr>
          <w:p w14:paraId="2F7C1F81" w14:textId="404B76CD" w:rsidR="002B2082" w:rsidRPr="003E6C0C" w:rsidRDefault="002B2082"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35%</w:t>
            </w:r>
          </w:p>
        </w:tc>
        <w:tc>
          <w:tcPr>
            <w:tcW w:w="1516" w:type="dxa"/>
            <w:noWrap/>
            <w:vAlign w:val="top"/>
          </w:tcPr>
          <w:p w14:paraId="47D17094" w14:textId="2A197B54" w:rsidR="002B2082" w:rsidRPr="003E6C0C" w:rsidRDefault="002B2082" w:rsidP="002B2082">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63%</w:t>
            </w:r>
          </w:p>
        </w:tc>
      </w:tr>
    </w:tbl>
    <w:p w14:paraId="37174360" w14:textId="08517789" w:rsidR="00B06DD1" w:rsidRDefault="00D15F3F" w:rsidP="005671DE">
      <w:pPr>
        <w:pStyle w:val="Source"/>
      </w:pPr>
      <w:r w:rsidRPr="00B06DD1">
        <w:t>Source: Navigant analysis</w:t>
      </w:r>
    </w:p>
    <w:p w14:paraId="44DF5D97" w14:textId="77777777" w:rsidR="00D15F3F" w:rsidRDefault="00D15F3F" w:rsidP="00675569"/>
    <w:p w14:paraId="451C552C" w14:textId="40269DEB" w:rsidR="00D04DAE" w:rsidRDefault="00D04DAE" w:rsidP="00655E6A">
      <w:r>
        <w:t xml:space="preserve">The </w:t>
      </w:r>
      <w:r w:rsidR="00C02824">
        <w:t xml:space="preserve">change </w:t>
      </w:r>
      <w:r>
        <w:t>in the year-over-year decay rate can be more clearly seen in</w:t>
      </w:r>
      <w:r w:rsidR="00655E6A">
        <w:t xml:space="preserve"> </w:t>
      </w:r>
      <w:r>
        <w:fldChar w:fldCharType="begin"/>
      </w:r>
      <w:r>
        <w:instrText xml:space="preserve"> REF _Ref520292393 \h </w:instrText>
      </w:r>
      <w:r w:rsidR="00655E6A">
        <w:instrText xml:space="preserve"> \* MERGEFORMAT </w:instrText>
      </w:r>
      <w:r>
        <w:fldChar w:fldCharType="separate"/>
      </w:r>
      <w:r w:rsidR="006E4D05">
        <w:t xml:space="preserve">Figure </w:t>
      </w:r>
      <w:r w:rsidR="006E4D05">
        <w:rPr>
          <w:noProof/>
        </w:rPr>
        <w:t>3</w:t>
      </w:r>
      <w:r w:rsidR="006E4D05">
        <w:rPr>
          <w:noProof/>
        </w:rPr>
        <w:noBreakHyphen/>
        <w:t>1</w:t>
      </w:r>
      <w:r>
        <w:fldChar w:fldCharType="end"/>
      </w:r>
      <w:r>
        <w:t xml:space="preserve">. </w:t>
      </w:r>
      <w:r w:rsidR="001903C6" w:rsidRPr="001903C6">
        <w:t>T</w:t>
      </w:r>
      <w:r w:rsidRPr="001903C6">
        <w:t xml:space="preserve">he decay rates vary across </w:t>
      </w:r>
      <w:r w:rsidR="001903C6" w:rsidRPr="001903C6">
        <w:t>wave</w:t>
      </w:r>
      <w:r w:rsidR="001903C6">
        <w:t>s</w:t>
      </w:r>
      <w:r w:rsidR="001903C6" w:rsidRPr="001903C6">
        <w:t>; h</w:t>
      </w:r>
      <w:r w:rsidR="001903C6">
        <w:t>owever, they do appear to be closer to a linear pattern over time than an exponential one (as suggested by just the first two years of persistence research).</w:t>
      </w:r>
      <w:r>
        <w:t xml:space="preserve"> </w:t>
      </w:r>
    </w:p>
    <w:p w14:paraId="183A7AA9" w14:textId="77777777" w:rsidR="00655E6A" w:rsidRDefault="00655E6A" w:rsidP="00655E6A"/>
    <w:p w14:paraId="537242A9" w14:textId="234A996B" w:rsidR="00D04DAE" w:rsidRDefault="00D04DAE" w:rsidP="00D04DAE">
      <w:pPr>
        <w:pStyle w:val="Caption"/>
      </w:pPr>
      <w:bookmarkStart w:id="14" w:name="_Ref520292393"/>
      <w:bookmarkStart w:id="15" w:name="_Toc525646500"/>
      <w:r>
        <w:lastRenderedPageBreak/>
        <w:t xml:space="preserve">Figure </w:t>
      </w:r>
      <w:fldSimple w:instr=" STYLEREF 1 \s ">
        <w:r w:rsidR="006E4D05">
          <w:rPr>
            <w:noProof/>
          </w:rPr>
          <w:t>3</w:t>
        </w:r>
      </w:fldSimple>
      <w:r w:rsidR="006B1101">
        <w:noBreakHyphen/>
      </w:r>
      <w:fldSimple w:instr=" SEQ Figure \* ARABIC \s 1 ">
        <w:r w:rsidR="006E4D05">
          <w:rPr>
            <w:noProof/>
          </w:rPr>
          <w:t>1</w:t>
        </w:r>
      </w:fldSimple>
      <w:bookmarkEnd w:id="14"/>
      <w:r>
        <w:t>. Decay Rate</w:t>
      </w:r>
      <w:bookmarkEnd w:id="15"/>
    </w:p>
    <w:p w14:paraId="380B1844" w14:textId="2681329B" w:rsidR="00480771" w:rsidRPr="00480771" w:rsidRDefault="007925E4" w:rsidP="007925E4">
      <w:pPr>
        <w:jc w:val="center"/>
      </w:pPr>
      <w:r>
        <w:rPr>
          <w:noProof/>
        </w:rPr>
        <w:drawing>
          <wp:inline distT="0" distB="0" distL="0" distR="0" wp14:anchorId="457F2665" wp14:editId="0F3C02DB">
            <wp:extent cx="5594384" cy="2606040"/>
            <wp:effectExtent l="0" t="0" r="6350" b="381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Annual Decay Rate.2018-08-23.png"/>
                    <pic:cNvPicPr/>
                  </pic:nvPicPr>
                  <pic:blipFill>
                    <a:blip r:embed="rId20"/>
                    <a:stretch>
                      <a:fillRect/>
                    </a:stretch>
                  </pic:blipFill>
                  <pic:spPr bwMode="auto">
                    <a:xfrm>
                      <a:off x="0" y="0"/>
                      <a:ext cx="5594384" cy="2606040"/>
                    </a:xfrm>
                    <a:prstGeom prst="rect">
                      <a:avLst/>
                    </a:prstGeom>
                    <a:ln>
                      <a:noFill/>
                    </a:ln>
                    <a:extLst>
                      <a:ext uri="{53640926-AAD7-44D8-BBD7-CCE9431645EC}">
                        <a14:shadowObscured xmlns:a14="http://schemas.microsoft.com/office/drawing/2010/main"/>
                      </a:ext>
                    </a:extLst>
                  </pic:spPr>
                </pic:pic>
              </a:graphicData>
            </a:graphic>
          </wp:inline>
        </w:drawing>
      </w:r>
    </w:p>
    <w:p w14:paraId="47A91729" w14:textId="44887888" w:rsidR="00CE5776" w:rsidRPr="00CE5776" w:rsidRDefault="00CE5776" w:rsidP="00874520">
      <w:pPr>
        <w:pStyle w:val="GraphFootnote"/>
        <w:ind w:firstLine="450"/>
      </w:pPr>
      <w:r>
        <w:t>Note: PFE</w:t>
      </w:r>
      <w:r>
        <w:rPr>
          <w:vertAlign w:val="subscript"/>
        </w:rPr>
        <w:t>X</w:t>
      </w:r>
      <w:r>
        <w:t xml:space="preserve"> = Persistence Factor Electric in Year X.</w:t>
      </w:r>
    </w:p>
    <w:p w14:paraId="33EE8888" w14:textId="02531068" w:rsidR="00EE5EF6" w:rsidRDefault="00D15F3F" w:rsidP="00874520">
      <w:pPr>
        <w:pStyle w:val="Source"/>
        <w:ind w:firstLine="450"/>
      </w:pPr>
      <w:r w:rsidRPr="00B06DD1">
        <w:t>Source: Navigant analysis</w:t>
      </w:r>
    </w:p>
    <w:p w14:paraId="7A15FC58" w14:textId="77777777" w:rsidR="00D15F3F" w:rsidRDefault="00D15F3F" w:rsidP="00812B36"/>
    <w:p w14:paraId="5C2F7C24" w14:textId="075E15C5" w:rsidR="00EE5EF6" w:rsidRPr="00EE18C6" w:rsidRDefault="00EE5EF6" w:rsidP="009F2BF9">
      <w:pPr>
        <w:spacing w:after="120"/>
      </w:pPr>
      <w:r>
        <w:fldChar w:fldCharType="begin"/>
      </w:r>
      <w:r>
        <w:instrText xml:space="preserve"> REF _Ref520383410 \h </w:instrText>
      </w:r>
      <w:r>
        <w:fldChar w:fldCharType="separate"/>
      </w:r>
      <w:r w:rsidR="006E4D05">
        <w:t xml:space="preserve">Figure </w:t>
      </w:r>
      <w:r w:rsidR="006E4D05">
        <w:rPr>
          <w:noProof/>
        </w:rPr>
        <w:t>3</w:t>
      </w:r>
      <w:r w:rsidR="006E4D05">
        <w:noBreakHyphen/>
      </w:r>
      <w:r w:rsidR="006E4D05">
        <w:rPr>
          <w:noProof/>
        </w:rPr>
        <w:t>2</w:t>
      </w:r>
      <w:r>
        <w:fldChar w:fldCharType="end"/>
      </w:r>
      <w:r w:rsidR="002E51E8">
        <w:t xml:space="preserve"> shows the 90</w:t>
      </w:r>
      <w:r w:rsidR="00574AC1">
        <w:t xml:space="preserve"> percent</w:t>
      </w:r>
      <w:r w:rsidR="002E51E8">
        <w:t xml:space="preserve"> confidence interval for the decay rate</w:t>
      </w:r>
      <w:r w:rsidR="00064D0C">
        <w:t>s</w:t>
      </w:r>
      <w:r>
        <w:t xml:space="preserve"> </w:t>
      </w:r>
      <w:r w:rsidR="002E51E8">
        <w:t xml:space="preserve">calculated in </w:t>
      </w:r>
      <w:r w:rsidR="00C02824">
        <w:t>the third</w:t>
      </w:r>
      <w:r w:rsidR="00F54592">
        <w:t>,</w:t>
      </w:r>
      <w:r w:rsidR="00C02824">
        <w:t xml:space="preserve"> fourth</w:t>
      </w:r>
      <w:r w:rsidR="00F54592">
        <w:t>, and fifth</w:t>
      </w:r>
      <w:r w:rsidR="00C02824">
        <w:t xml:space="preserve"> year after reports stopped</w:t>
      </w:r>
      <w:r w:rsidR="002E51E8">
        <w:t>.</w:t>
      </w:r>
      <w:r w:rsidR="00064D0C">
        <w:t xml:space="preserve"> </w:t>
      </w:r>
      <w:r w:rsidR="00FB2C61" w:rsidRPr="00EE18C6">
        <w:t>Based on Wald tests</w:t>
      </w:r>
      <w:r w:rsidR="008D4C63" w:rsidRPr="00EE18C6">
        <w:t>, PFE</w:t>
      </w:r>
      <w:r w:rsidR="00EE18C6" w:rsidRPr="00EE18C6">
        <w:rPr>
          <w:vertAlign w:val="subscript"/>
        </w:rPr>
        <w:t>5</w:t>
      </w:r>
      <w:r w:rsidR="008D4C63" w:rsidRPr="00EE18C6">
        <w:rPr>
          <w:vertAlign w:val="subscript"/>
        </w:rPr>
        <w:t xml:space="preserve"> </w:t>
      </w:r>
      <w:r w:rsidR="008D4C63" w:rsidRPr="00EE18C6">
        <w:t>decay rates were not statistically different from PFE</w:t>
      </w:r>
      <w:r w:rsidR="00EE18C6" w:rsidRPr="00EE18C6">
        <w:rPr>
          <w:vertAlign w:val="subscript"/>
        </w:rPr>
        <w:t xml:space="preserve">4 </w:t>
      </w:r>
      <w:r w:rsidR="008D4C63" w:rsidRPr="00EE18C6">
        <w:t>estimates for each wave.</w:t>
      </w:r>
      <w:r w:rsidR="001903C6">
        <w:rPr>
          <w:rStyle w:val="CommentReference"/>
        </w:rPr>
        <w:t xml:space="preserve"> </w:t>
      </w:r>
      <w:r w:rsidR="00EE18C6">
        <w:t>In addition, for Wave 5 the confidence bound on PFE</w:t>
      </w:r>
      <w:r w:rsidR="00EE18C6">
        <w:rPr>
          <w:vertAlign w:val="subscript"/>
        </w:rPr>
        <w:t>5</w:t>
      </w:r>
      <w:r w:rsidR="00EE18C6">
        <w:t xml:space="preserve"> includes one </w:t>
      </w:r>
      <w:r w:rsidR="00414D82">
        <w:t xml:space="preserve">on the high end </w:t>
      </w:r>
      <w:r w:rsidR="00EE18C6">
        <w:t xml:space="preserve">meaning that that wave did not have any statistically significant savings five years after reports stopped. </w:t>
      </w:r>
    </w:p>
    <w:p w14:paraId="5CDDFA0B" w14:textId="1F214B8E" w:rsidR="00EE5EF6" w:rsidRDefault="00EE5EF6" w:rsidP="001903C6">
      <w:pPr>
        <w:pStyle w:val="Caption"/>
      </w:pPr>
      <w:bookmarkStart w:id="16" w:name="_Ref520383410"/>
      <w:bookmarkStart w:id="17" w:name="_Ref520383406"/>
      <w:bookmarkStart w:id="18" w:name="_Toc525646501"/>
      <w:r>
        <w:t xml:space="preserve">Figure </w:t>
      </w:r>
      <w:fldSimple w:instr=" STYLEREF 1 \s ">
        <w:r w:rsidR="006E4D05">
          <w:rPr>
            <w:noProof/>
          </w:rPr>
          <w:t>3</w:t>
        </w:r>
      </w:fldSimple>
      <w:r w:rsidR="006B1101">
        <w:noBreakHyphen/>
      </w:r>
      <w:fldSimple w:instr=" SEQ Figure \* ARABIC \s 1 ">
        <w:r w:rsidR="006E4D05">
          <w:rPr>
            <w:noProof/>
          </w:rPr>
          <w:t>2</w:t>
        </w:r>
      </w:fldSimple>
      <w:bookmarkEnd w:id="16"/>
      <w:r>
        <w:t>. Decay Rate Comparison</w:t>
      </w:r>
      <w:bookmarkEnd w:id="17"/>
      <w:bookmarkEnd w:id="18"/>
    </w:p>
    <w:p w14:paraId="511C0C19" w14:textId="36180414" w:rsidR="007925E4" w:rsidRDefault="007925E4" w:rsidP="001903C6">
      <w:pPr>
        <w:pStyle w:val="Source"/>
        <w:keepNext/>
        <w:jc w:val="center"/>
      </w:pPr>
      <w:r>
        <w:rPr>
          <w:noProof/>
        </w:rPr>
        <w:drawing>
          <wp:inline distT="0" distB="0" distL="0" distR="0" wp14:anchorId="5261326E" wp14:editId="7ADD1AEA">
            <wp:extent cx="5052851" cy="3291840"/>
            <wp:effectExtent l="0" t="0" r="0" b="381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Decay Rate Boxplot.2018-08-23.png"/>
                    <pic:cNvPicPr/>
                  </pic:nvPicPr>
                  <pic:blipFill>
                    <a:blip r:embed="rId21"/>
                    <a:stretch>
                      <a:fillRect/>
                    </a:stretch>
                  </pic:blipFill>
                  <pic:spPr>
                    <a:xfrm>
                      <a:off x="0" y="0"/>
                      <a:ext cx="5052851" cy="3291840"/>
                    </a:xfrm>
                    <a:prstGeom prst="rect">
                      <a:avLst/>
                    </a:prstGeom>
                  </pic:spPr>
                </pic:pic>
              </a:graphicData>
            </a:graphic>
          </wp:inline>
        </w:drawing>
      </w:r>
    </w:p>
    <w:p w14:paraId="289303A6" w14:textId="77777777" w:rsidR="00CE5776" w:rsidRPr="00CE5776" w:rsidRDefault="00CE5776" w:rsidP="00874520">
      <w:pPr>
        <w:pStyle w:val="GraphFootnote"/>
        <w:ind w:firstLine="630"/>
      </w:pPr>
      <w:r>
        <w:t>Note: PFE</w:t>
      </w:r>
      <w:r>
        <w:rPr>
          <w:vertAlign w:val="subscript"/>
        </w:rPr>
        <w:t>X</w:t>
      </w:r>
      <w:r>
        <w:t xml:space="preserve"> = Persistence Factor Electric in Year X.</w:t>
      </w:r>
    </w:p>
    <w:p w14:paraId="741313BA" w14:textId="31D19A5F" w:rsidR="007925E4" w:rsidRDefault="007925E4" w:rsidP="009F2BF9">
      <w:pPr>
        <w:pStyle w:val="Source"/>
        <w:ind w:firstLine="630"/>
      </w:pPr>
      <w:r w:rsidRPr="00B06DD1">
        <w:t>Source: Navigant analysis</w:t>
      </w:r>
    </w:p>
    <w:p w14:paraId="25820C14" w14:textId="33FED247" w:rsidR="00EE5EF6" w:rsidRDefault="00EE5EF6" w:rsidP="00812B36"/>
    <w:p w14:paraId="237F2F40" w14:textId="3F75D6F8" w:rsidR="00812B36" w:rsidRPr="003F38B3" w:rsidRDefault="00812B36" w:rsidP="00812B36">
      <w:r>
        <w:t xml:space="preserve">The IL TRM provides HER energy savings persistence values based on existing research and extrapolation of those findings. </w:t>
      </w:r>
      <w:r>
        <w:fldChar w:fldCharType="begin"/>
      </w:r>
      <w:r>
        <w:instrText xml:space="preserve"> REF _Ref520292888 \h </w:instrText>
      </w:r>
      <w:r>
        <w:fldChar w:fldCharType="separate"/>
      </w:r>
      <w:r w:rsidR="006E4D05">
        <w:t xml:space="preserve">Table </w:t>
      </w:r>
      <w:r w:rsidR="006E4D05">
        <w:rPr>
          <w:noProof/>
        </w:rPr>
        <w:t>3</w:t>
      </w:r>
      <w:r w:rsidR="006E4D05">
        <w:noBreakHyphen/>
      </w:r>
      <w:r w:rsidR="006E4D05">
        <w:rPr>
          <w:noProof/>
        </w:rPr>
        <w:t>3</w:t>
      </w:r>
      <w:r>
        <w:fldChar w:fldCharType="end"/>
      </w:r>
      <w:r>
        <w:t xml:space="preserve"> shows those figures relative to Navigant’s research using ComEd data. The year column identifies the temporal relationship of the data to report termination. For example, Persistence Factor Electric 1 (PFE</w:t>
      </w:r>
      <w:r w:rsidRPr="004D698F">
        <w:rPr>
          <w:vertAlign w:val="subscript"/>
        </w:rPr>
        <w:t>1</w:t>
      </w:r>
      <w:r>
        <w:t>) is one year after cus</w:t>
      </w:r>
      <w:r w:rsidR="0005707D">
        <w:t xml:space="preserve">tomers </w:t>
      </w:r>
      <w:r w:rsidR="00B31BA9">
        <w:t>stopped receiving</w:t>
      </w:r>
      <w:r w:rsidR="0005707D">
        <w:t xml:space="preserve"> HERs.</w:t>
      </w:r>
      <w:r w:rsidR="003F38B3">
        <w:t xml:space="preserve"> </w:t>
      </w:r>
      <w:r w:rsidR="00EE18C6">
        <w:t>The persistence factors from Navigant’s analysis decreased each year, except for PFE</w:t>
      </w:r>
      <w:r w:rsidR="00EE18C6" w:rsidRPr="003D02BE">
        <w:rPr>
          <w:vertAlign w:val="subscript"/>
        </w:rPr>
        <w:t>4</w:t>
      </w:r>
      <w:r w:rsidR="00EE18C6">
        <w:rPr>
          <w:vertAlign w:val="subscript"/>
        </w:rPr>
        <w:t xml:space="preserve"> </w:t>
      </w:r>
      <w:r w:rsidR="00EE18C6">
        <w:t xml:space="preserve">when there was a slight increase. Throughout the years, Navigant’s persistence factors are higher than the TRM and may suggest a measure life longer than five years. This is likely driven by the length of treatment prior to report termination which was up to four years for the ComEd waves being studied. A five year measure life is supported by the fact that Wave 5, </w:t>
      </w:r>
      <w:r w:rsidR="00B63F5A">
        <w:t xml:space="preserve">which </w:t>
      </w:r>
      <w:r w:rsidR="00EE18C6">
        <w:t xml:space="preserve">had the shortest treatment before report termination, did not have any statistically significant savings in this year’s analysis. </w:t>
      </w:r>
    </w:p>
    <w:p w14:paraId="248F7BAA" w14:textId="3994DA85" w:rsidR="00812B36" w:rsidRDefault="00812B36" w:rsidP="00812B36"/>
    <w:p w14:paraId="6705D88D" w14:textId="186A1472" w:rsidR="00812B36" w:rsidRDefault="00812B36" w:rsidP="00391806">
      <w:pPr>
        <w:pStyle w:val="Caption"/>
      </w:pPr>
      <w:bookmarkStart w:id="19" w:name="_Ref520292888"/>
      <w:bookmarkStart w:id="20" w:name="_Toc525646504"/>
      <w:r>
        <w:t xml:space="preserve">Table </w:t>
      </w:r>
      <w:fldSimple w:instr=" STYLEREF 1 \s ">
        <w:r w:rsidR="006E4D05">
          <w:rPr>
            <w:noProof/>
          </w:rPr>
          <w:t>3</w:t>
        </w:r>
      </w:fldSimple>
      <w:r w:rsidR="006B1101">
        <w:noBreakHyphen/>
      </w:r>
      <w:fldSimple w:instr=" SEQ Table \* ARABIC \s 1 ">
        <w:r w:rsidR="006E4D05">
          <w:rPr>
            <w:noProof/>
          </w:rPr>
          <w:t>3</w:t>
        </w:r>
      </w:fldSimple>
      <w:bookmarkEnd w:id="19"/>
      <w:r>
        <w:t>. Existing and Recommended TRM Persistence Factors</w:t>
      </w:r>
      <w:bookmarkEnd w:id="20"/>
    </w:p>
    <w:tbl>
      <w:tblPr>
        <w:tblStyle w:val="EnergyTable"/>
        <w:tblW w:w="6210" w:type="dxa"/>
        <w:tblLook w:val="04A0" w:firstRow="1" w:lastRow="0" w:firstColumn="1" w:lastColumn="0" w:noHBand="0" w:noVBand="1"/>
      </w:tblPr>
      <w:tblGrid>
        <w:gridCol w:w="1901"/>
        <w:gridCol w:w="2239"/>
        <w:gridCol w:w="2070"/>
      </w:tblGrid>
      <w:tr w:rsidR="00EE18C6" w:rsidRPr="00A110DE" w14:paraId="445E1096" w14:textId="3586C4F9" w:rsidTr="00EE18C6">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01" w:type="dxa"/>
            <w:noWrap/>
            <w:hideMark/>
          </w:tcPr>
          <w:p w14:paraId="0C7D1366" w14:textId="77777777" w:rsidR="00EE18C6" w:rsidRPr="00A110DE" w:rsidRDefault="00EE18C6" w:rsidP="00391806">
            <w:pPr>
              <w:keepNext/>
              <w:contextualSpacing w:val="0"/>
              <w:jc w:val="left"/>
              <w:rPr>
                <w:rFonts w:ascii="Arial Narrow" w:eastAsia="Times New Roman" w:hAnsi="Arial Narrow" w:cs="Arial"/>
                <w:bCs/>
                <w:color w:val="FFFFFF"/>
                <w:szCs w:val="20"/>
              </w:rPr>
            </w:pPr>
            <w:r w:rsidRPr="00A110DE">
              <w:rPr>
                <w:rFonts w:ascii="Arial Narrow" w:eastAsia="Times New Roman" w:hAnsi="Arial Narrow" w:cs="Arial"/>
                <w:bCs/>
                <w:color w:val="FFFFFF"/>
                <w:szCs w:val="20"/>
              </w:rPr>
              <w:t>Year</w:t>
            </w:r>
          </w:p>
        </w:tc>
        <w:tc>
          <w:tcPr>
            <w:tcW w:w="2239" w:type="dxa"/>
            <w:noWrap/>
            <w:hideMark/>
          </w:tcPr>
          <w:p w14:paraId="355DE110" w14:textId="77777777" w:rsidR="00EE18C6" w:rsidRPr="00A110DE" w:rsidRDefault="00EE18C6"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A110DE">
              <w:rPr>
                <w:rFonts w:ascii="Arial Narrow" w:eastAsia="Times New Roman" w:hAnsi="Arial Narrow" w:cs="Arial"/>
                <w:bCs/>
                <w:color w:val="FFFFFF"/>
                <w:szCs w:val="20"/>
              </w:rPr>
              <w:t>TRM Persistence Factors</w:t>
            </w:r>
          </w:p>
        </w:tc>
        <w:tc>
          <w:tcPr>
            <w:tcW w:w="2070" w:type="dxa"/>
            <w:noWrap/>
            <w:hideMark/>
          </w:tcPr>
          <w:p w14:paraId="6D8FE556" w14:textId="77777777" w:rsidR="00EE18C6" w:rsidRPr="00A110DE" w:rsidRDefault="00EE18C6" w:rsidP="00391806">
            <w:pPr>
              <w:keepNext/>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A110DE">
              <w:rPr>
                <w:rFonts w:ascii="Arial Narrow" w:eastAsia="Times New Roman" w:hAnsi="Arial Narrow" w:cs="Arial"/>
                <w:bCs/>
                <w:color w:val="FFFFFF"/>
                <w:szCs w:val="20"/>
              </w:rPr>
              <w:t>Navigant Analysis Persistence Factors</w:t>
            </w:r>
          </w:p>
        </w:tc>
      </w:tr>
      <w:tr w:rsidR="00EE18C6" w:rsidRPr="00A110DE" w14:paraId="2EE7B25E" w14:textId="3019FAE5" w:rsidTr="00EE18C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01" w:type="dxa"/>
            <w:noWrap/>
            <w:hideMark/>
          </w:tcPr>
          <w:p w14:paraId="67AF21C8" w14:textId="77777777" w:rsidR="00EE18C6" w:rsidRPr="00A110DE" w:rsidRDefault="00EE18C6" w:rsidP="00391806">
            <w:pPr>
              <w:keepNext/>
              <w:contextualSpacing w:val="0"/>
              <w:jc w:val="left"/>
              <w:rPr>
                <w:rFonts w:ascii="Arial Narrow" w:eastAsia="Times New Roman" w:hAnsi="Arial Narrow" w:cs="Arial"/>
                <w:szCs w:val="20"/>
              </w:rPr>
            </w:pPr>
            <w:r w:rsidRPr="00A110DE">
              <w:rPr>
                <w:rFonts w:ascii="Arial Narrow" w:eastAsia="Times New Roman" w:hAnsi="Arial Narrow" w:cs="Arial"/>
                <w:szCs w:val="20"/>
              </w:rPr>
              <w:t xml:space="preserve"> </w:t>
            </w:r>
          </w:p>
        </w:tc>
        <w:tc>
          <w:tcPr>
            <w:tcW w:w="2239" w:type="dxa"/>
            <w:noWrap/>
            <w:hideMark/>
          </w:tcPr>
          <w:p w14:paraId="44AFE6F3" w14:textId="77777777" w:rsidR="00EE18C6" w:rsidRPr="00A110DE" w:rsidRDefault="00EE18C6"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100%</w:t>
            </w:r>
          </w:p>
        </w:tc>
        <w:tc>
          <w:tcPr>
            <w:tcW w:w="2070" w:type="dxa"/>
            <w:noWrap/>
            <w:hideMark/>
          </w:tcPr>
          <w:p w14:paraId="2B3BC455" w14:textId="77777777" w:rsidR="00EE18C6" w:rsidRPr="00A110DE" w:rsidRDefault="00EE18C6" w:rsidP="0039180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100%</w:t>
            </w:r>
          </w:p>
        </w:tc>
      </w:tr>
      <w:tr w:rsidR="00EE18C6" w:rsidRPr="00A110DE" w14:paraId="36EF6BFE" w14:textId="719E63B1" w:rsidTr="00EE18C6">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01" w:type="dxa"/>
            <w:noWrap/>
            <w:hideMark/>
          </w:tcPr>
          <w:p w14:paraId="09B2908D" w14:textId="77777777" w:rsidR="00EE18C6" w:rsidRPr="00A110DE" w:rsidRDefault="00EE18C6" w:rsidP="00EE18C6">
            <w:pPr>
              <w:keepNext/>
              <w:contextualSpacing w:val="0"/>
              <w:jc w:val="left"/>
              <w:rPr>
                <w:rFonts w:ascii="Arial Narrow" w:eastAsia="Times New Roman" w:hAnsi="Arial Narrow" w:cs="Arial"/>
                <w:szCs w:val="20"/>
              </w:rPr>
            </w:pPr>
            <w:r w:rsidRPr="00A110DE">
              <w:rPr>
                <w:rFonts w:ascii="Arial Narrow" w:eastAsia="Times New Roman" w:hAnsi="Arial Narrow" w:cs="Arial"/>
                <w:szCs w:val="20"/>
              </w:rPr>
              <w:t>PFE</w:t>
            </w:r>
            <w:r w:rsidRPr="00A110DE">
              <w:rPr>
                <w:rFonts w:ascii="Arial Narrow" w:eastAsia="Times New Roman" w:hAnsi="Arial Narrow" w:cs="Arial"/>
                <w:szCs w:val="20"/>
                <w:vertAlign w:val="subscript"/>
              </w:rPr>
              <w:t>1</w:t>
            </w:r>
          </w:p>
        </w:tc>
        <w:tc>
          <w:tcPr>
            <w:tcW w:w="2239" w:type="dxa"/>
            <w:noWrap/>
            <w:hideMark/>
          </w:tcPr>
          <w:p w14:paraId="226020E1" w14:textId="77777777" w:rsidR="00EE18C6" w:rsidRPr="00A110DE" w:rsidRDefault="00EE18C6" w:rsidP="00EE18C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80%</w:t>
            </w:r>
          </w:p>
        </w:tc>
        <w:tc>
          <w:tcPr>
            <w:tcW w:w="2070" w:type="dxa"/>
            <w:noWrap/>
            <w:hideMark/>
          </w:tcPr>
          <w:p w14:paraId="5CDA1F4B" w14:textId="373197CE" w:rsidR="00EE18C6" w:rsidRPr="00A110DE" w:rsidRDefault="00EE18C6" w:rsidP="00EE18C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90%</w:t>
            </w:r>
          </w:p>
        </w:tc>
      </w:tr>
      <w:tr w:rsidR="00EE18C6" w:rsidRPr="00A110DE" w14:paraId="54E4C5D9" w14:textId="5423BA07" w:rsidTr="00EE18C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01" w:type="dxa"/>
            <w:noWrap/>
            <w:hideMark/>
          </w:tcPr>
          <w:p w14:paraId="1A0ED0C2" w14:textId="77777777" w:rsidR="00EE18C6" w:rsidRPr="00A110DE" w:rsidRDefault="00EE18C6" w:rsidP="00EE18C6">
            <w:pPr>
              <w:keepNext/>
              <w:contextualSpacing w:val="0"/>
              <w:jc w:val="left"/>
              <w:rPr>
                <w:rFonts w:ascii="Arial Narrow" w:eastAsia="Times New Roman" w:hAnsi="Arial Narrow" w:cs="Arial"/>
                <w:szCs w:val="20"/>
              </w:rPr>
            </w:pPr>
            <w:r w:rsidRPr="00A110DE">
              <w:rPr>
                <w:rFonts w:ascii="Arial Narrow" w:eastAsia="Times New Roman" w:hAnsi="Arial Narrow" w:cs="Arial"/>
                <w:szCs w:val="20"/>
              </w:rPr>
              <w:t>PFE</w:t>
            </w:r>
            <w:r w:rsidRPr="00A110DE">
              <w:rPr>
                <w:rFonts w:ascii="Arial Narrow" w:eastAsia="Times New Roman" w:hAnsi="Arial Narrow" w:cs="Arial"/>
                <w:szCs w:val="20"/>
                <w:vertAlign w:val="subscript"/>
              </w:rPr>
              <w:t>2</w:t>
            </w:r>
          </w:p>
        </w:tc>
        <w:tc>
          <w:tcPr>
            <w:tcW w:w="2239" w:type="dxa"/>
            <w:noWrap/>
            <w:hideMark/>
          </w:tcPr>
          <w:p w14:paraId="456B6204" w14:textId="77777777" w:rsidR="00EE18C6" w:rsidRPr="00A110DE" w:rsidRDefault="00EE18C6" w:rsidP="00EE18C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54%</w:t>
            </w:r>
          </w:p>
        </w:tc>
        <w:tc>
          <w:tcPr>
            <w:tcW w:w="2070" w:type="dxa"/>
            <w:noWrap/>
            <w:hideMark/>
          </w:tcPr>
          <w:p w14:paraId="439C0E7E" w14:textId="77777777" w:rsidR="00EE18C6" w:rsidRPr="00A110DE" w:rsidRDefault="00EE18C6" w:rsidP="00EE18C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69%</w:t>
            </w:r>
          </w:p>
        </w:tc>
      </w:tr>
      <w:tr w:rsidR="00EE18C6" w:rsidRPr="00A110DE" w14:paraId="28F585F1" w14:textId="37FE1E81" w:rsidTr="00EE18C6">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01" w:type="dxa"/>
            <w:noWrap/>
            <w:hideMark/>
          </w:tcPr>
          <w:p w14:paraId="6786FA02" w14:textId="77777777" w:rsidR="00EE18C6" w:rsidRPr="00A110DE" w:rsidRDefault="00EE18C6" w:rsidP="00EE18C6">
            <w:pPr>
              <w:keepNext/>
              <w:contextualSpacing w:val="0"/>
              <w:jc w:val="left"/>
              <w:rPr>
                <w:rFonts w:ascii="Arial Narrow" w:eastAsia="Times New Roman" w:hAnsi="Arial Narrow" w:cs="Arial"/>
                <w:szCs w:val="20"/>
              </w:rPr>
            </w:pPr>
            <w:r w:rsidRPr="00A110DE">
              <w:rPr>
                <w:rFonts w:ascii="Arial Narrow" w:eastAsia="Times New Roman" w:hAnsi="Arial Narrow" w:cs="Arial"/>
                <w:szCs w:val="20"/>
              </w:rPr>
              <w:t>PFE</w:t>
            </w:r>
            <w:r w:rsidRPr="00A110DE">
              <w:rPr>
                <w:rFonts w:ascii="Arial Narrow" w:eastAsia="Times New Roman" w:hAnsi="Arial Narrow" w:cs="Arial"/>
                <w:szCs w:val="20"/>
                <w:vertAlign w:val="subscript"/>
              </w:rPr>
              <w:t>3</w:t>
            </w:r>
          </w:p>
        </w:tc>
        <w:tc>
          <w:tcPr>
            <w:tcW w:w="2239" w:type="dxa"/>
            <w:noWrap/>
            <w:hideMark/>
          </w:tcPr>
          <w:p w14:paraId="4032194F" w14:textId="67B0600F" w:rsidR="00EE18C6" w:rsidRPr="00A110DE" w:rsidRDefault="00EE18C6" w:rsidP="00EE18C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31%</w:t>
            </w:r>
          </w:p>
        </w:tc>
        <w:tc>
          <w:tcPr>
            <w:tcW w:w="2070" w:type="dxa"/>
            <w:noWrap/>
            <w:hideMark/>
          </w:tcPr>
          <w:p w14:paraId="5D01CBD5" w14:textId="77777777" w:rsidR="00EE18C6" w:rsidRPr="00A110DE" w:rsidRDefault="00EE18C6" w:rsidP="00EE18C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65%</w:t>
            </w:r>
          </w:p>
        </w:tc>
      </w:tr>
      <w:tr w:rsidR="00EE18C6" w:rsidRPr="00A110DE" w14:paraId="546B21E7" w14:textId="2FEDDF5C" w:rsidTr="00EE18C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01" w:type="dxa"/>
            <w:noWrap/>
            <w:hideMark/>
          </w:tcPr>
          <w:p w14:paraId="6E20470A" w14:textId="77777777" w:rsidR="00EE18C6" w:rsidRPr="00A110DE" w:rsidRDefault="00EE18C6" w:rsidP="00EE18C6">
            <w:pPr>
              <w:keepNext/>
              <w:contextualSpacing w:val="0"/>
              <w:jc w:val="left"/>
              <w:rPr>
                <w:rFonts w:ascii="Arial Narrow" w:eastAsia="Times New Roman" w:hAnsi="Arial Narrow" w:cs="Arial"/>
                <w:szCs w:val="20"/>
              </w:rPr>
            </w:pPr>
            <w:r w:rsidRPr="00A110DE">
              <w:rPr>
                <w:rFonts w:ascii="Arial Narrow" w:eastAsia="Times New Roman" w:hAnsi="Arial Narrow" w:cs="Arial"/>
                <w:szCs w:val="20"/>
              </w:rPr>
              <w:t>PFE</w:t>
            </w:r>
            <w:r w:rsidRPr="00A110DE">
              <w:rPr>
                <w:rFonts w:ascii="Arial Narrow" w:eastAsia="Times New Roman" w:hAnsi="Arial Narrow" w:cs="Arial"/>
                <w:szCs w:val="20"/>
                <w:vertAlign w:val="subscript"/>
              </w:rPr>
              <w:t>4</w:t>
            </w:r>
          </w:p>
        </w:tc>
        <w:tc>
          <w:tcPr>
            <w:tcW w:w="2239" w:type="dxa"/>
            <w:noWrap/>
            <w:hideMark/>
          </w:tcPr>
          <w:p w14:paraId="67523853" w14:textId="77777777" w:rsidR="00EE18C6" w:rsidRPr="00A110DE" w:rsidRDefault="00EE18C6" w:rsidP="00EE18C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15%</w:t>
            </w:r>
          </w:p>
        </w:tc>
        <w:tc>
          <w:tcPr>
            <w:tcW w:w="2070" w:type="dxa"/>
            <w:noWrap/>
            <w:hideMark/>
          </w:tcPr>
          <w:p w14:paraId="5847C55B" w14:textId="77777777" w:rsidR="00EE18C6" w:rsidRPr="00A110DE" w:rsidRDefault="00EE18C6" w:rsidP="00EE18C6">
            <w:pPr>
              <w:keepNext/>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A110DE">
              <w:rPr>
                <w:rFonts w:ascii="Arial Narrow" w:eastAsia="Times New Roman" w:hAnsi="Arial Narrow" w:cs="Arial"/>
                <w:szCs w:val="20"/>
              </w:rPr>
              <w:t>70%</w:t>
            </w:r>
          </w:p>
        </w:tc>
      </w:tr>
      <w:tr w:rsidR="00EE18C6" w:rsidRPr="00A110DE" w14:paraId="72761D52" w14:textId="059FC992" w:rsidTr="00EE18C6">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01" w:type="dxa"/>
            <w:noWrap/>
            <w:vAlign w:val="bottom"/>
          </w:tcPr>
          <w:p w14:paraId="37F5AC4B" w14:textId="04B85A41" w:rsidR="00EE18C6" w:rsidRPr="00A110DE" w:rsidRDefault="00EE18C6" w:rsidP="00EE18C6">
            <w:pPr>
              <w:keepNext/>
              <w:contextualSpacing w:val="0"/>
              <w:jc w:val="left"/>
              <w:rPr>
                <w:rFonts w:ascii="Arial Narrow" w:eastAsia="Times New Roman" w:hAnsi="Arial Narrow" w:cs="Arial"/>
                <w:szCs w:val="20"/>
              </w:rPr>
            </w:pPr>
            <w:r w:rsidRPr="002B2082">
              <w:rPr>
                <w:rFonts w:ascii="Arial Narrow" w:eastAsia="Times New Roman" w:hAnsi="Arial Narrow" w:cs="Arial"/>
                <w:szCs w:val="20"/>
              </w:rPr>
              <w:t>PFE</w:t>
            </w:r>
            <w:r w:rsidRPr="002B2082">
              <w:rPr>
                <w:rFonts w:ascii="Calibri" w:hAnsi="Calibri" w:cs="Calibri"/>
                <w:color w:val="000000"/>
                <w:sz w:val="22"/>
                <w:vertAlign w:val="subscript"/>
              </w:rPr>
              <w:t>5</w:t>
            </w:r>
          </w:p>
        </w:tc>
        <w:tc>
          <w:tcPr>
            <w:tcW w:w="2239" w:type="dxa"/>
            <w:noWrap/>
            <w:vAlign w:val="bottom"/>
          </w:tcPr>
          <w:p w14:paraId="66DF7E67" w14:textId="2F6B14B4" w:rsidR="00EE18C6" w:rsidRPr="00A110DE" w:rsidRDefault="00EE18C6" w:rsidP="00EE18C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0%</w:t>
            </w:r>
          </w:p>
        </w:tc>
        <w:tc>
          <w:tcPr>
            <w:tcW w:w="2070" w:type="dxa"/>
            <w:noWrap/>
            <w:vAlign w:val="bottom"/>
          </w:tcPr>
          <w:p w14:paraId="2701285C" w14:textId="3A0613DC" w:rsidR="00EE18C6" w:rsidRPr="00A110DE" w:rsidRDefault="00EE18C6" w:rsidP="00EE18C6">
            <w:pPr>
              <w:keepNext/>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63%</w:t>
            </w:r>
          </w:p>
        </w:tc>
      </w:tr>
    </w:tbl>
    <w:p w14:paraId="2BAE8831" w14:textId="4A50D531" w:rsidR="00812B36" w:rsidRDefault="00340D6B" w:rsidP="00661E90">
      <w:pPr>
        <w:pStyle w:val="Source"/>
        <w:keepLines/>
        <w:ind w:left="1620" w:hanging="90"/>
      </w:pPr>
      <w:r w:rsidRPr="00B06DD1">
        <w:t>Source: Navigant analysis</w:t>
      </w:r>
    </w:p>
    <w:p w14:paraId="2F37BD44" w14:textId="77777777" w:rsidR="00340D6B" w:rsidRDefault="00340D6B" w:rsidP="00675569"/>
    <w:p w14:paraId="1DEB691D" w14:textId="718628B3" w:rsidR="003E6C0C" w:rsidRDefault="006A4B70" w:rsidP="00675569">
      <w:r>
        <w:fldChar w:fldCharType="begin"/>
      </w:r>
      <w:r>
        <w:instrText xml:space="preserve"> REF _Ref520289358 \h </w:instrText>
      </w:r>
      <w:r>
        <w:fldChar w:fldCharType="separate"/>
      </w:r>
      <w:r w:rsidR="006E4D05">
        <w:t xml:space="preserve">Table </w:t>
      </w:r>
      <w:r w:rsidR="006E4D05">
        <w:rPr>
          <w:noProof/>
        </w:rPr>
        <w:t>3</w:t>
      </w:r>
      <w:r w:rsidR="006E4D05">
        <w:noBreakHyphen/>
      </w:r>
      <w:r w:rsidR="006E4D05">
        <w:rPr>
          <w:noProof/>
        </w:rPr>
        <w:t>4</w:t>
      </w:r>
      <w:r>
        <w:fldChar w:fldCharType="end"/>
      </w:r>
      <w:r>
        <w:t xml:space="preserve"> </w:t>
      </w:r>
      <w:r w:rsidR="004D242F" w:rsidRPr="00486E5A">
        <w:t xml:space="preserve">presents a summary of lifetime persistence savings and measure life using results from </w:t>
      </w:r>
      <w:r w:rsidR="004D242F">
        <w:t xml:space="preserve">the </w:t>
      </w:r>
      <w:r w:rsidR="00F54592">
        <w:t>fifth</w:t>
      </w:r>
      <w:r w:rsidR="004D242F">
        <w:t xml:space="preserve"> </w:t>
      </w:r>
      <w:r w:rsidR="004D242F" w:rsidRPr="00486E5A">
        <w:t>year</w:t>
      </w:r>
      <w:r w:rsidR="004D242F">
        <w:t xml:space="preserve"> after report termination.</w:t>
      </w:r>
      <w:r w:rsidR="004D242F" w:rsidRPr="00486E5A">
        <w:rPr>
          <w:rStyle w:val="FootnoteReference"/>
        </w:rPr>
        <w:footnoteReference w:id="9"/>
      </w:r>
      <w:r w:rsidR="004D242F" w:rsidRPr="00486E5A">
        <w:t xml:space="preserve"> </w:t>
      </w:r>
      <w:r w:rsidR="004D242F">
        <w:t xml:space="preserve">Readers should not compare </w:t>
      </w:r>
      <w:r w:rsidR="004D242F" w:rsidRPr="00486E5A">
        <w:t>lifetime persistence</w:t>
      </w:r>
      <w:r w:rsidR="004D242F">
        <w:t xml:space="preserve"> savings</w:t>
      </w:r>
      <w:r w:rsidR="004D242F" w:rsidRPr="00486E5A">
        <w:t xml:space="preserve"> </w:t>
      </w:r>
      <w:r w:rsidR="004D242F">
        <w:t xml:space="preserve">across waves due to variation in </w:t>
      </w:r>
      <w:r w:rsidR="004D242F" w:rsidRPr="00486E5A">
        <w:t>t</w:t>
      </w:r>
      <w:r w:rsidR="004D242F">
        <w:t>he number of participants</w:t>
      </w:r>
      <w:r w:rsidR="004D242F" w:rsidRPr="00486E5A">
        <w:t>, and therefore total savings.</w:t>
      </w:r>
      <w:r w:rsidR="004D242F">
        <w:t xml:space="preserve"> For example, because Wave 1 had 11 percent more customers than Wave 5, it will likely have a higher savings figure, regardless of its persistence factor. Wave m</w:t>
      </w:r>
      <w:r w:rsidR="004D242F" w:rsidRPr="00486E5A">
        <w:t>easure life, however, can be directly compared.</w:t>
      </w:r>
      <w:r w:rsidR="004D242F">
        <w:t xml:space="preserve"> To calculate measure life, Navigant</w:t>
      </w:r>
      <w:r w:rsidR="004D242F" w:rsidRPr="00486E5A">
        <w:t xml:space="preserve"> </w:t>
      </w:r>
      <w:r w:rsidR="004D242F">
        <w:t>took</w:t>
      </w:r>
      <w:r w:rsidR="004D242F" w:rsidRPr="00486E5A">
        <w:t xml:space="preserve"> </w:t>
      </w:r>
      <w:r w:rsidR="004D242F">
        <w:t xml:space="preserve">decay </w:t>
      </w:r>
      <w:r>
        <w:t xml:space="preserve">figures from the first </w:t>
      </w:r>
      <w:r w:rsidR="00F54592">
        <w:t>five</w:t>
      </w:r>
      <w:r w:rsidR="004D242F">
        <w:t xml:space="preserve"> years, and projected savings would continue to decay a</w:t>
      </w:r>
      <w:r>
        <w:t xml:space="preserve">t the rate observed in the </w:t>
      </w:r>
      <w:r w:rsidR="00F54592">
        <w:t>fifth</w:t>
      </w:r>
      <w:r w:rsidR="004D242F">
        <w:t xml:space="preserve"> year.</w:t>
      </w:r>
      <w:r w:rsidR="004D242F">
        <w:rPr>
          <w:rStyle w:val="FootnoteReference"/>
        </w:rPr>
        <w:footnoteReference w:id="10"/>
      </w:r>
      <w:r w:rsidR="004D242F" w:rsidRPr="00486E5A">
        <w:t xml:space="preserve"> </w:t>
      </w:r>
      <w:r w:rsidR="004D242F" w:rsidRPr="00EE18C6">
        <w:t xml:space="preserve">Of the three waves, Wave </w:t>
      </w:r>
      <w:r w:rsidR="00A96042" w:rsidRPr="00EE18C6">
        <w:t>1</w:t>
      </w:r>
      <w:r w:rsidR="004D242F" w:rsidRPr="00EE18C6">
        <w:t xml:space="preserve"> had the longest measure life and Wave 5 had the shortest.</w:t>
      </w:r>
    </w:p>
    <w:p w14:paraId="49253786" w14:textId="77777777" w:rsidR="00F54592" w:rsidRDefault="00F54592" w:rsidP="00675569"/>
    <w:p w14:paraId="62CFFA37" w14:textId="0E9E02EB" w:rsidR="003E6C0C" w:rsidRDefault="006A4B70" w:rsidP="007925E4">
      <w:pPr>
        <w:pStyle w:val="Caption"/>
        <w:keepLines/>
      </w:pPr>
      <w:bookmarkStart w:id="21" w:name="_Ref520289358"/>
      <w:bookmarkStart w:id="22" w:name="_Toc525646505"/>
      <w:r>
        <w:t xml:space="preserve">Table </w:t>
      </w:r>
      <w:fldSimple w:instr=" STYLEREF 1 \s ">
        <w:r w:rsidR="006E4D05">
          <w:rPr>
            <w:noProof/>
          </w:rPr>
          <w:t>3</w:t>
        </w:r>
      </w:fldSimple>
      <w:r w:rsidR="006B1101">
        <w:noBreakHyphen/>
      </w:r>
      <w:fldSimple w:instr=" SEQ Table \* ARABIC \s 1 ">
        <w:r w:rsidR="006E4D05">
          <w:rPr>
            <w:noProof/>
          </w:rPr>
          <w:t>4</w:t>
        </w:r>
      </w:fldSimple>
      <w:bookmarkEnd w:id="21"/>
      <w:r>
        <w:t>. HER Persistence Savings and Measure Life</w:t>
      </w:r>
      <w:bookmarkEnd w:id="22"/>
    </w:p>
    <w:tbl>
      <w:tblPr>
        <w:tblStyle w:val="EnergyTable"/>
        <w:tblW w:w="9322" w:type="dxa"/>
        <w:tblLook w:val="04A0" w:firstRow="1" w:lastRow="0" w:firstColumn="1" w:lastColumn="0" w:noHBand="0" w:noVBand="1"/>
      </w:tblPr>
      <w:tblGrid>
        <w:gridCol w:w="4001"/>
        <w:gridCol w:w="1282"/>
        <w:gridCol w:w="1282"/>
        <w:gridCol w:w="1214"/>
        <w:gridCol w:w="1543"/>
      </w:tblGrid>
      <w:tr w:rsidR="006A4B70" w:rsidRPr="006A4B70" w14:paraId="58EFE049" w14:textId="77777777" w:rsidTr="006A4B70">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001" w:type="dxa"/>
            <w:noWrap/>
            <w:hideMark/>
          </w:tcPr>
          <w:p w14:paraId="3DD17C4E" w14:textId="77777777" w:rsidR="006A4B70" w:rsidRPr="006A4B70" w:rsidRDefault="006A4B70" w:rsidP="007925E4">
            <w:pPr>
              <w:keepLines/>
              <w:contextualSpacing w:val="0"/>
              <w:rPr>
                <w:rFonts w:ascii="Arial Narrow" w:eastAsia="Times New Roman" w:hAnsi="Arial Narrow" w:cs="Arial"/>
                <w:bCs/>
                <w:color w:val="FFFFFF"/>
                <w:szCs w:val="20"/>
              </w:rPr>
            </w:pPr>
          </w:p>
        </w:tc>
        <w:tc>
          <w:tcPr>
            <w:tcW w:w="1282" w:type="dxa"/>
            <w:noWrap/>
            <w:hideMark/>
          </w:tcPr>
          <w:p w14:paraId="289A9E45" w14:textId="77777777" w:rsidR="006A4B70" w:rsidRPr="006A4B70" w:rsidRDefault="006A4B70" w:rsidP="007925E4">
            <w:pPr>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A4B70">
              <w:rPr>
                <w:rFonts w:ascii="Arial Narrow" w:eastAsia="Times New Roman" w:hAnsi="Arial Narrow" w:cs="Arial"/>
                <w:bCs/>
                <w:color w:val="FFFFFF"/>
                <w:szCs w:val="20"/>
              </w:rPr>
              <w:t>Wave 1</w:t>
            </w:r>
          </w:p>
        </w:tc>
        <w:tc>
          <w:tcPr>
            <w:tcW w:w="1282" w:type="dxa"/>
            <w:noWrap/>
            <w:hideMark/>
          </w:tcPr>
          <w:p w14:paraId="4EB6800D" w14:textId="77777777" w:rsidR="006A4B70" w:rsidRPr="006A4B70" w:rsidRDefault="006A4B70" w:rsidP="007925E4">
            <w:pPr>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A4B70">
              <w:rPr>
                <w:rFonts w:ascii="Arial Narrow" w:eastAsia="Times New Roman" w:hAnsi="Arial Narrow" w:cs="Arial"/>
                <w:bCs/>
                <w:color w:val="FFFFFF"/>
                <w:szCs w:val="20"/>
              </w:rPr>
              <w:t>Wave 3</w:t>
            </w:r>
          </w:p>
        </w:tc>
        <w:tc>
          <w:tcPr>
            <w:tcW w:w="1214" w:type="dxa"/>
            <w:noWrap/>
            <w:hideMark/>
          </w:tcPr>
          <w:p w14:paraId="4A5B5B66" w14:textId="77777777" w:rsidR="006A4B70" w:rsidRPr="006A4B70" w:rsidRDefault="006A4B70" w:rsidP="007925E4">
            <w:pPr>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A4B70">
              <w:rPr>
                <w:rFonts w:ascii="Arial Narrow" w:eastAsia="Times New Roman" w:hAnsi="Arial Narrow" w:cs="Arial"/>
                <w:bCs/>
                <w:color w:val="FFFFFF"/>
                <w:szCs w:val="20"/>
              </w:rPr>
              <w:t>Wave 5</w:t>
            </w:r>
          </w:p>
        </w:tc>
        <w:tc>
          <w:tcPr>
            <w:tcW w:w="1543" w:type="dxa"/>
            <w:noWrap/>
            <w:hideMark/>
          </w:tcPr>
          <w:p w14:paraId="2DCE2861" w14:textId="77777777" w:rsidR="006A4B70" w:rsidRPr="006A4B70" w:rsidRDefault="006A4B70" w:rsidP="007925E4">
            <w:pPr>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6A4B70">
              <w:rPr>
                <w:rFonts w:ascii="Arial Narrow" w:eastAsia="Times New Roman" w:hAnsi="Arial Narrow" w:cs="Arial"/>
                <w:bCs/>
                <w:color w:val="FFFFFF"/>
                <w:szCs w:val="20"/>
              </w:rPr>
              <w:t>Average</w:t>
            </w:r>
          </w:p>
        </w:tc>
      </w:tr>
      <w:tr w:rsidR="002B2082" w:rsidRPr="006A4B70" w14:paraId="1FF926F6" w14:textId="77777777" w:rsidTr="00271F7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001" w:type="dxa"/>
            <w:noWrap/>
            <w:hideMark/>
          </w:tcPr>
          <w:p w14:paraId="057C4290" w14:textId="77777777" w:rsidR="002B2082" w:rsidRPr="006A4B70" w:rsidRDefault="002B2082" w:rsidP="002B2082">
            <w:pPr>
              <w:keepLines/>
              <w:contextualSpacing w:val="0"/>
              <w:jc w:val="left"/>
              <w:rPr>
                <w:rFonts w:ascii="Arial Narrow" w:eastAsia="Times New Roman" w:hAnsi="Arial Narrow" w:cs="Arial"/>
                <w:szCs w:val="20"/>
              </w:rPr>
            </w:pPr>
            <w:r w:rsidRPr="006A4B70">
              <w:rPr>
                <w:rFonts w:ascii="Arial Narrow" w:eastAsia="Times New Roman" w:hAnsi="Arial Narrow" w:cs="Arial"/>
                <w:szCs w:val="20"/>
              </w:rPr>
              <w:t>Lifetime Persistence Savings</w:t>
            </w:r>
          </w:p>
        </w:tc>
        <w:tc>
          <w:tcPr>
            <w:tcW w:w="1282" w:type="dxa"/>
            <w:noWrap/>
            <w:vAlign w:val="top"/>
            <w:hideMark/>
          </w:tcPr>
          <w:p w14:paraId="0B125353" w14:textId="59CD5EF0" w:rsidR="002B2082" w:rsidRPr="006A4B70" w:rsidRDefault="002B2082" w:rsidP="002B2082">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 xml:space="preserve"> 20,874 </w:t>
            </w:r>
          </w:p>
        </w:tc>
        <w:tc>
          <w:tcPr>
            <w:tcW w:w="1282" w:type="dxa"/>
            <w:noWrap/>
            <w:vAlign w:val="top"/>
            <w:hideMark/>
          </w:tcPr>
          <w:p w14:paraId="591355CB" w14:textId="7F492422" w:rsidR="002B2082" w:rsidRPr="006A4B70" w:rsidRDefault="002B2082" w:rsidP="002B2082">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 xml:space="preserve"> 23,546 </w:t>
            </w:r>
          </w:p>
        </w:tc>
        <w:tc>
          <w:tcPr>
            <w:tcW w:w="1214" w:type="dxa"/>
            <w:noWrap/>
            <w:vAlign w:val="top"/>
            <w:hideMark/>
          </w:tcPr>
          <w:p w14:paraId="55CF20E4" w14:textId="694697C9" w:rsidR="002B2082" w:rsidRPr="006A4B70" w:rsidRDefault="002B2082" w:rsidP="002B2082">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 xml:space="preserve"> 7,404 </w:t>
            </w:r>
          </w:p>
        </w:tc>
        <w:tc>
          <w:tcPr>
            <w:tcW w:w="1543" w:type="dxa"/>
            <w:noWrap/>
            <w:vAlign w:val="top"/>
            <w:hideMark/>
          </w:tcPr>
          <w:p w14:paraId="062DA3FF" w14:textId="4D5B643C" w:rsidR="002B2082" w:rsidRPr="006A4B70" w:rsidRDefault="002B2082" w:rsidP="002B2082">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w:t>
            </w:r>
          </w:p>
        </w:tc>
      </w:tr>
      <w:tr w:rsidR="002B2082" w:rsidRPr="006A4B70" w14:paraId="06726021" w14:textId="77777777" w:rsidTr="00271F76">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001" w:type="dxa"/>
            <w:noWrap/>
            <w:hideMark/>
          </w:tcPr>
          <w:p w14:paraId="34585D1F" w14:textId="77777777" w:rsidR="002B2082" w:rsidRPr="006A4B70" w:rsidRDefault="002B2082" w:rsidP="002B2082">
            <w:pPr>
              <w:keepLines/>
              <w:contextualSpacing w:val="0"/>
              <w:jc w:val="left"/>
              <w:rPr>
                <w:rFonts w:ascii="Arial Narrow" w:eastAsia="Times New Roman" w:hAnsi="Arial Narrow" w:cs="Arial"/>
                <w:szCs w:val="20"/>
              </w:rPr>
            </w:pPr>
            <w:r w:rsidRPr="006A4B70">
              <w:rPr>
                <w:rFonts w:ascii="Arial Narrow" w:eastAsia="Times New Roman" w:hAnsi="Arial Narrow" w:cs="Arial"/>
                <w:szCs w:val="20"/>
              </w:rPr>
              <w:t>Measure Life</w:t>
            </w:r>
          </w:p>
        </w:tc>
        <w:tc>
          <w:tcPr>
            <w:tcW w:w="1282" w:type="dxa"/>
            <w:noWrap/>
            <w:vAlign w:val="bottom"/>
            <w:hideMark/>
          </w:tcPr>
          <w:p w14:paraId="3CF9391E" w14:textId="79B7EFFC" w:rsidR="002B2082" w:rsidRPr="006A4B70" w:rsidRDefault="002B2082" w:rsidP="002B2082">
            <w:pPr>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8.21</w:t>
            </w:r>
          </w:p>
        </w:tc>
        <w:tc>
          <w:tcPr>
            <w:tcW w:w="1282" w:type="dxa"/>
            <w:noWrap/>
            <w:vAlign w:val="bottom"/>
            <w:hideMark/>
          </w:tcPr>
          <w:p w14:paraId="4010F8FC" w14:textId="33B4D223" w:rsidR="002B2082" w:rsidRPr="006A4B70" w:rsidRDefault="002B2082" w:rsidP="002B2082">
            <w:pPr>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6.12</w:t>
            </w:r>
          </w:p>
        </w:tc>
        <w:tc>
          <w:tcPr>
            <w:tcW w:w="1214" w:type="dxa"/>
            <w:noWrap/>
            <w:vAlign w:val="bottom"/>
            <w:hideMark/>
          </w:tcPr>
          <w:p w14:paraId="662CA127" w14:textId="62B2BC83" w:rsidR="002B2082" w:rsidRPr="006A4B70" w:rsidRDefault="002B2082" w:rsidP="002B2082">
            <w:pPr>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3.18</w:t>
            </w:r>
          </w:p>
        </w:tc>
        <w:tc>
          <w:tcPr>
            <w:tcW w:w="1543" w:type="dxa"/>
            <w:noWrap/>
            <w:vAlign w:val="bottom"/>
            <w:hideMark/>
          </w:tcPr>
          <w:p w14:paraId="592F4B8E" w14:textId="00C627B2" w:rsidR="002B2082" w:rsidRPr="006A4B70" w:rsidRDefault="002B2082" w:rsidP="002B2082">
            <w:pPr>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2B2082">
              <w:rPr>
                <w:rFonts w:ascii="Arial Narrow" w:eastAsia="Times New Roman" w:hAnsi="Arial Narrow" w:cs="Arial"/>
                <w:szCs w:val="20"/>
              </w:rPr>
              <w:t>5.84</w:t>
            </w:r>
          </w:p>
        </w:tc>
      </w:tr>
      <w:tr w:rsidR="00EA6150" w:rsidRPr="006A4B70" w14:paraId="0162F10C" w14:textId="77777777" w:rsidTr="00271F7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001" w:type="dxa"/>
            <w:noWrap/>
          </w:tcPr>
          <w:p w14:paraId="6D10A6A4" w14:textId="6C0FA820" w:rsidR="00EA6150" w:rsidRPr="006A4B70" w:rsidRDefault="00EA6150" w:rsidP="00EA6150">
            <w:pPr>
              <w:keepLines/>
              <w:contextualSpacing w:val="0"/>
              <w:jc w:val="left"/>
              <w:rPr>
                <w:rFonts w:ascii="Arial Narrow" w:eastAsia="Times New Roman" w:hAnsi="Arial Narrow" w:cs="Arial"/>
                <w:i/>
                <w:iCs/>
                <w:color w:val="555759"/>
                <w:szCs w:val="20"/>
              </w:rPr>
            </w:pPr>
            <w:r w:rsidRPr="006A4B70">
              <w:rPr>
                <w:rFonts w:ascii="Arial Narrow" w:eastAsia="Times New Roman" w:hAnsi="Arial Narrow" w:cs="Arial"/>
                <w:i/>
                <w:iCs/>
                <w:color w:val="555759"/>
                <w:szCs w:val="20"/>
              </w:rPr>
              <w:t xml:space="preserve">Year </w:t>
            </w:r>
            <w:r>
              <w:rPr>
                <w:rFonts w:ascii="Arial Narrow" w:eastAsia="Times New Roman" w:hAnsi="Arial Narrow" w:cs="Arial"/>
                <w:i/>
                <w:iCs/>
                <w:color w:val="555759"/>
                <w:szCs w:val="20"/>
              </w:rPr>
              <w:t>5</w:t>
            </w:r>
            <w:r w:rsidRPr="006A4B70">
              <w:rPr>
                <w:rFonts w:ascii="Arial Narrow" w:eastAsia="Times New Roman" w:hAnsi="Arial Narrow" w:cs="Arial"/>
                <w:i/>
                <w:iCs/>
                <w:color w:val="555759"/>
                <w:szCs w:val="20"/>
              </w:rPr>
              <w:t xml:space="preserve"> Standard Error</w:t>
            </w:r>
          </w:p>
        </w:tc>
        <w:tc>
          <w:tcPr>
            <w:tcW w:w="1282" w:type="dxa"/>
            <w:noWrap/>
            <w:vAlign w:val="bottom"/>
          </w:tcPr>
          <w:p w14:paraId="32D5DD49" w14:textId="51FF5E06" w:rsidR="00EA6150" w:rsidRPr="00EA6150" w:rsidRDefault="00EA6150" w:rsidP="00EA6150">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555759"/>
                <w:szCs w:val="20"/>
              </w:rPr>
            </w:pPr>
            <w:r w:rsidRPr="00EA6150">
              <w:rPr>
                <w:rFonts w:ascii="Arial Narrow" w:eastAsia="Times New Roman" w:hAnsi="Arial Narrow" w:cs="Arial"/>
                <w:iCs/>
                <w:color w:val="555759"/>
                <w:szCs w:val="20"/>
              </w:rPr>
              <w:t>1.17</w:t>
            </w:r>
          </w:p>
        </w:tc>
        <w:tc>
          <w:tcPr>
            <w:tcW w:w="1282" w:type="dxa"/>
            <w:noWrap/>
            <w:vAlign w:val="bottom"/>
          </w:tcPr>
          <w:p w14:paraId="51970F29" w14:textId="4CC6E3C5" w:rsidR="00EA6150" w:rsidRPr="00EA6150" w:rsidRDefault="00EA6150" w:rsidP="00EA6150">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555759"/>
                <w:szCs w:val="20"/>
              </w:rPr>
            </w:pPr>
            <w:r w:rsidRPr="00EA6150">
              <w:rPr>
                <w:rFonts w:ascii="Arial Narrow" w:eastAsia="Times New Roman" w:hAnsi="Arial Narrow" w:cs="Arial"/>
                <w:iCs/>
                <w:color w:val="555759"/>
                <w:szCs w:val="20"/>
              </w:rPr>
              <w:t>0.74</w:t>
            </w:r>
          </w:p>
        </w:tc>
        <w:tc>
          <w:tcPr>
            <w:tcW w:w="1214" w:type="dxa"/>
            <w:noWrap/>
            <w:vAlign w:val="bottom"/>
          </w:tcPr>
          <w:p w14:paraId="2B2D8956" w14:textId="051CE35F" w:rsidR="00EA6150" w:rsidRPr="00EA6150" w:rsidRDefault="00EA6150" w:rsidP="00EA6150">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555759"/>
                <w:szCs w:val="20"/>
              </w:rPr>
            </w:pPr>
            <w:r w:rsidRPr="00EA6150">
              <w:rPr>
                <w:rFonts w:ascii="Arial Narrow" w:eastAsia="Times New Roman" w:hAnsi="Arial Narrow" w:cs="Arial"/>
                <w:iCs/>
                <w:color w:val="555759"/>
                <w:szCs w:val="20"/>
              </w:rPr>
              <w:t>0.98</w:t>
            </w:r>
          </w:p>
        </w:tc>
        <w:tc>
          <w:tcPr>
            <w:tcW w:w="1543" w:type="dxa"/>
            <w:noWrap/>
            <w:vAlign w:val="bottom"/>
          </w:tcPr>
          <w:p w14:paraId="0CFA823C" w14:textId="404B6F14" w:rsidR="00EA6150" w:rsidRPr="00EA6150" w:rsidRDefault="00EA6150" w:rsidP="00EA6150">
            <w:pPr>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555759"/>
                <w:szCs w:val="20"/>
              </w:rPr>
            </w:pPr>
            <w:r w:rsidRPr="00EA6150">
              <w:rPr>
                <w:rFonts w:ascii="Arial Narrow" w:eastAsia="Times New Roman" w:hAnsi="Arial Narrow" w:cs="Arial"/>
                <w:iCs/>
                <w:color w:val="555759"/>
                <w:szCs w:val="20"/>
              </w:rPr>
              <w:t>-</w:t>
            </w:r>
          </w:p>
        </w:tc>
      </w:tr>
    </w:tbl>
    <w:p w14:paraId="7A4B80F8" w14:textId="73E7104C" w:rsidR="006A4B70" w:rsidRDefault="007925E4" w:rsidP="007925E4">
      <w:pPr>
        <w:pStyle w:val="Source"/>
      </w:pPr>
      <w:r>
        <w:t>Source: Navigant analysis</w:t>
      </w:r>
    </w:p>
    <w:p w14:paraId="2AB3DF1B" w14:textId="77777777" w:rsidR="007925E4" w:rsidRDefault="007925E4" w:rsidP="00675569"/>
    <w:p w14:paraId="72198385" w14:textId="068A4D2A" w:rsidR="00E51D6B" w:rsidRDefault="00E51D6B" w:rsidP="00675569">
      <w:pPr>
        <w:contextualSpacing w:val="0"/>
        <w:rPr>
          <w:rFonts w:ascii="Times New Roman" w:eastAsia="Times New Roman" w:hAnsi="Times New Roman" w:cs="Times New Roman"/>
          <w:sz w:val="24"/>
          <w:szCs w:val="24"/>
        </w:rPr>
      </w:pPr>
      <w:r>
        <w:fldChar w:fldCharType="begin"/>
      </w:r>
      <w:r>
        <w:instrText xml:space="preserve"> REF _Ref520379539 \h </w:instrText>
      </w:r>
      <w:r>
        <w:fldChar w:fldCharType="separate"/>
      </w:r>
      <w:r w:rsidR="006E4D05">
        <w:t xml:space="preserve">Table </w:t>
      </w:r>
      <w:r w:rsidR="006E4D05">
        <w:rPr>
          <w:noProof/>
        </w:rPr>
        <w:t>3</w:t>
      </w:r>
      <w:r w:rsidR="006E4D05">
        <w:noBreakHyphen/>
      </w:r>
      <w:r w:rsidR="006E4D05">
        <w:rPr>
          <w:noProof/>
        </w:rPr>
        <w:t>5</w:t>
      </w:r>
      <w:r>
        <w:fldChar w:fldCharType="end"/>
      </w:r>
      <w:r>
        <w:t xml:space="preserve"> summarizes wave results for the </w:t>
      </w:r>
      <w:r w:rsidR="00F54592">
        <w:t>fifth</w:t>
      </w:r>
      <w:r>
        <w:t xml:space="preserve"> year after report termination. Res</w:t>
      </w:r>
      <w:bookmarkStart w:id="23" w:name="x"/>
      <w:bookmarkEnd w:id="23"/>
      <w:r>
        <w:t xml:space="preserve">ults are separated by CR and TR customers to identify the number of participants and savings related to each group. Because the </w:t>
      </w:r>
      <w:r>
        <w:lastRenderedPageBreak/>
        <w:t>analysis period does not match up with a typical ComEd program year, this study did not estimate legacy uplift savings.</w:t>
      </w:r>
      <w:r>
        <w:rPr>
          <w:rStyle w:val="FootnoteReference"/>
        </w:rPr>
        <w:footnoteReference w:id="11"/>
      </w:r>
      <w:r>
        <w:rPr>
          <w:rFonts w:ascii="Times New Roman" w:eastAsia="Times New Roman" w:hAnsi="Times New Roman" w:cs="Times New Roman"/>
          <w:sz w:val="24"/>
          <w:szCs w:val="24"/>
        </w:rPr>
        <w:t xml:space="preserve"> </w:t>
      </w:r>
    </w:p>
    <w:p w14:paraId="4BE0B432" w14:textId="77777777" w:rsidR="00641CE5" w:rsidRDefault="00641CE5" w:rsidP="00675569">
      <w:pPr>
        <w:contextualSpacing w:val="0"/>
      </w:pPr>
    </w:p>
    <w:p w14:paraId="3879C75A" w14:textId="629746DD" w:rsidR="007A2B02" w:rsidRDefault="00E51D6B" w:rsidP="007925E4">
      <w:pPr>
        <w:pStyle w:val="Caption"/>
        <w:keepLines/>
      </w:pPr>
      <w:bookmarkStart w:id="24" w:name="_Ref520379539"/>
      <w:bookmarkStart w:id="25" w:name="_Toc525646506"/>
      <w:r>
        <w:t xml:space="preserve">Table </w:t>
      </w:r>
      <w:fldSimple w:instr=" STYLEREF 1 \s ">
        <w:r w:rsidR="006E4D05">
          <w:rPr>
            <w:noProof/>
          </w:rPr>
          <w:t>3</w:t>
        </w:r>
      </w:fldSimple>
      <w:r w:rsidR="006B1101">
        <w:noBreakHyphen/>
      </w:r>
      <w:fldSimple w:instr=" SEQ Table \* ARABIC \s 1 ">
        <w:r w:rsidR="006E4D05">
          <w:rPr>
            <w:noProof/>
          </w:rPr>
          <w:t>5</w:t>
        </w:r>
      </w:fldSimple>
      <w:bookmarkEnd w:id="24"/>
      <w:r>
        <w:t>. HER Total Savings from November 201</w:t>
      </w:r>
      <w:r w:rsidR="00F54592">
        <w:t>7</w:t>
      </w:r>
      <w:r>
        <w:t xml:space="preserve"> - October 201</w:t>
      </w:r>
      <w:bookmarkEnd w:id="25"/>
      <w:r w:rsidR="00F54592">
        <w:t>8</w:t>
      </w:r>
    </w:p>
    <w:tbl>
      <w:tblPr>
        <w:tblStyle w:val="EnergyTable"/>
        <w:tblW w:w="9360" w:type="dxa"/>
        <w:tblLook w:val="04A0" w:firstRow="1" w:lastRow="0" w:firstColumn="1" w:lastColumn="0" w:noHBand="0" w:noVBand="1"/>
      </w:tblPr>
      <w:tblGrid>
        <w:gridCol w:w="4159"/>
        <w:gridCol w:w="978"/>
        <w:gridCol w:w="845"/>
        <w:gridCol w:w="844"/>
        <w:gridCol w:w="845"/>
        <w:gridCol w:w="844"/>
        <w:gridCol w:w="845"/>
      </w:tblGrid>
      <w:tr w:rsidR="00E51D6B" w:rsidRPr="00E51D6B" w14:paraId="6A732653" w14:textId="77777777" w:rsidTr="00414D82">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159" w:type="dxa"/>
            <w:noWrap/>
            <w:hideMark/>
          </w:tcPr>
          <w:p w14:paraId="53592831" w14:textId="77777777" w:rsidR="00E51D6B" w:rsidRPr="00E51D6B" w:rsidRDefault="00E51D6B" w:rsidP="003206D7">
            <w:pPr>
              <w:keepNext/>
              <w:keepLines/>
              <w:contextualSpacing w:val="0"/>
              <w:jc w:val="left"/>
              <w:rPr>
                <w:rFonts w:ascii="Arial Narrow" w:eastAsia="Times New Roman" w:hAnsi="Arial Narrow" w:cs="Arial"/>
                <w:bCs/>
                <w:color w:val="FFFFFF"/>
                <w:szCs w:val="20"/>
              </w:rPr>
            </w:pPr>
            <w:r w:rsidRPr="00E51D6B">
              <w:rPr>
                <w:rFonts w:ascii="Arial Narrow" w:eastAsia="Times New Roman" w:hAnsi="Arial Narrow" w:cs="Arial"/>
                <w:bCs/>
                <w:color w:val="FFFFFF"/>
                <w:szCs w:val="20"/>
              </w:rPr>
              <w:t>Savings Category</w:t>
            </w:r>
          </w:p>
        </w:tc>
        <w:tc>
          <w:tcPr>
            <w:tcW w:w="978" w:type="dxa"/>
            <w:noWrap/>
            <w:hideMark/>
          </w:tcPr>
          <w:p w14:paraId="1E67B838" w14:textId="77777777" w:rsidR="00E51D6B" w:rsidRPr="00E51D6B" w:rsidRDefault="00E51D6B" w:rsidP="003206D7">
            <w:pPr>
              <w:keepNext/>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E51D6B">
              <w:rPr>
                <w:rFonts w:ascii="Arial Narrow" w:eastAsia="Times New Roman" w:hAnsi="Arial Narrow" w:cs="Arial"/>
                <w:bCs/>
                <w:color w:val="FFFFFF"/>
                <w:szCs w:val="20"/>
              </w:rPr>
              <w:t>Wave 1 CR</w:t>
            </w:r>
          </w:p>
        </w:tc>
        <w:tc>
          <w:tcPr>
            <w:tcW w:w="845" w:type="dxa"/>
            <w:noWrap/>
            <w:hideMark/>
          </w:tcPr>
          <w:p w14:paraId="0C12FCB6" w14:textId="77777777" w:rsidR="00E51D6B" w:rsidRPr="00E51D6B" w:rsidRDefault="00E51D6B" w:rsidP="003206D7">
            <w:pPr>
              <w:keepNext/>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E51D6B">
              <w:rPr>
                <w:rFonts w:ascii="Arial Narrow" w:eastAsia="Times New Roman" w:hAnsi="Arial Narrow" w:cs="Arial"/>
                <w:bCs/>
                <w:color w:val="FFFFFF"/>
                <w:szCs w:val="20"/>
              </w:rPr>
              <w:t>Wave 1 TR</w:t>
            </w:r>
          </w:p>
        </w:tc>
        <w:tc>
          <w:tcPr>
            <w:tcW w:w="844" w:type="dxa"/>
            <w:noWrap/>
            <w:hideMark/>
          </w:tcPr>
          <w:p w14:paraId="4F7586B7" w14:textId="77777777" w:rsidR="00E51D6B" w:rsidRPr="00E51D6B" w:rsidRDefault="00E51D6B" w:rsidP="003206D7">
            <w:pPr>
              <w:keepNext/>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E51D6B">
              <w:rPr>
                <w:rFonts w:ascii="Arial Narrow" w:eastAsia="Times New Roman" w:hAnsi="Arial Narrow" w:cs="Arial"/>
                <w:bCs/>
                <w:color w:val="FFFFFF"/>
                <w:szCs w:val="20"/>
              </w:rPr>
              <w:t>Wave 3 CR</w:t>
            </w:r>
          </w:p>
        </w:tc>
        <w:tc>
          <w:tcPr>
            <w:tcW w:w="845" w:type="dxa"/>
            <w:noWrap/>
            <w:hideMark/>
          </w:tcPr>
          <w:p w14:paraId="6ABE07F3" w14:textId="77777777" w:rsidR="00E51D6B" w:rsidRPr="00E51D6B" w:rsidRDefault="00E51D6B" w:rsidP="003206D7">
            <w:pPr>
              <w:keepNext/>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E51D6B">
              <w:rPr>
                <w:rFonts w:ascii="Arial Narrow" w:eastAsia="Times New Roman" w:hAnsi="Arial Narrow" w:cs="Arial"/>
                <w:bCs/>
                <w:color w:val="FFFFFF"/>
                <w:szCs w:val="20"/>
              </w:rPr>
              <w:t>Wave 3 TR</w:t>
            </w:r>
          </w:p>
        </w:tc>
        <w:tc>
          <w:tcPr>
            <w:tcW w:w="844" w:type="dxa"/>
            <w:noWrap/>
            <w:hideMark/>
          </w:tcPr>
          <w:p w14:paraId="1743DD95" w14:textId="77777777" w:rsidR="00E51D6B" w:rsidRPr="00E51D6B" w:rsidRDefault="00E51D6B" w:rsidP="003206D7">
            <w:pPr>
              <w:keepNext/>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E51D6B">
              <w:rPr>
                <w:rFonts w:ascii="Arial Narrow" w:eastAsia="Times New Roman" w:hAnsi="Arial Narrow" w:cs="Arial"/>
                <w:bCs/>
                <w:color w:val="FFFFFF"/>
                <w:szCs w:val="20"/>
              </w:rPr>
              <w:t>Wave 5 CR</w:t>
            </w:r>
          </w:p>
        </w:tc>
        <w:tc>
          <w:tcPr>
            <w:tcW w:w="845" w:type="dxa"/>
            <w:noWrap/>
            <w:hideMark/>
          </w:tcPr>
          <w:p w14:paraId="21984A9D" w14:textId="77777777" w:rsidR="00E51D6B" w:rsidRPr="00E51D6B" w:rsidRDefault="00E51D6B" w:rsidP="003206D7">
            <w:pPr>
              <w:keepNext/>
              <w:keepLines/>
              <w:contextualSpacing w:val="0"/>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color w:val="FFFFFF"/>
                <w:szCs w:val="20"/>
              </w:rPr>
            </w:pPr>
            <w:r w:rsidRPr="00E51D6B">
              <w:rPr>
                <w:rFonts w:ascii="Arial Narrow" w:eastAsia="Times New Roman" w:hAnsi="Arial Narrow" w:cs="Arial"/>
                <w:bCs/>
                <w:color w:val="FFFFFF"/>
                <w:szCs w:val="20"/>
              </w:rPr>
              <w:t>Wave 5 TR</w:t>
            </w:r>
          </w:p>
        </w:tc>
      </w:tr>
      <w:tr w:rsidR="00E51D6B" w:rsidRPr="00E51D6B" w14:paraId="3E92D254" w14:textId="77777777" w:rsidTr="00414D8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5E922E52" w14:textId="77777777" w:rsidR="00E51D6B" w:rsidRPr="00E51D6B" w:rsidRDefault="00E51D6B" w:rsidP="003206D7">
            <w:pPr>
              <w:keepNext/>
              <w:keepLines/>
              <w:contextualSpacing w:val="0"/>
              <w:jc w:val="left"/>
              <w:rPr>
                <w:rFonts w:ascii="Arial Narrow" w:eastAsia="Times New Roman" w:hAnsi="Arial Narrow" w:cs="Arial"/>
                <w:szCs w:val="20"/>
              </w:rPr>
            </w:pPr>
            <w:r w:rsidRPr="00E51D6B">
              <w:rPr>
                <w:rFonts w:ascii="Arial Narrow" w:eastAsia="Times New Roman" w:hAnsi="Arial Narrow" w:cs="Arial"/>
                <w:szCs w:val="20"/>
              </w:rPr>
              <w:t>Number of Participants</w:t>
            </w:r>
          </w:p>
        </w:tc>
        <w:tc>
          <w:tcPr>
            <w:tcW w:w="978" w:type="dxa"/>
            <w:noWrap/>
            <w:hideMark/>
          </w:tcPr>
          <w:p w14:paraId="2907D668" w14:textId="77777777" w:rsidR="00E51D6B" w:rsidRPr="00E51D6B" w:rsidRDefault="00E51D6B" w:rsidP="003206D7">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51D6B">
              <w:rPr>
                <w:rFonts w:ascii="Arial Narrow" w:eastAsia="Times New Roman" w:hAnsi="Arial Narrow" w:cs="Arial"/>
                <w:szCs w:val="20"/>
              </w:rPr>
              <w:t xml:space="preserve">19,304 </w:t>
            </w:r>
          </w:p>
        </w:tc>
        <w:tc>
          <w:tcPr>
            <w:tcW w:w="845" w:type="dxa"/>
            <w:noWrap/>
            <w:hideMark/>
          </w:tcPr>
          <w:p w14:paraId="2CB92CB9" w14:textId="77777777" w:rsidR="00E51D6B" w:rsidRPr="00E51D6B" w:rsidRDefault="00E51D6B" w:rsidP="003206D7">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51D6B">
              <w:rPr>
                <w:rFonts w:ascii="Arial Narrow" w:eastAsia="Times New Roman" w:hAnsi="Arial Narrow" w:cs="Arial"/>
                <w:szCs w:val="20"/>
              </w:rPr>
              <w:t xml:space="preserve">5,934 </w:t>
            </w:r>
          </w:p>
        </w:tc>
        <w:tc>
          <w:tcPr>
            <w:tcW w:w="844" w:type="dxa"/>
            <w:noWrap/>
            <w:hideMark/>
          </w:tcPr>
          <w:p w14:paraId="56F57FFC" w14:textId="77777777" w:rsidR="00E51D6B" w:rsidRPr="00E51D6B" w:rsidRDefault="00E51D6B" w:rsidP="003206D7">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51D6B">
              <w:rPr>
                <w:rFonts w:ascii="Arial Narrow" w:eastAsia="Times New Roman" w:hAnsi="Arial Narrow" w:cs="Arial"/>
                <w:szCs w:val="20"/>
              </w:rPr>
              <w:t xml:space="preserve">130,545 </w:t>
            </w:r>
          </w:p>
        </w:tc>
        <w:tc>
          <w:tcPr>
            <w:tcW w:w="845" w:type="dxa"/>
            <w:noWrap/>
            <w:hideMark/>
          </w:tcPr>
          <w:p w14:paraId="233BCB07" w14:textId="77777777" w:rsidR="00E51D6B" w:rsidRPr="00E51D6B" w:rsidRDefault="00E51D6B" w:rsidP="003206D7">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51D6B">
              <w:rPr>
                <w:rFonts w:ascii="Arial Narrow" w:eastAsia="Times New Roman" w:hAnsi="Arial Narrow" w:cs="Arial"/>
                <w:szCs w:val="20"/>
              </w:rPr>
              <w:t xml:space="preserve">7,092 </w:t>
            </w:r>
          </w:p>
        </w:tc>
        <w:tc>
          <w:tcPr>
            <w:tcW w:w="844" w:type="dxa"/>
            <w:noWrap/>
            <w:hideMark/>
          </w:tcPr>
          <w:p w14:paraId="47E89546" w14:textId="77777777" w:rsidR="00E51D6B" w:rsidRPr="00E51D6B" w:rsidRDefault="00E51D6B" w:rsidP="003206D7">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51D6B">
              <w:rPr>
                <w:rFonts w:ascii="Arial Narrow" w:eastAsia="Times New Roman" w:hAnsi="Arial Narrow" w:cs="Arial"/>
                <w:szCs w:val="20"/>
              </w:rPr>
              <w:t xml:space="preserve">5,100 </w:t>
            </w:r>
          </w:p>
        </w:tc>
        <w:tc>
          <w:tcPr>
            <w:tcW w:w="845" w:type="dxa"/>
            <w:noWrap/>
            <w:hideMark/>
          </w:tcPr>
          <w:p w14:paraId="40B36E14" w14:textId="77777777" w:rsidR="00E51D6B" w:rsidRPr="00E51D6B" w:rsidRDefault="00E51D6B" w:rsidP="003206D7">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51D6B">
              <w:rPr>
                <w:rFonts w:ascii="Arial Narrow" w:eastAsia="Times New Roman" w:hAnsi="Arial Narrow" w:cs="Arial"/>
                <w:szCs w:val="20"/>
              </w:rPr>
              <w:t xml:space="preserve">5,060 </w:t>
            </w:r>
          </w:p>
        </w:tc>
      </w:tr>
      <w:tr w:rsidR="00EA6150" w:rsidRPr="00E51D6B" w14:paraId="0ABC3D15" w14:textId="77777777" w:rsidTr="00414D82">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219BAAEC" w14:textId="77777777" w:rsidR="00EA6150" w:rsidRPr="00E51D6B" w:rsidRDefault="00EA6150" w:rsidP="00EA6150">
            <w:pPr>
              <w:keepNext/>
              <w:keepLines/>
              <w:contextualSpacing w:val="0"/>
              <w:jc w:val="left"/>
              <w:rPr>
                <w:rFonts w:ascii="Arial Narrow" w:eastAsia="Times New Roman" w:hAnsi="Arial Narrow" w:cs="Arial"/>
                <w:szCs w:val="20"/>
              </w:rPr>
            </w:pPr>
            <w:r w:rsidRPr="00E51D6B">
              <w:rPr>
                <w:rFonts w:ascii="Arial Narrow" w:eastAsia="Times New Roman" w:hAnsi="Arial Narrow" w:cs="Arial"/>
                <w:szCs w:val="20"/>
              </w:rPr>
              <w:t>Sample Size - Treatment</w:t>
            </w:r>
          </w:p>
        </w:tc>
        <w:tc>
          <w:tcPr>
            <w:tcW w:w="978" w:type="dxa"/>
            <w:noWrap/>
            <w:hideMark/>
          </w:tcPr>
          <w:p w14:paraId="6BF8E15F" w14:textId="4DEE20CA" w:rsidR="00EA6150" w:rsidRPr="00E51D6B" w:rsidRDefault="00EA6150" w:rsidP="00414D82">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18,262 </w:t>
            </w:r>
          </w:p>
        </w:tc>
        <w:tc>
          <w:tcPr>
            <w:tcW w:w="845" w:type="dxa"/>
            <w:noWrap/>
            <w:hideMark/>
          </w:tcPr>
          <w:p w14:paraId="45EAD7D9" w14:textId="3C7D9464" w:rsidR="00EA6150" w:rsidRPr="00E51D6B" w:rsidRDefault="00EA6150" w:rsidP="00414D82">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 5,625 </w:t>
            </w:r>
          </w:p>
        </w:tc>
        <w:tc>
          <w:tcPr>
            <w:tcW w:w="844" w:type="dxa"/>
            <w:noWrap/>
            <w:hideMark/>
          </w:tcPr>
          <w:p w14:paraId="5D676DAE" w14:textId="4E23A311" w:rsidR="00EA6150" w:rsidRPr="00E51D6B" w:rsidRDefault="00EA6150" w:rsidP="00414D82">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123,723 </w:t>
            </w:r>
          </w:p>
        </w:tc>
        <w:tc>
          <w:tcPr>
            <w:tcW w:w="845" w:type="dxa"/>
            <w:noWrap/>
            <w:hideMark/>
          </w:tcPr>
          <w:p w14:paraId="63E7A1D9" w14:textId="1BF2A6AF" w:rsidR="00EA6150" w:rsidRPr="00E51D6B" w:rsidRDefault="00EA6150" w:rsidP="00414D82">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 6,717 </w:t>
            </w:r>
          </w:p>
        </w:tc>
        <w:tc>
          <w:tcPr>
            <w:tcW w:w="844" w:type="dxa"/>
            <w:noWrap/>
            <w:hideMark/>
          </w:tcPr>
          <w:p w14:paraId="4838E26A" w14:textId="2FA9D0F0" w:rsidR="00EA6150" w:rsidRPr="00E51D6B" w:rsidRDefault="00EA6150" w:rsidP="00414D82">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 4,633 </w:t>
            </w:r>
          </w:p>
        </w:tc>
        <w:tc>
          <w:tcPr>
            <w:tcW w:w="845" w:type="dxa"/>
            <w:noWrap/>
            <w:hideMark/>
          </w:tcPr>
          <w:p w14:paraId="4952DB84" w14:textId="35667EB5" w:rsidR="00EA6150" w:rsidRPr="00E51D6B" w:rsidRDefault="00EA6150" w:rsidP="00414D82">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 4,638 </w:t>
            </w:r>
          </w:p>
        </w:tc>
      </w:tr>
      <w:tr w:rsidR="00E51D6B" w:rsidRPr="00E51D6B" w14:paraId="062D7B7D" w14:textId="77777777" w:rsidTr="00414D8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72801835" w14:textId="77777777" w:rsidR="00E51D6B" w:rsidRPr="00E51D6B" w:rsidRDefault="00E51D6B" w:rsidP="003206D7">
            <w:pPr>
              <w:keepNext/>
              <w:keepLines/>
              <w:contextualSpacing w:val="0"/>
              <w:jc w:val="left"/>
              <w:rPr>
                <w:rFonts w:ascii="Arial Narrow" w:eastAsia="Times New Roman" w:hAnsi="Arial Narrow" w:cs="Arial"/>
                <w:szCs w:val="20"/>
              </w:rPr>
            </w:pPr>
            <w:r w:rsidRPr="00E51D6B">
              <w:rPr>
                <w:rFonts w:ascii="Arial Narrow" w:eastAsia="Times New Roman" w:hAnsi="Arial Narrow" w:cs="Arial"/>
                <w:szCs w:val="20"/>
              </w:rPr>
              <w:t>Sample Size - Control</w:t>
            </w:r>
          </w:p>
        </w:tc>
        <w:tc>
          <w:tcPr>
            <w:tcW w:w="1823" w:type="dxa"/>
            <w:gridSpan w:val="2"/>
            <w:noWrap/>
            <w:hideMark/>
          </w:tcPr>
          <w:p w14:paraId="372D9155" w14:textId="564E8C05" w:rsidR="00E51D6B" w:rsidRPr="00EA6150" w:rsidRDefault="00EA6150" w:rsidP="00EA6150">
            <w:pPr>
              <w:keepNext/>
              <w:keepLines/>
              <w:contextualSpacing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EA6150">
              <w:rPr>
                <w:rFonts w:ascii="Arial Narrow" w:eastAsia="Times New Roman" w:hAnsi="Arial Narrow" w:cs="Arial"/>
                <w:szCs w:val="20"/>
              </w:rPr>
              <w:t>27,807</w:t>
            </w:r>
          </w:p>
        </w:tc>
        <w:tc>
          <w:tcPr>
            <w:tcW w:w="1689" w:type="dxa"/>
            <w:gridSpan w:val="2"/>
            <w:noWrap/>
            <w:hideMark/>
          </w:tcPr>
          <w:p w14:paraId="6A2D28E4" w14:textId="1E5E6E8A" w:rsidR="00E51D6B" w:rsidRPr="00EA6150" w:rsidRDefault="00EA6150" w:rsidP="00EA6150">
            <w:pPr>
              <w:keepNext/>
              <w:keepLines/>
              <w:contextualSpacing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33,959 </w:t>
            </w:r>
          </w:p>
        </w:tc>
        <w:tc>
          <w:tcPr>
            <w:tcW w:w="1689" w:type="dxa"/>
            <w:gridSpan w:val="2"/>
            <w:noWrap/>
            <w:hideMark/>
          </w:tcPr>
          <w:p w14:paraId="6186A9D0" w14:textId="27C36BFE" w:rsidR="00E51D6B" w:rsidRPr="00EA6150" w:rsidRDefault="00EA6150" w:rsidP="00EA6150">
            <w:pPr>
              <w:keepNext/>
              <w:keepLines/>
              <w:contextualSpacing w:val="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6,036</w:t>
            </w:r>
          </w:p>
        </w:tc>
      </w:tr>
      <w:tr w:rsidR="00EA6150" w:rsidRPr="00E51D6B" w14:paraId="4DA50D52" w14:textId="77777777" w:rsidTr="00414D82">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19E7259B" w14:textId="77777777" w:rsidR="00EA6150" w:rsidRPr="00E51D6B" w:rsidRDefault="00EA6150" w:rsidP="00EA6150">
            <w:pPr>
              <w:keepNext/>
              <w:keepLines/>
              <w:contextualSpacing w:val="0"/>
              <w:jc w:val="left"/>
              <w:rPr>
                <w:rFonts w:ascii="Arial Narrow" w:eastAsia="Times New Roman" w:hAnsi="Arial Narrow" w:cs="Arial"/>
                <w:szCs w:val="20"/>
              </w:rPr>
            </w:pPr>
            <w:r w:rsidRPr="00E51D6B">
              <w:rPr>
                <w:rFonts w:ascii="Arial Narrow" w:eastAsia="Times New Roman" w:hAnsi="Arial Narrow" w:cs="Arial"/>
                <w:szCs w:val="20"/>
              </w:rPr>
              <w:t>Percentage Savings</w:t>
            </w:r>
          </w:p>
        </w:tc>
        <w:tc>
          <w:tcPr>
            <w:tcW w:w="978" w:type="dxa"/>
            <w:noWrap/>
            <w:vAlign w:val="bottom"/>
            <w:hideMark/>
          </w:tcPr>
          <w:p w14:paraId="539A71D1" w14:textId="05FFDF42" w:rsidR="00EA6150" w:rsidRPr="00E51D6B" w:rsidRDefault="00EA6150" w:rsidP="00EA615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2.55%</w:t>
            </w:r>
          </w:p>
        </w:tc>
        <w:tc>
          <w:tcPr>
            <w:tcW w:w="845" w:type="dxa"/>
            <w:noWrap/>
            <w:vAlign w:val="bottom"/>
            <w:hideMark/>
          </w:tcPr>
          <w:p w14:paraId="670D35D7" w14:textId="4AA52D0E" w:rsidR="00EA6150" w:rsidRPr="00E51D6B" w:rsidRDefault="00EA6150" w:rsidP="00EA615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2.20%</w:t>
            </w:r>
          </w:p>
        </w:tc>
        <w:tc>
          <w:tcPr>
            <w:tcW w:w="844" w:type="dxa"/>
            <w:noWrap/>
            <w:vAlign w:val="bottom"/>
            <w:hideMark/>
          </w:tcPr>
          <w:p w14:paraId="00D76DEC" w14:textId="48795483" w:rsidR="00EA6150" w:rsidRPr="00E51D6B" w:rsidRDefault="00EA6150" w:rsidP="00EA615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2.40%</w:t>
            </w:r>
          </w:p>
        </w:tc>
        <w:tc>
          <w:tcPr>
            <w:tcW w:w="845" w:type="dxa"/>
            <w:noWrap/>
            <w:vAlign w:val="bottom"/>
            <w:hideMark/>
          </w:tcPr>
          <w:p w14:paraId="63A0B107" w14:textId="6D257FA2" w:rsidR="00EA6150" w:rsidRPr="00E51D6B" w:rsidRDefault="00EA6150" w:rsidP="00EA615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1.65%</w:t>
            </w:r>
          </w:p>
        </w:tc>
        <w:tc>
          <w:tcPr>
            <w:tcW w:w="844" w:type="dxa"/>
            <w:noWrap/>
            <w:vAlign w:val="bottom"/>
            <w:hideMark/>
          </w:tcPr>
          <w:p w14:paraId="26B43F86" w14:textId="1F32910C" w:rsidR="00EA6150" w:rsidRPr="00E51D6B" w:rsidRDefault="00EA6150" w:rsidP="00EA615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1.95%</w:t>
            </w:r>
          </w:p>
        </w:tc>
        <w:tc>
          <w:tcPr>
            <w:tcW w:w="845" w:type="dxa"/>
            <w:noWrap/>
            <w:vAlign w:val="bottom"/>
            <w:hideMark/>
          </w:tcPr>
          <w:p w14:paraId="6BF5BEC9" w14:textId="1A78EEFE" w:rsidR="00EA6150" w:rsidRPr="00E51D6B" w:rsidRDefault="00EA6150" w:rsidP="00EA615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0.68%</w:t>
            </w:r>
          </w:p>
        </w:tc>
      </w:tr>
      <w:tr w:rsidR="00EA6150" w:rsidRPr="00E51D6B" w14:paraId="165DEBC4" w14:textId="77777777" w:rsidTr="00414D8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4FFCD6A2" w14:textId="77777777" w:rsidR="00EA6150" w:rsidRPr="00E51D6B" w:rsidRDefault="00EA6150" w:rsidP="00EA6150">
            <w:pPr>
              <w:keepNext/>
              <w:keepLines/>
              <w:contextualSpacing w:val="0"/>
              <w:jc w:val="left"/>
              <w:rPr>
                <w:rFonts w:ascii="Arial Narrow" w:eastAsia="Times New Roman" w:hAnsi="Arial Narrow" w:cs="Arial"/>
                <w:i/>
                <w:iCs/>
                <w:color w:val="555759"/>
                <w:szCs w:val="20"/>
              </w:rPr>
            </w:pPr>
            <w:r w:rsidRPr="00E51D6B">
              <w:rPr>
                <w:rFonts w:ascii="Arial Narrow" w:eastAsia="Times New Roman" w:hAnsi="Arial Narrow" w:cs="Arial"/>
                <w:i/>
                <w:iCs/>
                <w:color w:val="555759"/>
                <w:szCs w:val="20"/>
              </w:rPr>
              <w:t>Standard Error</w:t>
            </w:r>
          </w:p>
        </w:tc>
        <w:tc>
          <w:tcPr>
            <w:tcW w:w="978" w:type="dxa"/>
            <w:noWrap/>
            <w:vAlign w:val="bottom"/>
            <w:hideMark/>
          </w:tcPr>
          <w:p w14:paraId="31C2E882" w14:textId="6A2FAC18" w:rsidR="00EA6150" w:rsidRPr="00B54162" w:rsidRDefault="00EA6150" w:rsidP="00EA615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EA6150">
              <w:rPr>
                <w:rFonts w:ascii="Arial Narrow" w:eastAsia="Times New Roman" w:hAnsi="Arial Narrow" w:cs="Arial"/>
                <w:i/>
                <w:color w:val="595959" w:themeColor="text1" w:themeTint="A6"/>
                <w:szCs w:val="20"/>
              </w:rPr>
              <w:t>0.31%</w:t>
            </w:r>
          </w:p>
        </w:tc>
        <w:tc>
          <w:tcPr>
            <w:tcW w:w="845" w:type="dxa"/>
            <w:noWrap/>
            <w:vAlign w:val="bottom"/>
            <w:hideMark/>
          </w:tcPr>
          <w:p w14:paraId="1D5E8D09" w14:textId="48FE3844" w:rsidR="00EA6150" w:rsidRPr="00B54162" w:rsidRDefault="00EA6150" w:rsidP="00EA615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EA6150">
              <w:rPr>
                <w:rFonts w:ascii="Arial Narrow" w:eastAsia="Times New Roman" w:hAnsi="Arial Narrow" w:cs="Arial"/>
                <w:i/>
                <w:color w:val="595959" w:themeColor="text1" w:themeTint="A6"/>
                <w:szCs w:val="20"/>
              </w:rPr>
              <w:t>0.49%</w:t>
            </w:r>
          </w:p>
        </w:tc>
        <w:tc>
          <w:tcPr>
            <w:tcW w:w="844" w:type="dxa"/>
            <w:noWrap/>
            <w:vAlign w:val="bottom"/>
            <w:hideMark/>
          </w:tcPr>
          <w:p w14:paraId="4F554286" w14:textId="22A6BA6C" w:rsidR="00EA6150" w:rsidRPr="00B54162" w:rsidRDefault="00EA6150" w:rsidP="00EA615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EA6150">
              <w:rPr>
                <w:rFonts w:ascii="Arial Narrow" w:eastAsia="Times New Roman" w:hAnsi="Arial Narrow" w:cs="Arial"/>
                <w:i/>
                <w:color w:val="595959" w:themeColor="text1" w:themeTint="A6"/>
                <w:szCs w:val="20"/>
              </w:rPr>
              <w:t>0.19%</w:t>
            </w:r>
          </w:p>
        </w:tc>
        <w:tc>
          <w:tcPr>
            <w:tcW w:w="845" w:type="dxa"/>
            <w:noWrap/>
            <w:vAlign w:val="bottom"/>
            <w:hideMark/>
          </w:tcPr>
          <w:p w14:paraId="14E5E79F" w14:textId="54FE2727" w:rsidR="00EA6150" w:rsidRPr="00B54162" w:rsidRDefault="00EA6150" w:rsidP="00EA615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EA6150">
              <w:rPr>
                <w:rFonts w:ascii="Arial Narrow" w:eastAsia="Times New Roman" w:hAnsi="Arial Narrow" w:cs="Arial"/>
                <w:i/>
                <w:color w:val="595959" w:themeColor="text1" w:themeTint="A6"/>
                <w:szCs w:val="20"/>
              </w:rPr>
              <w:t>0.41%</w:t>
            </w:r>
          </w:p>
        </w:tc>
        <w:tc>
          <w:tcPr>
            <w:tcW w:w="844" w:type="dxa"/>
            <w:noWrap/>
            <w:vAlign w:val="bottom"/>
            <w:hideMark/>
          </w:tcPr>
          <w:p w14:paraId="52F3898A" w14:textId="3028158D" w:rsidR="00EA6150" w:rsidRPr="00B54162" w:rsidRDefault="00EA6150" w:rsidP="00EA615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EA6150">
              <w:rPr>
                <w:rFonts w:ascii="Arial Narrow" w:eastAsia="Times New Roman" w:hAnsi="Arial Narrow" w:cs="Arial"/>
                <w:i/>
                <w:color w:val="595959" w:themeColor="text1" w:themeTint="A6"/>
                <w:szCs w:val="20"/>
              </w:rPr>
              <w:t>0.68%</w:t>
            </w:r>
          </w:p>
        </w:tc>
        <w:tc>
          <w:tcPr>
            <w:tcW w:w="845" w:type="dxa"/>
            <w:noWrap/>
            <w:vAlign w:val="bottom"/>
            <w:hideMark/>
          </w:tcPr>
          <w:p w14:paraId="63F0579C" w14:textId="149458A0" w:rsidR="00EA6150" w:rsidRPr="00B54162" w:rsidRDefault="00EA6150" w:rsidP="00EA615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EA6150">
              <w:rPr>
                <w:rFonts w:ascii="Arial Narrow" w:eastAsia="Times New Roman" w:hAnsi="Arial Narrow" w:cs="Arial"/>
                <w:i/>
                <w:color w:val="595959" w:themeColor="text1" w:themeTint="A6"/>
                <w:szCs w:val="20"/>
              </w:rPr>
              <w:t>0.67%</w:t>
            </w:r>
          </w:p>
        </w:tc>
      </w:tr>
      <w:tr w:rsidR="00C058D0" w:rsidRPr="00E51D6B" w14:paraId="0D270523" w14:textId="77777777" w:rsidTr="00414D82">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2C2A8DDA" w14:textId="1FAD71E0" w:rsidR="00C058D0" w:rsidRPr="00E51D6B" w:rsidRDefault="00C058D0" w:rsidP="00C058D0">
            <w:pPr>
              <w:keepNext/>
              <w:keepLines/>
              <w:contextualSpacing w:val="0"/>
              <w:jc w:val="left"/>
              <w:rPr>
                <w:rFonts w:ascii="Arial Narrow" w:eastAsia="Times New Roman" w:hAnsi="Arial Narrow" w:cs="Arial"/>
                <w:szCs w:val="20"/>
              </w:rPr>
            </w:pPr>
            <w:r w:rsidRPr="00E51D6B">
              <w:rPr>
                <w:rFonts w:ascii="Arial Narrow" w:eastAsia="Times New Roman" w:hAnsi="Arial Narrow" w:cs="Arial"/>
                <w:szCs w:val="20"/>
              </w:rPr>
              <w:t>Verified Net Savings, Prior to Uplift Adjustment, MWh</w:t>
            </w:r>
            <w:r>
              <w:rPr>
                <w:rFonts w:ascii="Arial Narrow" w:hAnsi="Arial Narrow"/>
                <w:color w:val="000000"/>
                <w:szCs w:val="20"/>
              </w:rPr>
              <w:t>*</w:t>
            </w:r>
          </w:p>
        </w:tc>
        <w:tc>
          <w:tcPr>
            <w:tcW w:w="978" w:type="dxa"/>
            <w:noWrap/>
            <w:vAlign w:val="bottom"/>
            <w:hideMark/>
          </w:tcPr>
          <w:p w14:paraId="7790C141" w14:textId="65D0538A"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6,448</w:t>
            </w:r>
          </w:p>
        </w:tc>
        <w:tc>
          <w:tcPr>
            <w:tcW w:w="845" w:type="dxa"/>
            <w:noWrap/>
            <w:vAlign w:val="bottom"/>
            <w:hideMark/>
          </w:tcPr>
          <w:p w14:paraId="0752CB62" w14:textId="40BCE87C"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 xml:space="preserve">1,708 </w:t>
            </w:r>
          </w:p>
        </w:tc>
        <w:tc>
          <w:tcPr>
            <w:tcW w:w="844" w:type="dxa"/>
            <w:noWrap/>
            <w:vAlign w:val="bottom"/>
            <w:hideMark/>
          </w:tcPr>
          <w:p w14:paraId="0E513051" w14:textId="0421B2DF"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51,77</w:t>
            </w:r>
            <w:r>
              <w:rPr>
                <w:rFonts w:ascii="Arial Narrow" w:eastAsia="Times New Roman" w:hAnsi="Arial Narrow" w:cs="Arial"/>
                <w:szCs w:val="20"/>
              </w:rPr>
              <w:t>0</w:t>
            </w:r>
          </w:p>
        </w:tc>
        <w:tc>
          <w:tcPr>
            <w:tcW w:w="845" w:type="dxa"/>
            <w:noWrap/>
            <w:vAlign w:val="bottom"/>
            <w:hideMark/>
          </w:tcPr>
          <w:p w14:paraId="5BB7525D" w14:textId="2F4F9370"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1,933</w:t>
            </w:r>
          </w:p>
        </w:tc>
        <w:tc>
          <w:tcPr>
            <w:tcW w:w="844" w:type="dxa"/>
            <w:noWrap/>
            <w:vAlign w:val="bottom"/>
            <w:hideMark/>
          </w:tcPr>
          <w:p w14:paraId="22DFA9CE" w14:textId="690CDE97"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1,926</w:t>
            </w:r>
          </w:p>
        </w:tc>
        <w:tc>
          <w:tcPr>
            <w:tcW w:w="845" w:type="dxa"/>
            <w:noWrap/>
            <w:vAlign w:val="bottom"/>
            <w:hideMark/>
          </w:tcPr>
          <w:p w14:paraId="79820C83" w14:textId="59AB2CE0"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EA6150">
              <w:rPr>
                <w:rFonts w:ascii="Arial Narrow" w:eastAsia="Times New Roman" w:hAnsi="Arial Narrow" w:cs="Arial"/>
                <w:szCs w:val="20"/>
              </w:rPr>
              <w:t>676</w:t>
            </w:r>
          </w:p>
        </w:tc>
      </w:tr>
      <w:tr w:rsidR="00C058D0" w:rsidRPr="00E51D6B" w14:paraId="12D93585" w14:textId="77777777" w:rsidTr="00414D8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2CFCD9D2" w14:textId="77777777" w:rsidR="00C058D0" w:rsidRPr="00E51D6B" w:rsidRDefault="00C058D0" w:rsidP="00C058D0">
            <w:pPr>
              <w:keepNext/>
              <w:keepLines/>
              <w:contextualSpacing w:val="0"/>
              <w:jc w:val="left"/>
              <w:rPr>
                <w:rFonts w:ascii="Arial Narrow" w:eastAsia="Times New Roman" w:hAnsi="Arial Narrow" w:cs="Arial"/>
                <w:i/>
                <w:iCs/>
                <w:color w:val="555759"/>
                <w:szCs w:val="20"/>
              </w:rPr>
            </w:pPr>
            <w:r w:rsidRPr="00E51D6B">
              <w:rPr>
                <w:rFonts w:ascii="Arial Narrow" w:eastAsia="Times New Roman" w:hAnsi="Arial Narrow" w:cs="Arial"/>
                <w:i/>
                <w:iCs/>
                <w:color w:val="555759"/>
                <w:szCs w:val="20"/>
              </w:rPr>
              <w:t>Standard Error</w:t>
            </w:r>
          </w:p>
        </w:tc>
        <w:tc>
          <w:tcPr>
            <w:tcW w:w="978" w:type="dxa"/>
            <w:noWrap/>
            <w:vAlign w:val="top"/>
            <w:hideMark/>
          </w:tcPr>
          <w:p w14:paraId="7B3D196A" w14:textId="1BD7D168" w:rsidR="00C058D0" w:rsidRPr="00B54162" w:rsidRDefault="00C058D0" w:rsidP="009F2BF9">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C058D0">
              <w:rPr>
                <w:rFonts w:ascii="Arial Narrow" w:eastAsia="Times New Roman" w:hAnsi="Arial Narrow" w:cs="Arial"/>
                <w:i/>
                <w:color w:val="595959" w:themeColor="text1" w:themeTint="A6"/>
                <w:szCs w:val="20"/>
              </w:rPr>
              <w:t xml:space="preserve">776 </w:t>
            </w:r>
          </w:p>
        </w:tc>
        <w:tc>
          <w:tcPr>
            <w:tcW w:w="845" w:type="dxa"/>
            <w:noWrap/>
            <w:vAlign w:val="top"/>
            <w:hideMark/>
          </w:tcPr>
          <w:p w14:paraId="7204E653" w14:textId="418945B1" w:rsidR="00C058D0" w:rsidRPr="00B54162"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C058D0">
              <w:rPr>
                <w:rFonts w:ascii="Arial Narrow" w:eastAsia="Times New Roman" w:hAnsi="Arial Narrow" w:cs="Arial"/>
                <w:i/>
                <w:color w:val="595959" w:themeColor="text1" w:themeTint="A6"/>
                <w:szCs w:val="20"/>
              </w:rPr>
              <w:t xml:space="preserve">381 </w:t>
            </w:r>
          </w:p>
        </w:tc>
        <w:tc>
          <w:tcPr>
            <w:tcW w:w="844" w:type="dxa"/>
            <w:noWrap/>
            <w:vAlign w:val="top"/>
            <w:hideMark/>
          </w:tcPr>
          <w:p w14:paraId="4104F0DE" w14:textId="4A437902" w:rsidR="00C058D0" w:rsidRPr="00B54162"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C058D0">
              <w:rPr>
                <w:rFonts w:ascii="Arial Narrow" w:eastAsia="Times New Roman" w:hAnsi="Arial Narrow" w:cs="Arial"/>
                <w:i/>
                <w:color w:val="595959" w:themeColor="text1" w:themeTint="A6"/>
                <w:szCs w:val="20"/>
              </w:rPr>
              <w:t xml:space="preserve">4,057 </w:t>
            </w:r>
          </w:p>
        </w:tc>
        <w:tc>
          <w:tcPr>
            <w:tcW w:w="845" w:type="dxa"/>
            <w:noWrap/>
            <w:vAlign w:val="top"/>
            <w:hideMark/>
          </w:tcPr>
          <w:p w14:paraId="75995215" w14:textId="1986162C" w:rsidR="00C058D0" w:rsidRPr="00B54162"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C058D0">
              <w:rPr>
                <w:rFonts w:ascii="Arial Narrow" w:eastAsia="Times New Roman" w:hAnsi="Arial Narrow" w:cs="Arial"/>
                <w:i/>
                <w:color w:val="595959" w:themeColor="text1" w:themeTint="A6"/>
                <w:szCs w:val="20"/>
              </w:rPr>
              <w:t xml:space="preserve">478 </w:t>
            </w:r>
          </w:p>
        </w:tc>
        <w:tc>
          <w:tcPr>
            <w:tcW w:w="844" w:type="dxa"/>
            <w:noWrap/>
            <w:vAlign w:val="top"/>
            <w:hideMark/>
          </w:tcPr>
          <w:p w14:paraId="15EEDCE1" w14:textId="480D64A9" w:rsidR="00C058D0" w:rsidRPr="00B54162"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C058D0">
              <w:rPr>
                <w:rFonts w:ascii="Arial Narrow" w:eastAsia="Times New Roman" w:hAnsi="Arial Narrow" w:cs="Arial"/>
                <w:i/>
                <w:color w:val="595959" w:themeColor="text1" w:themeTint="A6"/>
                <w:szCs w:val="20"/>
              </w:rPr>
              <w:t xml:space="preserve">673 </w:t>
            </w:r>
          </w:p>
        </w:tc>
        <w:tc>
          <w:tcPr>
            <w:tcW w:w="845" w:type="dxa"/>
            <w:noWrap/>
            <w:vAlign w:val="top"/>
            <w:hideMark/>
          </w:tcPr>
          <w:p w14:paraId="079C50EC" w14:textId="44DB7698" w:rsidR="00C058D0" w:rsidRPr="00B54162"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color w:val="595959" w:themeColor="text1" w:themeTint="A6"/>
                <w:szCs w:val="20"/>
              </w:rPr>
            </w:pPr>
            <w:r w:rsidRPr="00C058D0">
              <w:rPr>
                <w:rFonts w:ascii="Arial Narrow" w:eastAsia="Times New Roman" w:hAnsi="Arial Narrow" w:cs="Arial"/>
                <w:i/>
                <w:color w:val="595959" w:themeColor="text1" w:themeTint="A6"/>
                <w:szCs w:val="20"/>
              </w:rPr>
              <w:t xml:space="preserve">667 </w:t>
            </w:r>
          </w:p>
        </w:tc>
      </w:tr>
      <w:tr w:rsidR="00C058D0" w:rsidRPr="00E51D6B" w14:paraId="5557699E" w14:textId="77777777" w:rsidTr="00414D82">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31E6E33E" w14:textId="77777777" w:rsidR="00C058D0" w:rsidRPr="00E51D6B" w:rsidRDefault="00C058D0" w:rsidP="00C058D0">
            <w:pPr>
              <w:keepNext/>
              <w:keepLines/>
              <w:contextualSpacing w:val="0"/>
              <w:jc w:val="left"/>
              <w:rPr>
                <w:rFonts w:ascii="Arial Narrow" w:eastAsia="Times New Roman" w:hAnsi="Arial Narrow" w:cs="Arial"/>
                <w:szCs w:val="20"/>
              </w:rPr>
            </w:pPr>
            <w:r w:rsidRPr="00E51D6B">
              <w:rPr>
                <w:rFonts w:ascii="Arial Narrow" w:eastAsia="Times New Roman" w:hAnsi="Arial Narrow" w:cs="Arial"/>
                <w:szCs w:val="20"/>
              </w:rPr>
              <w:t>Savings Uplift in Other EE Programs in Analysis Period, MWh</w:t>
            </w:r>
          </w:p>
        </w:tc>
        <w:tc>
          <w:tcPr>
            <w:tcW w:w="978" w:type="dxa"/>
            <w:noWrap/>
            <w:hideMark/>
          </w:tcPr>
          <w:p w14:paraId="01A896A5" w14:textId="32617ED6"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53 </w:t>
            </w:r>
          </w:p>
        </w:tc>
        <w:tc>
          <w:tcPr>
            <w:tcW w:w="845" w:type="dxa"/>
            <w:noWrap/>
            <w:hideMark/>
          </w:tcPr>
          <w:p w14:paraId="3BA7F89B" w14:textId="614B9482"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14 </w:t>
            </w:r>
          </w:p>
        </w:tc>
        <w:tc>
          <w:tcPr>
            <w:tcW w:w="844" w:type="dxa"/>
            <w:noWrap/>
            <w:hideMark/>
          </w:tcPr>
          <w:p w14:paraId="35F922C9" w14:textId="2B8D24FB"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471 </w:t>
            </w:r>
          </w:p>
        </w:tc>
        <w:tc>
          <w:tcPr>
            <w:tcW w:w="845" w:type="dxa"/>
            <w:noWrap/>
            <w:hideMark/>
          </w:tcPr>
          <w:p w14:paraId="31B83B1C" w14:textId="60D07E48"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24 </w:t>
            </w:r>
          </w:p>
        </w:tc>
        <w:tc>
          <w:tcPr>
            <w:tcW w:w="844" w:type="dxa"/>
            <w:noWrap/>
            <w:hideMark/>
          </w:tcPr>
          <w:p w14:paraId="03C05C98" w14:textId="39898CD6"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4 </w:t>
            </w:r>
          </w:p>
        </w:tc>
        <w:tc>
          <w:tcPr>
            <w:tcW w:w="845" w:type="dxa"/>
            <w:noWrap/>
            <w:hideMark/>
          </w:tcPr>
          <w:p w14:paraId="05ACE846" w14:textId="6CECD12B" w:rsidR="00C058D0" w:rsidRPr="00E51D6B" w:rsidRDefault="00C058D0" w:rsidP="00C058D0">
            <w:pPr>
              <w:keepNext/>
              <w:keepLines/>
              <w:contextualSpacing w:val="0"/>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21 </w:t>
            </w:r>
          </w:p>
        </w:tc>
      </w:tr>
      <w:tr w:rsidR="00C058D0" w:rsidRPr="00E51D6B" w14:paraId="1EB27DF6" w14:textId="77777777" w:rsidTr="00414D8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59" w:type="dxa"/>
            <w:noWrap/>
            <w:hideMark/>
          </w:tcPr>
          <w:p w14:paraId="157BC857" w14:textId="203BCCFB" w:rsidR="00C058D0" w:rsidRPr="00E51D6B" w:rsidRDefault="00C058D0" w:rsidP="00C058D0">
            <w:pPr>
              <w:keepNext/>
              <w:keepLines/>
              <w:contextualSpacing w:val="0"/>
              <w:jc w:val="left"/>
              <w:rPr>
                <w:rFonts w:ascii="Arial Narrow" w:eastAsia="Times New Roman" w:hAnsi="Arial Narrow" w:cs="Arial"/>
                <w:szCs w:val="20"/>
              </w:rPr>
            </w:pPr>
            <w:r w:rsidRPr="00E51D6B">
              <w:rPr>
                <w:rFonts w:ascii="Arial Narrow" w:eastAsia="Times New Roman" w:hAnsi="Arial Narrow" w:cs="Arial"/>
                <w:szCs w:val="20"/>
              </w:rPr>
              <w:t>Verified Net Savings, MWh</w:t>
            </w:r>
            <w:r w:rsidRPr="00DD465C">
              <w:rPr>
                <w:sz w:val="16"/>
                <w:szCs w:val="16"/>
              </w:rPr>
              <w:t>†</w:t>
            </w:r>
          </w:p>
        </w:tc>
        <w:tc>
          <w:tcPr>
            <w:tcW w:w="978" w:type="dxa"/>
            <w:noWrap/>
            <w:vAlign w:val="top"/>
            <w:hideMark/>
          </w:tcPr>
          <w:p w14:paraId="48C16156" w14:textId="4AAD9245" w:rsidR="00C058D0" w:rsidRPr="00E51D6B"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6,395</w:t>
            </w:r>
          </w:p>
        </w:tc>
        <w:tc>
          <w:tcPr>
            <w:tcW w:w="845" w:type="dxa"/>
            <w:noWrap/>
            <w:vAlign w:val="top"/>
            <w:hideMark/>
          </w:tcPr>
          <w:p w14:paraId="3DBFEEC4" w14:textId="19A82BFD" w:rsidR="00C058D0" w:rsidRPr="00E51D6B"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 1,694 </w:t>
            </w:r>
          </w:p>
        </w:tc>
        <w:tc>
          <w:tcPr>
            <w:tcW w:w="844" w:type="dxa"/>
            <w:noWrap/>
            <w:vAlign w:val="top"/>
            <w:hideMark/>
          </w:tcPr>
          <w:p w14:paraId="0737BCD5" w14:textId="640DD72F" w:rsidR="00C058D0" w:rsidRPr="00E51D6B"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51,300 </w:t>
            </w:r>
          </w:p>
        </w:tc>
        <w:tc>
          <w:tcPr>
            <w:tcW w:w="845" w:type="dxa"/>
            <w:noWrap/>
            <w:vAlign w:val="top"/>
            <w:hideMark/>
          </w:tcPr>
          <w:p w14:paraId="0053F2E0" w14:textId="16E5AE25" w:rsidR="00C058D0" w:rsidRPr="00E51D6B"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 1,909 </w:t>
            </w:r>
          </w:p>
        </w:tc>
        <w:tc>
          <w:tcPr>
            <w:tcW w:w="844" w:type="dxa"/>
            <w:noWrap/>
            <w:vAlign w:val="top"/>
            <w:hideMark/>
          </w:tcPr>
          <w:p w14:paraId="2F993765" w14:textId="06542715" w:rsidR="00C058D0" w:rsidRPr="00E51D6B"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 1,923 </w:t>
            </w:r>
          </w:p>
        </w:tc>
        <w:tc>
          <w:tcPr>
            <w:tcW w:w="845" w:type="dxa"/>
            <w:noWrap/>
            <w:vAlign w:val="top"/>
            <w:hideMark/>
          </w:tcPr>
          <w:p w14:paraId="23EEE421" w14:textId="7A1D460A" w:rsidR="00C058D0" w:rsidRPr="00E51D6B" w:rsidRDefault="00C058D0" w:rsidP="00C058D0">
            <w:pPr>
              <w:keepNext/>
              <w:keepLines/>
              <w:contextualSpacing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Cs w:val="20"/>
              </w:rPr>
            </w:pPr>
            <w:r w:rsidRPr="00C058D0">
              <w:rPr>
                <w:rFonts w:ascii="Arial Narrow" w:eastAsia="Times New Roman" w:hAnsi="Arial Narrow" w:cs="Arial"/>
                <w:szCs w:val="20"/>
              </w:rPr>
              <w:t xml:space="preserve"> 654 </w:t>
            </w:r>
          </w:p>
        </w:tc>
      </w:tr>
    </w:tbl>
    <w:p w14:paraId="57688A90" w14:textId="77777777" w:rsidR="007925E4" w:rsidRPr="00FB6E10" w:rsidRDefault="007925E4" w:rsidP="00661E90">
      <w:pPr>
        <w:pStyle w:val="GraphFootnote"/>
        <w:rPr>
          <w:rFonts w:cs="Arial"/>
        </w:rPr>
      </w:pPr>
      <w:bookmarkStart w:id="26" w:name="_Toc398546640"/>
      <w:bookmarkStart w:id="27" w:name="_Toc423009489"/>
      <w:bookmarkStart w:id="28" w:name="_Toc459627231"/>
      <w:r>
        <w:t>*</w:t>
      </w:r>
      <w:r w:rsidRPr="00FB6E10">
        <w:t xml:space="preserve">Total savings are pro-rated for participants that closed their accounts during the analysis period. </w:t>
      </w:r>
    </w:p>
    <w:p w14:paraId="0182C495" w14:textId="584FFB72" w:rsidR="00661E90" w:rsidRDefault="007925E4" w:rsidP="00661E90">
      <w:pPr>
        <w:pStyle w:val="GraphFootnote"/>
      </w:pPr>
      <w:r w:rsidRPr="00DB4577">
        <w:t>†</w:t>
      </w:r>
      <w:r w:rsidRPr="00FB6E10">
        <w:t>Gross savings adjusted for savings uplift are equal to gross savings less the uplift of savings in other EE program</w:t>
      </w:r>
      <w:r w:rsidR="00661E90">
        <w:t>s.</w:t>
      </w:r>
    </w:p>
    <w:p w14:paraId="6098ADAC" w14:textId="33146361" w:rsidR="007925E4" w:rsidRPr="00661E90" w:rsidRDefault="00661E90" w:rsidP="00641CE5">
      <w:pPr>
        <w:pStyle w:val="Source"/>
        <w:keepLines/>
      </w:pPr>
      <w:r>
        <w:t>Source: Navigant analysis</w:t>
      </w:r>
      <w:r w:rsidR="007925E4" w:rsidRPr="00FB6E10">
        <w:rPr>
          <w:color w:val="auto"/>
        </w:rPr>
        <w:t>.</w:t>
      </w:r>
    </w:p>
    <w:p w14:paraId="2191019B" w14:textId="394F4552" w:rsidR="004D1882" w:rsidRPr="00CA5258" w:rsidRDefault="004D1882" w:rsidP="00724966">
      <w:pPr>
        <w:pStyle w:val="Heading1"/>
      </w:pPr>
      <w:bookmarkStart w:id="29" w:name="_Toc525646489"/>
      <w:r w:rsidRPr="00CA5258">
        <w:t>Findings and Recommendations</w:t>
      </w:r>
      <w:bookmarkEnd w:id="29"/>
    </w:p>
    <w:bookmarkEnd w:id="26"/>
    <w:bookmarkEnd w:id="27"/>
    <w:bookmarkEnd w:id="28"/>
    <w:p w14:paraId="50B8DFBE" w14:textId="5B40DD5A" w:rsidR="00A110DE" w:rsidRPr="00CA5258" w:rsidRDefault="00A110DE" w:rsidP="00661E90">
      <w:pPr>
        <w:pStyle w:val="Finding"/>
      </w:pPr>
      <w:r w:rsidRPr="00CA5258">
        <w:rPr>
          <w:b/>
        </w:rPr>
        <w:t>Finding 1</w:t>
      </w:r>
      <w:r w:rsidRPr="00CA5258">
        <w:t xml:space="preserve">. </w:t>
      </w:r>
      <w:r w:rsidR="00CB78F1" w:rsidRPr="00CA5258">
        <w:t xml:space="preserve">Relative to the year </w:t>
      </w:r>
      <w:r w:rsidR="00CA5258">
        <w:t>four</w:t>
      </w:r>
      <w:r w:rsidR="00CB78F1" w:rsidRPr="00CA5258">
        <w:t xml:space="preserve"> persistence study</w:t>
      </w:r>
      <w:r w:rsidR="00FE0CBD" w:rsidRPr="00CA5258">
        <w:t>, d</w:t>
      </w:r>
      <w:r w:rsidR="00B46FA6" w:rsidRPr="00CA5258">
        <w:t xml:space="preserve">ecay rates </w:t>
      </w:r>
      <w:r w:rsidR="00CA5258">
        <w:t>decreased for Wave 1 but increased for Waves 3 and 5</w:t>
      </w:r>
      <w:r w:rsidR="00B46FA6" w:rsidRPr="00CA5258">
        <w:t>.</w:t>
      </w:r>
      <w:r w:rsidR="00CB78F1" w:rsidRPr="00CA5258">
        <w:t xml:space="preserve"> These decay rates are higher than the values found in</w:t>
      </w:r>
      <w:r w:rsidR="00A54DAF" w:rsidRPr="00CA5258">
        <w:t xml:space="preserve"> IL</w:t>
      </w:r>
      <w:r w:rsidR="00CB78F1" w:rsidRPr="00CA5258">
        <w:t xml:space="preserve"> TRM Version </w:t>
      </w:r>
      <w:r w:rsidR="00CA5258">
        <w:t>8</w:t>
      </w:r>
      <w:r w:rsidR="00574AC1" w:rsidRPr="00CA5258">
        <w:t>.0</w:t>
      </w:r>
      <w:r w:rsidR="00B13CDB" w:rsidRPr="00CA5258">
        <w:t>,</w:t>
      </w:r>
      <w:r w:rsidR="00CA5258">
        <w:rPr>
          <w:rStyle w:val="FootnoteReference"/>
        </w:rPr>
        <w:footnoteReference w:id="12"/>
      </w:r>
      <w:r w:rsidR="00574AC1" w:rsidRPr="00CA5258">
        <w:t xml:space="preserve"> and</w:t>
      </w:r>
      <w:r w:rsidR="00B46FA6" w:rsidRPr="00CA5258">
        <w:t xml:space="preserve"> </w:t>
      </w:r>
      <w:r w:rsidR="007C20B5" w:rsidRPr="00CA5258">
        <w:t>average</w:t>
      </w:r>
      <w:r w:rsidR="002D1939" w:rsidRPr="00CA5258">
        <w:t xml:space="preserve"> 3</w:t>
      </w:r>
      <w:r w:rsidR="00CA5258">
        <w:t>7</w:t>
      </w:r>
      <w:r w:rsidR="00824973" w:rsidRPr="00CA5258">
        <w:t xml:space="preserve"> percent</w:t>
      </w:r>
      <w:r w:rsidR="00CB78F1" w:rsidRPr="00CA5258">
        <w:t xml:space="preserve"> across all waves</w:t>
      </w:r>
      <w:r w:rsidR="002D1939" w:rsidRPr="00CA5258">
        <w:t>.</w:t>
      </w:r>
      <w:r w:rsidR="00F514E4" w:rsidRPr="00CA5258">
        <w:t xml:space="preserve"> However,</w:t>
      </w:r>
      <w:r w:rsidR="007C20B5" w:rsidRPr="00CA5258">
        <w:t xml:space="preserve"> </w:t>
      </w:r>
      <w:r w:rsidR="00F514E4" w:rsidRPr="00CA5258">
        <w:t xml:space="preserve">year </w:t>
      </w:r>
      <w:r w:rsidR="00CA5258">
        <w:t>five</w:t>
      </w:r>
      <w:r w:rsidR="00F514E4" w:rsidRPr="00CA5258">
        <w:t xml:space="preserve"> wave </w:t>
      </w:r>
      <w:r w:rsidR="007C20B5" w:rsidRPr="00CA5258">
        <w:t xml:space="preserve">decay rates </w:t>
      </w:r>
      <w:r w:rsidR="00F514E4" w:rsidRPr="00CA5258">
        <w:t>continue to</w:t>
      </w:r>
      <w:r w:rsidR="007C20B5" w:rsidRPr="00CA5258">
        <w:t xml:space="preserve"> show </w:t>
      </w:r>
      <w:r w:rsidR="00F514E4" w:rsidRPr="00CA5258">
        <w:t>high levels of uncertainty based on large confidence bounds.</w:t>
      </w:r>
      <w:r w:rsidR="002D1939" w:rsidRPr="00CA5258">
        <w:t xml:space="preserve"> </w:t>
      </w:r>
    </w:p>
    <w:p w14:paraId="7A684B78" w14:textId="7A4F2096" w:rsidR="00B13CDB" w:rsidRPr="00CA5258" w:rsidRDefault="00B13CDB" w:rsidP="00661E90">
      <w:pPr>
        <w:pStyle w:val="Finding"/>
      </w:pPr>
      <w:r w:rsidRPr="00CA5258">
        <w:rPr>
          <w:b/>
        </w:rPr>
        <w:t>Recommendation 1</w:t>
      </w:r>
      <w:r w:rsidRPr="00CA5258">
        <w:t>. Navigant recommends that the IL TRM combine this analysis with other relevant studies</w:t>
      </w:r>
      <w:r w:rsidRPr="00CA5258">
        <w:rPr>
          <w:rStyle w:val="FootnoteReference"/>
        </w:rPr>
        <w:footnoteReference w:id="13"/>
      </w:r>
      <w:r w:rsidRPr="00CA5258">
        <w:t xml:space="preserve"> to update the persistence factors </w:t>
      </w:r>
      <w:r w:rsidR="00CA5258">
        <w:t xml:space="preserve">for Version 9 for the </w:t>
      </w:r>
      <w:r w:rsidR="009F2BF9">
        <w:t xml:space="preserve">Illinois </w:t>
      </w:r>
      <w:r w:rsidR="00CA5258">
        <w:t>utilities to use for their next planning cycle</w:t>
      </w:r>
      <w:r w:rsidRPr="00CA5258">
        <w:t xml:space="preserve">. </w:t>
      </w:r>
    </w:p>
    <w:p w14:paraId="1C527BA0" w14:textId="77777777" w:rsidR="00CA5258" w:rsidRDefault="00CA5258">
      <w:pPr>
        <w:contextualSpacing w:val="0"/>
        <w:rPr>
          <w:rFonts w:cs="Arial"/>
          <w:b/>
          <w:bCs/>
          <w:smallCaps/>
          <w:color w:val="95D600" w:themeColor="accent1"/>
          <w:kern w:val="28"/>
          <w:position w:val="6"/>
          <w:sz w:val="28"/>
          <w:szCs w:val="26"/>
        </w:rPr>
      </w:pPr>
      <w:bookmarkStart w:id="30" w:name="_Ref520447185"/>
      <w:bookmarkStart w:id="31" w:name="_Ref520447188"/>
      <w:bookmarkStart w:id="32" w:name="_Ref520447193"/>
      <w:bookmarkStart w:id="33" w:name="_Ref520447275"/>
      <w:bookmarkStart w:id="34" w:name="_Toc525646490"/>
      <w:bookmarkEnd w:id="2"/>
      <w:bookmarkEnd w:id="3"/>
      <w:r>
        <w:br w:type="page"/>
      </w:r>
    </w:p>
    <w:p w14:paraId="31011270" w14:textId="56EEA590" w:rsidR="00E96054" w:rsidRDefault="00740836" w:rsidP="00740836">
      <w:pPr>
        <w:pStyle w:val="Heading1"/>
      </w:pPr>
      <w:r>
        <w:lastRenderedPageBreak/>
        <w:t>Appendix 1. Impact Analysis Methodology</w:t>
      </w:r>
      <w:bookmarkEnd w:id="30"/>
      <w:bookmarkEnd w:id="31"/>
      <w:bookmarkEnd w:id="32"/>
      <w:bookmarkEnd w:id="33"/>
      <w:bookmarkEnd w:id="34"/>
    </w:p>
    <w:p w14:paraId="731FD8E2" w14:textId="078F6423" w:rsidR="00ED20CB" w:rsidRPr="00334E07" w:rsidRDefault="00ED20CB" w:rsidP="00ED20CB">
      <w:pPr>
        <w:pStyle w:val="Heading2"/>
        <w:rPr>
          <w:rFonts w:eastAsiaTheme="majorEastAsia" w:cstheme="majorBidi"/>
          <w:szCs w:val="26"/>
        </w:rPr>
      </w:pPr>
      <w:bookmarkStart w:id="35" w:name="_Toc525646491"/>
      <w:r>
        <w:t>Statistical Models Used in the Impact Evaluation</w:t>
      </w:r>
      <w:bookmarkEnd w:id="35"/>
    </w:p>
    <w:p w14:paraId="4E79EFBA" w14:textId="23E21836" w:rsidR="00B93146" w:rsidRPr="00B93146" w:rsidRDefault="00ED20CB" w:rsidP="00393A9D">
      <w:r>
        <w:t>Navigant used statistical analysis appropriate for a</w:t>
      </w:r>
      <w:r w:rsidR="00EC2096">
        <w:t>n</w:t>
      </w:r>
      <w:r>
        <w:t xml:space="preserve"> RCT to calculate HER </w:t>
      </w:r>
      <w:r w:rsidR="00661E90">
        <w:t>P</w:t>
      </w:r>
      <w:r>
        <w:t>rogram persistence savings, which is consistent with annual program year evaluations.</w:t>
      </w:r>
      <w:r>
        <w:rPr>
          <w:rStyle w:val="FootnoteReference"/>
        </w:rPr>
        <w:footnoteReference w:id="14"/>
      </w:r>
      <w:r>
        <w:t xml:space="preserve"> This approach estimated program impacts using two methods: a lagged dependent variable (LDV)</w:t>
      </w:r>
      <w:r>
        <w:rPr>
          <w:rStyle w:val="FootnoteReference"/>
        </w:rPr>
        <w:footnoteReference w:id="15"/>
      </w:r>
      <w:r>
        <w:t xml:space="preserve"> regression and a linear fixed-effects regression (LFER) applied to monthly billing data. Navigant calculated persistence, decay, and measure life by comparing</w:t>
      </w:r>
      <w:r w:rsidR="00471231">
        <w:t xml:space="preserve"> the</w:t>
      </w:r>
      <w:r>
        <w:t xml:space="preserve"> TR group to the CR group for each wave.</w:t>
      </w:r>
    </w:p>
    <w:p w14:paraId="11B28015" w14:textId="77777777" w:rsidR="00393A9D" w:rsidRDefault="00393A9D" w:rsidP="00B807ED">
      <w:pPr>
        <w:pStyle w:val="Heading3"/>
        <w:rPr>
          <w:rFonts w:eastAsiaTheme="majorEastAsia" w:cstheme="majorBidi"/>
          <w:szCs w:val="24"/>
        </w:rPr>
      </w:pPr>
      <w:bookmarkStart w:id="36" w:name="_Toc498066916"/>
      <w:bookmarkStart w:id="37" w:name="_Toc493583439"/>
      <w:bookmarkStart w:id="38" w:name="_Toc525646492"/>
      <w:r>
        <w:t>Lagged Dependent Variable Model</w:t>
      </w:r>
      <w:bookmarkEnd w:id="36"/>
      <w:bookmarkEnd w:id="37"/>
      <w:bookmarkEnd w:id="38"/>
    </w:p>
    <w:p w14:paraId="07E852AA" w14:textId="11FA5F9A" w:rsidR="00393A9D" w:rsidRDefault="00393A9D" w:rsidP="00393A9D">
      <w:pPr>
        <w:keepLines/>
      </w:pPr>
      <w:r>
        <w:t xml:space="preserve">The LDV model controls for non-treatment differences in energy use between treatment and control customers using lagged energy use as an explanatory variable. The model frames energy use in calendar month </w:t>
      </w:r>
      <w:r>
        <w:rPr>
          <w:i/>
        </w:rPr>
        <w:t xml:space="preserve">t </w:t>
      </w:r>
      <w:r>
        <w:t xml:space="preserve">of the post-program period as a function of both the treatment variable and energy use in the same calendar month of the pre-program period. The underlying logic is that systematic differences between control and treatment customers will be reflected in differences in their past energy use, which is highly correlated with their current energy use. Formally, the model is shown in </w:t>
      </w:r>
      <w:r w:rsidR="00BC7395">
        <w:fldChar w:fldCharType="begin"/>
      </w:r>
      <w:r w:rsidR="00BC7395">
        <w:instrText xml:space="preserve"> REF _Ref520357467 \h </w:instrText>
      </w:r>
      <w:r w:rsidR="00BC7395">
        <w:fldChar w:fldCharType="separate"/>
      </w:r>
      <w:r w:rsidR="006E4D05">
        <w:t xml:space="preserve">Equation </w:t>
      </w:r>
      <w:r w:rsidR="006E4D05">
        <w:rPr>
          <w:noProof/>
        </w:rPr>
        <w:t>5</w:t>
      </w:r>
      <w:r w:rsidR="006E4D05">
        <w:noBreakHyphen/>
      </w:r>
      <w:r w:rsidR="006E4D05">
        <w:rPr>
          <w:noProof/>
        </w:rPr>
        <w:t>1</w:t>
      </w:r>
      <w:r w:rsidR="00BC7395">
        <w:fldChar w:fldCharType="end"/>
      </w:r>
      <w:r w:rsidR="00BC7395">
        <w:t>.</w:t>
      </w:r>
    </w:p>
    <w:p w14:paraId="2581AD1D" w14:textId="77777777" w:rsidR="00BC7395" w:rsidRDefault="00BC7395" w:rsidP="00393A9D">
      <w:pPr>
        <w:keepLines/>
      </w:pPr>
    </w:p>
    <w:p w14:paraId="69D1CF3C" w14:textId="7C14EB42" w:rsidR="00BC7395" w:rsidRDefault="00BC7395" w:rsidP="00BC7395">
      <w:pPr>
        <w:pStyle w:val="Caption"/>
      </w:pPr>
      <w:bookmarkStart w:id="39" w:name="_Ref520357467"/>
      <w:r>
        <w:t xml:space="preserve">Equation </w:t>
      </w:r>
      <w:fldSimple w:instr=" STYLEREF 1 \s ">
        <w:r w:rsidR="006E4D05">
          <w:rPr>
            <w:noProof/>
          </w:rPr>
          <w:t>5</w:t>
        </w:r>
      </w:fldSimple>
      <w:r w:rsidR="00410E15">
        <w:noBreakHyphen/>
      </w:r>
      <w:fldSimple w:instr=" SEQ Equation \* ARABIC \s 1 ">
        <w:r w:rsidR="006E4D05">
          <w:rPr>
            <w:noProof/>
          </w:rPr>
          <w:t>1</w:t>
        </w:r>
      </w:fldSimple>
      <w:bookmarkEnd w:id="39"/>
      <w:r>
        <w:t>. Lagged Dependent Variable Model</w:t>
      </w:r>
    </w:p>
    <w:p w14:paraId="3EC4F515" w14:textId="77777777" w:rsidR="00393A9D" w:rsidRDefault="00273FB1" w:rsidP="00393A9D">
      <w:pPr>
        <w:keepLines/>
      </w:pPr>
      <m:oMathPara>
        <m:oMath>
          <m:sSub>
            <m:sSubPr>
              <m:ctrlPr>
                <w:rPr>
                  <w:rFonts w:ascii="Cambria Math" w:hAnsi="Cambria Math" w:cs="Arial"/>
                  <w:i/>
                  <w:szCs w:val="40"/>
                </w:rPr>
              </m:ctrlPr>
            </m:sSubPr>
            <m:e>
              <m:r>
                <w:rPr>
                  <w:rFonts w:ascii="Cambria Math" w:hAnsi="Cambria Math"/>
                </w:rPr>
                <m:t>ADU</m:t>
              </m:r>
            </m:e>
            <m:sub>
              <m:r>
                <w:rPr>
                  <w:rFonts w:ascii="Cambria Math" w:hAnsi="Cambria Math"/>
                </w:rPr>
                <m:t>kt</m:t>
              </m:r>
            </m:sub>
          </m:sSub>
          <m:r>
            <w:rPr>
              <w:rFonts w:ascii="Cambria Math" w:hAnsi="Cambria Math"/>
            </w:rPr>
            <m:t>=</m:t>
          </m:r>
          <m:sSub>
            <m:sSubPr>
              <m:ctrlPr>
                <w:rPr>
                  <w:rFonts w:ascii="Cambria Math" w:hAnsi="Cambria Math" w:cs="Arial"/>
                  <w:i/>
                  <w:szCs w:val="40"/>
                </w:rPr>
              </m:ctrlPr>
            </m:sSubPr>
            <m:e>
              <m:r>
                <w:rPr>
                  <w:rFonts w:ascii="Cambria Math" w:hAnsi="Cambria Math"/>
                </w:rPr>
                <m:t>β</m:t>
              </m:r>
            </m:e>
            <m:sub>
              <m:r>
                <w:rPr>
                  <w:rFonts w:ascii="Cambria Math" w:hAnsi="Cambria Math"/>
                </w:rPr>
                <m:t>1</m:t>
              </m:r>
            </m:sub>
          </m:sSub>
          <m:sSub>
            <m:sSubPr>
              <m:ctrlPr>
                <w:rPr>
                  <w:rFonts w:ascii="Cambria Math" w:hAnsi="Cambria Math" w:cs="Arial"/>
                  <w:i/>
                  <w:szCs w:val="40"/>
                </w:rPr>
              </m:ctrlPr>
            </m:sSubPr>
            <m:e>
              <m:r>
                <w:rPr>
                  <w:rFonts w:ascii="Cambria Math" w:hAnsi="Cambria Math"/>
                </w:rPr>
                <m:t>Treatment</m:t>
              </m:r>
            </m:e>
            <m:sub>
              <m:r>
                <w:rPr>
                  <w:rFonts w:ascii="Cambria Math" w:hAnsi="Cambria Math"/>
                </w:rPr>
                <m:t>k</m:t>
              </m:r>
            </m:sub>
          </m:sSub>
          <m:r>
            <w:rPr>
              <w:rFonts w:ascii="Cambria Math" w:hAnsi="Cambria Math"/>
            </w:rPr>
            <m:t>∙T</m:t>
          </m:r>
          <m:sSub>
            <m:sSubPr>
              <m:ctrlPr>
                <w:rPr>
                  <w:rFonts w:ascii="Cambria Math" w:hAnsi="Cambria Math" w:cs="Arial"/>
                  <w:i/>
                  <w:szCs w:val="40"/>
                </w:rPr>
              </m:ctrlPr>
            </m:sSubPr>
            <m:e>
              <m:r>
                <w:rPr>
                  <w:rFonts w:ascii="Cambria Math" w:hAnsi="Cambria Math"/>
                </w:rPr>
                <m:t>R</m:t>
              </m:r>
            </m:e>
            <m:sub>
              <m:r>
                <w:rPr>
                  <w:rFonts w:ascii="Cambria Math" w:hAnsi="Cambria Math"/>
                </w:rPr>
                <m:t>k</m:t>
              </m:r>
            </m:sub>
          </m:sSub>
          <m:r>
            <w:rPr>
              <w:rFonts w:ascii="Cambria Math" w:hAnsi="Cambria Math"/>
            </w:rPr>
            <m:t>+</m:t>
          </m:r>
          <m:sSub>
            <m:sSubPr>
              <m:ctrlPr>
                <w:rPr>
                  <w:rFonts w:ascii="Cambria Math" w:hAnsi="Cambria Math" w:cs="Arial"/>
                  <w:i/>
                  <w:szCs w:val="40"/>
                </w:rPr>
              </m:ctrlPr>
            </m:sSubPr>
            <m:e>
              <m:r>
                <w:rPr>
                  <w:rFonts w:ascii="Cambria Math" w:hAnsi="Cambria Math"/>
                </w:rPr>
                <m:t>β</m:t>
              </m:r>
            </m:e>
            <m:sub>
              <m:r>
                <w:rPr>
                  <w:rFonts w:ascii="Cambria Math" w:hAnsi="Cambria Math"/>
                </w:rPr>
                <m:t>2</m:t>
              </m:r>
            </m:sub>
          </m:sSub>
          <m:sSub>
            <m:sSubPr>
              <m:ctrlPr>
                <w:rPr>
                  <w:rFonts w:ascii="Cambria Math" w:hAnsi="Cambria Math" w:cs="Arial"/>
                  <w:i/>
                  <w:szCs w:val="40"/>
                </w:rPr>
              </m:ctrlPr>
            </m:sSubPr>
            <m:e>
              <m:r>
                <w:rPr>
                  <w:rFonts w:ascii="Cambria Math" w:hAnsi="Cambria Math"/>
                </w:rPr>
                <m:t>Treatment</m:t>
              </m:r>
            </m:e>
            <m:sub>
              <m:r>
                <w:rPr>
                  <w:rFonts w:ascii="Cambria Math" w:hAnsi="Cambria Math"/>
                </w:rPr>
                <m:t>k</m:t>
              </m:r>
            </m:sub>
          </m:sSub>
          <m:r>
            <w:rPr>
              <w:rFonts w:ascii="Cambria Math" w:hAnsi="Cambria Math"/>
            </w:rPr>
            <m:t>∙C</m:t>
          </m:r>
          <m:sSub>
            <m:sSubPr>
              <m:ctrlPr>
                <w:rPr>
                  <w:rFonts w:ascii="Cambria Math" w:hAnsi="Cambria Math" w:cs="Arial"/>
                  <w:i/>
                  <w:szCs w:val="40"/>
                </w:rPr>
              </m:ctrlPr>
            </m:sSubPr>
            <m:e>
              <m:r>
                <w:rPr>
                  <w:rFonts w:ascii="Cambria Math" w:hAnsi="Cambria Math"/>
                </w:rPr>
                <m:t>R</m:t>
              </m:r>
            </m:e>
            <m:sub>
              <m:r>
                <w:rPr>
                  <w:rFonts w:ascii="Cambria Math" w:hAnsi="Cambria Math"/>
                </w:rPr>
                <m:t>k</m:t>
              </m:r>
            </m:sub>
          </m:sSub>
          <m:r>
            <w:rPr>
              <w:rFonts w:ascii="Cambria Math" w:hAnsi="Cambria Math"/>
            </w:rPr>
            <m:t>+</m:t>
          </m:r>
          <m:nary>
            <m:naryPr>
              <m:chr m:val="∑"/>
              <m:limLoc m:val="undOvr"/>
              <m:supHide m:val="1"/>
              <m:ctrlPr>
                <w:rPr>
                  <w:rFonts w:ascii="Cambria Math" w:hAnsi="Cambria Math" w:cs="Arial"/>
                  <w:i/>
                  <w:szCs w:val="40"/>
                </w:rPr>
              </m:ctrlPr>
            </m:naryPr>
            <m:sub>
              <m:r>
                <w:rPr>
                  <w:rFonts w:ascii="Cambria Math" w:hAnsi="Cambria Math"/>
                </w:rPr>
                <m:t>J</m:t>
              </m:r>
            </m:sub>
            <m:sup/>
            <m:e>
              <m:sSub>
                <m:sSubPr>
                  <m:ctrlPr>
                    <w:rPr>
                      <w:rFonts w:ascii="Cambria Math" w:hAnsi="Cambria Math" w:cs="Arial"/>
                      <w:i/>
                      <w:szCs w:val="40"/>
                    </w:rPr>
                  </m:ctrlPr>
                </m:sSubPr>
                <m:e>
                  <m:r>
                    <w:rPr>
                      <w:rFonts w:ascii="Cambria Math" w:hAnsi="Cambria Math"/>
                    </w:rPr>
                    <m:t>β</m:t>
                  </m:r>
                </m:e>
                <m:sub>
                  <m:r>
                    <w:rPr>
                      <w:rFonts w:ascii="Cambria Math" w:hAnsi="Cambria Math"/>
                    </w:rPr>
                    <m:t>3j</m:t>
                  </m:r>
                </m:sub>
              </m:sSub>
              <m:sSub>
                <m:sSubPr>
                  <m:ctrlPr>
                    <w:rPr>
                      <w:rFonts w:ascii="Cambria Math" w:hAnsi="Cambria Math" w:cs="Arial"/>
                      <w:i/>
                      <w:szCs w:val="40"/>
                    </w:rPr>
                  </m:ctrlPr>
                </m:sSubPr>
                <m:e>
                  <m:r>
                    <w:rPr>
                      <w:rFonts w:ascii="Cambria Math" w:hAnsi="Cambria Math"/>
                    </w:rPr>
                    <m:t>Month</m:t>
                  </m:r>
                </m:e>
                <m:sub>
                  <m:r>
                    <w:rPr>
                      <w:rFonts w:ascii="Cambria Math" w:hAnsi="Cambria Math"/>
                    </w:rPr>
                    <m:t>jt</m:t>
                  </m:r>
                </m:sub>
              </m:sSub>
            </m:e>
          </m:nary>
          <m:r>
            <w:rPr>
              <w:rFonts w:ascii="Cambria Math" w:hAnsi="Cambria Math"/>
            </w:rPr>
            <m:t>+</m:t>
          </m:r>
          <m:nary>
            <m:naryPr>
              <m:chr m:val="∑"/>
              <m:limLoc m:val="undOvr"/>
              <m:supHide m:val="1"/>
              <m:ctrlPr>
                <w:rPr>
                  <w:rFonts w:ascii="Cambria Math" w:hAnsi="Cambria Math" w:cs="Arial"/>
                  <w:i/>
                  <w:szCs w:val="40"/>
                </w:rPr>
              </m:ctrlPr>
            </m:naryPr>
            <m:sub>
              <m:r>
                <w:rPr>
                  <w:rFonts w:ascii="Cambria Math" w:hAnsi="Cambria Math"/>
                </w:rPr>
                <m:t>J</m:t>
              </m:r>
            </m:sub>
            <m:sup/>
            <m:e>
              <m:sSub>
                <m:sSubPr>
                  <m:ctrlPr>
                    <w:rPr>
                      <w:rFonts w:ascii="Cambria Math" w:hAnsi="Cambria Math" w:cs="Arial"/>
                      <w:i/>
                      <w:szCs w:val="40"/>
                    </w:rPr>
                  </m:ctrlPr>
                </m:sSubPr>
                <m:e>
                  <m:r>
                    <w:rPr>
                      <w:rFonts w:ascii="Cambria Math" w:hAnsi="Cambria Math"/>
                    </w:rPr>
                    <m:t>β</m:t>
                  </m:r>
                </m:e>
                <m:sub>
                  <m:r>
                    <w:rPr>
                      <w:rFonts w:ascii="Cambria Math" w:hAnsi="Cambria Math"/>
                    </w:rPr>
                    <m:t>4j</m:t>
                  </m:r>
                </m:sub>
              </m:sSub>
              <m:sSub>
                <m:sSubPr>
                  <m:ctrlPr>
                    <w:rPr>
                      <w:rFonts w:ascii="Cambria Math" w:hAnsi="Cambria Math" w:cs="Arial"/>
                      <w:i/>
                      <w:szCs w:val="40"/>
                    </w:rPr>
                  </m:ctrlPr>
                </m:sSubPr>
                <m:e>
                  <m:r>
                    <w:rPr>
                      <w:rFonts w:ascii="Cambria Math" w:hAnsi="Cambria Math"/>
                    </w:rPr>
                    <m:t>Month</m:t>
                  </m:r>
                </m:e>
                <m:sub>
                  <m:r>
                    <w:rPr>
                      <w:rFonts w:ascii="Cambria Math" w:hAnsi="Cambria Math"/>
                    </w:rPr>
                    <m:t>jt</m:t>
                  </m:r>
                </m:sub>
              </m:sSub>
              <m:r>
                <w:rPr>
                  <w:rFonts w:ascii="Cambria Math" w:hAnsi="Cambria Math"/>
                </w:rPr>
                <m:t>∙</m:t>
              </m:r>
              <m:sSub>
                <m:sSubPr>
                  <m:ctrlPr>
                    <w:rPr>
                      <w:rFonts w:ascii="Cambria Math" w:hAnsi="Cambria Math" w:cs="Arial"/>
                      <w:i/>
                      <w:szCs w:val="40"/>
                    </w:rPr>
                  </m:ctrlPr>
                </m:sSubPr>
                <m:e>
                  <m:r>
                    <w:rPr>
                      <w:rFonts w:ascii="Cambria Math" w:hAnsi="Cambria Math"/>
                    </w:rPr>
                    <m:t>ADUlag</m:t>
                  </m:r>
                </m:e>
                <m:sub>
                  <m:r>
                    <w:rPr>
                      <w:rFonts w:ascii="Cambria Math" w:hAnsi="Cambria Math"/>
                    </w:rPr>
                    <m:t>kt</m:t>
                  </m:r>
                </m:sub>
              </m:sSub>
            </m:e>
          </m:nary>
          <m:r>
            <w:rPr>
              <w:rFonts w:ascii="Cambria Math" w:hAnsi="Cambria Math"/>
            </w:rPr>
            <m:t>+</m:t>
          </m:r>
          <m:sSub>
            <m:sSubPr>
              <m:ctrlPr>
                <w:rPr>
                  <w:rFonts w:ascii="Cambria Math" w:hAnsi="Cambria Math" w:cs="Arial"/>
                  <w:i/>
                  <w:szCs w:val="40"/>
                </w:rPr>
              </m:ctrlPr>
            </m:sSubPr>
            <m:e>
              <m:r>
                <w:rPr>
                  <w:rFonts w:ascii="Cambria Math" w:hAnsi="Cambria Math"/>
                </w:rPr>
                <m:t>ε</m:t>
              </m:r>
            </m:e>
            <m:sub>
              <m:r>
                <w:rPr>
                  <w:rFonts w:ascii="Cambria Math" w:hAnsi="Cambria Math"/>
                </w:rPr>
                <m:t>kt</m:t>
              </m:r>
            </m:sub>
          </m:sSub>
        </m:oMath>
      </m:oMathPara>
    </w:p>
    <w:p w14:paraId="24FAFB13" w14:textId="77777777" w:rsidR="00393A9D" w:rsidRDefault="00393A9D" w:rsidP="00393A9D">
      <w:pPr>
        <w:keepLines/>
      </w:pPr>
    </w:p>
    <w:p w14:paraId="4B7ED694" w14:textId="77777777" w:rsidR="00393A9D" w:rsidRDefault="00393A9D" w:rsidP="00393A9D">
      <w:pPr>
        <w:keepLines/>
      </w:pPr>
      <w:r>
        <w:t xml:space="preserve"> Where,</w:t>
      </w:r>
    </w:p>
    <w:p w14:paraId="5BFABAF7" w14:textId="77777777" w:rsidR="00393A9D" w:rsidRDefault="00393A9D" w:rsidP="00393A9D">
      <w:pPr>
        <w:keepLines/>
        <w:ind w:firstLine="720"/>
        <w:rPr>
          <w:i/>
        </w:rPr>
      </w:pPr>
      <w:r>
        <w:rPr>
          <w:rFonts w:cs="Arial"/>
          <w:position w:val="-12"/>
          <w:szCs w:val="40"/>
        </w:rPr>
        <w:object w:dxaOrig="570" w:dyaOrig="435" w14:anchorId="5738D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22" o:title=""/>
          </v:shape>
          <o:OLEObject Type="Embed" ProgID="Equation.DSMT4" ShapeID="_x0000_i1025" DrawAspect="Content" ObjectID="_1635213839" r:id="rId23"/>
        </w:object>
      </w:r>
      <w:r>
        <w:tab/>
      </w:r>
      <w:r>
        <w:tab/>
        <w:t xml:space="preserve">is average daily consumption of kWh by household </w:t>
      </w:r>
      <w:r>
        <w:rPr>
          <w:i/>
        </w:rPr>
        <w:t>k</w:t>
      </w:r>
      <w:r>
        <w:t xml:space="preserve"> in bill period </w:t>
      </w:r>
      <w:r>
        <w:rPr>
          <w:i/>
        </w:rPr>
        <w:t>t</w:t>
      </w:r>
    </w:p>
    <w:p w14:paraId="3CE36F58" w14:textId="77777777" w:rsidR="00393A9D" w:rsidRDefault="00393A9D" w:rsidP="00393A9D">
      <w:pPr>
        <w:keepLines/>
        <w:ind w:left="2160" w:hanging="1440"/>
      </w:pPr>
      <w:r>
        <w:rPr>
          <w:rFonts w:cs="Arial"/>
          <w:position w:val="-12"/>
          <w:szCs w:val="40"/>
        </w:rPr>
        <w:object w:dxaOrig="1005" w:dyaOrig="435" w14:anchorId="39C767F7">
          <v:shape id="_x0000_i1026" type="#_x0000_t75" style="width:50.25pt;height:21.75pt" o:ole="">
            <v:imagedata r:id="rId24" o:title=""/>
          </v:shape>
          <o:OLEObject Type="Embed" ProgID="Equation.DSMT4" ShapeID="_x0000_i1026" DrawAspect="Content" ObjectID="_1635213840" r:id="rId25"/>
        </w:object>
      </w:r>
      <w:r>
        <w:tab/>
        <w:t xml:space="preserve">is a binary variable taking a value of 0 if household </w:t>
      </w:r>
      <w:r>
        <w:rPr>
          <w:i/>
        </w:rPr>
        <w:t>k</w:t>
      </w:r>
      <w:r>
        <w:t xml:space="preserve"> is assigned to the control group, and 1 if assigned to the treatment </w:t>
      </w:r>
      <w:proofErr w:type="gramStart"/>
      <w:r>
        <w:t>group</w:t>
      </w:r>
      <w:proofErr w:type="gramEnd"/>
    </w:p>
    <w:p w14:paraId="7C336618" w14:textId="77777777" w:rsidR="00393A9D" w:rsidRDefault="00393A9D" w:rsidP="00393A9D">
      <w:pPr>
        <w:keepLines/>
        <w:ind w:left="2160" w:hanging="1440"/>
      </w:pPr>
      <w:r>
        <w:rPr>
          <w:rFonts w:cs="Arial"/>
          <w:position w:val="-12"/>
          <w:szCs w:val="40"/>
        </w:rPr>
        <w:object w:dxaOrig="435" w:dyaOrig="435" w14:anchorId="31EC4400">
          <v:shape id="_x0000_i1027" type="#_x0000_t75" style="width:21.75pt;height:21.75pt" o:ole="">
            <v:imagedata r:id="rId26" o:title=""/>
          </v:shape>
          <o:OLEObject Type="Embed" ProgID="Equation.DSMT4" ShapeID="_x0000_i1027" DrawAspect="Content" ObjectID="_1635213841" r:id="rId27"/>
        </w:object>
      </w:r>
      <w:r>
        <w:tab/>
        <w:t xml:space="preserve">is a binary variable taking a value of 1 if household </w:t>
      </w:r>
      <w:r>
        <w:rPr>
          <w:i/>
        </w:rPr>
        <w:t xml:space="preserve">k </w:t>
      </w:r>
      <w:r>
        <w:t xml:space="preserve">is assigned to the terminated report </w:t>
      </w:r>
      <w:proofErr w:type="gramStart"/>
      <w:r>
        <w:t>group</w:t>
      </w:r>
      <w:proofErr w:type="gramEnd"/>
    </w:p>
    <w:p w14:paraId="5AE0B2D5" w14:textId="77777777" w:rsidR="00393A9D" w:rsidRDefault="00393A9D" w:rsidP="00393A9D">
      <w:pPr>
        <w:keepLines/>
        <w:ind w:left="2160" w:hanging="1440"/>
      </w:pPr>
      <w:r>
        <w:rPr>
          <w:rFonts w:cs="Arial"/>
          <w:position w:val="-12"/>
          <w:szCs w:val="40"/>
        </w:rPr>
        <w:object w:dxaOrig="435" w:dyaOrig="435" w14:anchorId="4FF98299">
          <v:shape id="_x0000_i1028" type="#_x0000_t75" style="width:21.75pt;height:21.75pt" o:ole="">
            <v:imagedata r:id="rId28" o:title=""/>
          </v:shape>
          <o:OLEObject Type="Embed" ProgID="Equation.DSMT4" ShapeID="_x0000_i1028" DrawAspect="Content" ObjectID="_1635213842" r:id="rId29"/>
        </w:object>
      </w:r>
      <w:r>
        <w:tab/>
        <w:t xml:space="preserve">is a binary variable taking a value of 1 if household </w:t>
      </w:r>
      <w:r>
        <w:rPr>
          <w:i/>
        </w:rPr>
        <w:t xml:space="preserve">k </w:t>
      </w:r>
      <w:r>
        <w:t xml:space="preserve">is assigned to the continued report </w:t>
      </w:r>
      <w:proofErr w:type="gramStart"/>
      <w:r>
        <w:t>group</w:t>
      </w:r>
      <w:proofErr w:type="gramEnd"/>
    </w:p>
    <w:p w14:paraId="793988FD" w14:textId="77777777" w:rsidR="00393A9D" w:rsidRDefault="00393A9D" w:rsidP="00393A9D">
      <w:pPr>
        <w:keepLines/>
        <w:ind w:left="2160" w:hanging="1440"/>
      </w:pPr>
      <w:r>
        <w:rPr>
          <w:rFonts w:cs="Arial"/>
          <w:position w:val="-12"/>
          <w:szCs w:val="40"/>
        </w:rPr>
        <w:object w:dxaOrig="870" w:dyaOrig="435" w14:anchorId="3214162D">
          <v:shape id="_x0000_i1029" type="#_x0000_t75" style="width:43.5pt;height:21.75pt" o:ole="">
            <v:imagedata r:id="rId30" o:title=""/>
          </v:shape>
          <o:OLEObject Type="Embed" ProgID="Equation.DSMT4" ShapeID="_x0000_i1029" DrawAspect="Content" ObjectID="_1635213843" r:id="rId31"/>
        </w:object>
      </w:r>
      <w:r>
        <w:tab/>
        <w:t xml:space="preserve">is household </w:t>
      </w:r>
      <w:r>
        <w:rPr>
          <w:i/>
        </w:rPr>
        <w:t>k</w:t>
      </w:r>
      <w:r>
        <w:t xml:space="preserve">’s energy use in the same calendar month of the pre-program year as the calendar month of month </w:t>
      </w:r>
      <w:r>
        <w:rPr>
          <w:i/>
        </w:rPr>
        <w:t>t</w:t>
      </w:r>
    </w:p>
    <w:p w14:paraId="2F495C87" w14:textId="77777777" w:rsidR="00393A9D" w:rsidRDefault="00393A9D" w:rsidP="00393A9D">
      <w:pPr>
        <w:keepLines/>
        <w:tabs>
          <w:tab w:val="left" w:pos="810"/>
        </w:tabs>
      </w:pPr>
      <w:r>
        <w:tab/>
      </w:r>
      <w:r>
        <w:rPr>
          <w:rFonts w:cs="Arial"/>
          <w:position w:val="-14"/>
          <w:szCs w:val="40"/>
        </w:rPr>
        <w:object w:dxaOrig="720" w:dyaOrig="435" w14:anchorId="47A39A15">
          <v:shape id="_x0000_i1030" type="#_x0000_t75" style="width:36pt;height:21.75pt" o:ole="">
            <v:imagedata r:id="rId32" o:title=""/>
          </v:shape>
          <o:OLEObject Type="Embed" ProgID="Equation.DSMT4" ShapeID="_x0000_i1030" DrawAspect="Content" ObjectID="_1635213844" r:id="rId33"/>
        </w:object>
      </w:r>
      <w:r>
        <w:tab/>
        <w:t xml:space="preserve">is a binary variable taking a value of 1 when </w:t>
      </w:r>
      <w:r>
        <w:rPr>
          <w:i/>
        </w:rPr>
        <w:t>j</w:t>
      </w:r>
      <w:r>
        <w:t xml:space="preserve"> = </w:t>
      </w:r>
      <w:r>
        <w:rPr>
          <w:i/>
        </w:rPr>
        <w:t>t</w:t>
      </w:r>
      <w:r>
        <w:t xml:space="preserve"> and 0 otherwise</w:t>
      </w:r>
      <w:r>
        <w:rPr>
          <w:rStyle w:val="FootnoteReference"/>
        </w:rPr>
        <w:footnoteReference w:id="16"/>
      </w:r>
    </w:p>
    <w:p w14:paraId="2C6F8262" w14:textId="77777777" w:rsidR="00393A9D" w:rsidRDefault="00393A9D" w:rsidP="00393A9D">
      <w:pPr>
        <w:keepLines/>
        <w:tabs>
          <w:tab w:val="left" w:pos="810"/>
        </w:tabs>
        <w:ind w:left="2160" w:hanging="2160"/>
      </w:pPr>
      <w:r>
        <w:lastRenderedPageBreak/>
        <w:tab/>
      </w:r>
      <w:r>
        <w:rPr>
          <w:rFonts w:cs="Arial"/>
          <w:position w:val="-12"/>
          <w:szCs w:val="40"/>
        </w:rPr>
        <w:object w:dxaOrig="285" w:dyaOrig="435" w14:anchorId="6A5AFA62">
          <v:shape id="_x0000_i1031" type="#_x0000_t75" style="width:14.25pt;height:21.75pt" o:ole="">
            <v:imagedata r:id="rId34" o:title=""/>
          </v:shape>
          <o:OLEObject Type="Embed" ProgID="Equation.DSMT4" ShapeID="_x0000_i1031" DrawAspect="Content" ObjectID="_1635213845" r:id="rId35"/>
        </w:object>
      </w:r>
      <w:r>
        <w:rPr>
          <w:rFonts w:ascii="Verdana" w:hAnsi="Verdana"/>
          <w:szCs w:val="20"/>
        </w:rPr>
        <w:t xml:space="preserve"> </w:t>
      </w:r>
      <w:r>
        <w:rPr>
          <w:rFonts w:ascii="Verdana" w:hAnsi="Verdana"/>
          <w:szCs w:val="20"/>
        </w:rPr>
        <w:tab/>
      </w:r>
      <w:r>
        <w:rPr>
          <w:szCs w:val="20"/>
        </w:rPr>
        <w:t>is t</w:t>
      </w:r>
      <w:r>
        <w:t xml:space="preserve">he cluster-robust error term for household </w:t>
      </w:r>
      <w:r>
        <w:rPr>
          <w:i/>
        </w:rPr>
        <w:t>k</w:t>
      </w:r>
      <w:r>
        <w:t xml:space="preserve"> during billing cycle </w:t>
      </w:r>
      <w:r>
        <w:rPr>
          <w:i/>
        </w:rPr>
        <w:t xml:space="preserve">t; </w:t>
      </w:r>
      <w:r>
        <w:t>cluster-robust errors account for heteroskedasticity and autocorrelation at the household level.</w:t>
      </w:r>
      <w:r>
        <w:rPr>
          <w:vertAlign w:val="superscript"/>
        </w:rPr>
        <w:footnoteReference w:id="17"/>
      </w:r>
    </w:p>
    <w:p w14:paraId="36CE4C85" w14:textId="77777777" w:rsidR="005D451C" w:rsidRDefault="005D451C" w:rsidP="00E809A2">
      <w:pPr>
        <w:tabs>
          <w:tab w:val="left" w:pos="810"/>
        </w:tabs>
      </w:pPr>
    </w:p>
    <w:p w14:paraId="507EDE05" w14:textId="0F5E7C2C" w:rsidR="005F32EE" w:rsidRDefault="00393A9D" w:rsidP="00E809A2">
      <w:pPr>
        <w:tabs>
          <w:tab w:val="left" w:pos="810"/>
        </w:tabs>
      </w:pPr>
      <w:r>
        <w:t xml:space="preserve">The coefficients </w:t>
      </w:r>
      <m:oMath>
        <m:sSub>
          <m:sSubPr>
            <m:ctrlPr>
              <w:rPr>
                <w:rFonts w:ascii="Cambria Math" w:hAnsi="Cambria Math" w:cs="Arial"/>
                <w:i/>
                <w:szCs w:val="40"/>
              </w:rPr>
            </m:ctrlPr>
          </m:sSubPr>
          <m:e>
            <m:r>
              <w:rPr>
                <w:rFonts w:ascii="Cambria Math" w:hAnsi="Cambria Math"/>
              </w:rPr>
              <m:t>β</m:t>
            </m:r>
          </m:e>
          <m:sub>
            <m:r>
              <w:rPr>
                <w:rFonts w:ascii="Cambria Math" w:hAnsi="Cambria Math"/>
              </w:rPr>
              <m:t>1</m:t>
            </m:r>
          </m:sub>
        </m:sSub>
      </m:oMath>
      <w:r>
        <w:t xml:space="preserve"> and </w:t>
      </w:r>
      <m:oMath>
        <m:sSub>
          <m:sSubPr>
            <m:ctrlPr>
              <w:rPr>
                <w:rFonts w:ascii="Cambria Math" w:hAnsi="Cambria Math" w:cs="Arial"/>
                <w:i/>
                <w:szCs w:val="40"/>
              </w:rPr>
            </m:ctrlPr>
          </m:sSubPr>
          <m:e>
            <m:r>
              <w:rPr>
                <w:rFonts w:ascii="Cambria Math" w:hAnsi="Cambria Math"/>
              </w:rPr>
              <m:t>β</m:t>
            </m:r>
          </m:e>
          <m:sub>
            <m:r>
              <w:rPr>
                <w:rFonts w:ascii="Cambria Math" w:hAnsi="Cambria Math"/>
              </w:rPr>
              <m:t>2</m:t>
            </m:r>
          </m:sub>
        </m:sSub>
      </m:oMath>
      <w:r>
        <w:t xml:space="preserve"> are the estimates of average daily kWh energy savings </w:t>
      </w:r>
      <w:r w:rsidR="00B3182D">
        <w:t>due to the program in the fourth</w:t>
      </w:r>
      <w:r>
        <w:t xml:space="preserve"> year after reports were terminated for the </w:t>
      </w:r>
      <w:r w:rsidR="00E809A2">
        <w:t>TR and CR groups, respectively.</w:t>
      </w:r>
    </w:p>
    <w:p w14:paraId="20FF52C4" w14:textId="77777777" w:rsidR="00D0563E" w:rsidRDefault="00D0563E" w:rsidP="00D0563E">
      <w:pPr>
        <w:pStyle w:val="Heading3"/>
        <w:rPr>
          <w:rFonts w:eastAsiaTheme="majorEastAsia" w:cstheme="majorBidi"/>
          <w:szCs w:val="24"/>
        </w:rPr>
      </w:pPr>
      <w:bookmarkStart w:id="40" w:name="_Toc498066917"/>
      <w:bookmarkStart w:id="41" w:name="_Toc493583440"/>
      <w:bookmarkStart w:id="42" w:name="_Toc408990881"/>
      <w:bookmarkStart w:id="43" w:name="_Toc403122811"/>
      <w:bookmarkStart w:id="44" w:name="_Toc378688200"/>
      <w:bookmarkStart w:id="45" w:name="_Toc525646493"/>
      <w:r>
        <w:t>Linear Fixed Effects Regression Model</w:t>
      </w:r>
      <w:bookmarkEnd w:id="40"/>
      <w:bookmarkEnd w:id="41"/>
      <w:bookmarkEnd w:id="42"/>
      <w:bookmarkEnd w:id="43"/>
      <w:bookmarkEnd w:id="44"/>
      <w:bookmarkEnd w:id="45"/>
    </w:p>
    <w:p w14:paraId="7E16F95F" w14:textId="2D65C9AF" w:rsidR="00D0563E" w:rsidRDefault="00D0563E" w:rsidP="00D0563E">
      <w:pPr>
        <w:keepNext/>
      </w:pPr>
      <w:r>
        <w:t xml:space="preserve">The version of the LFER model used by Navigant is one in which average daily consumption of kWh by household </w:t>
      </w:r>
      <w:r>
        <w:rPr>
          <w:i/>
        </w:rPr>
        <w:t xml:space="preserve">k </w:t>
      </w:r>
      <w:r>
        <w:t xml:space="preserve">in bill period </w:t>
      </w:r>
      <w:r>
        <w:rPr>
          <w:i/>
        </w:rPr>
        <w:t>t</w:t>
      </w:r>
      <w:r>
        <w:t xml:space="preserve">, denoted by </w:t>
      </w:r>
      <w:r>
        <w:rPr>
          <w:i/>
        </w:rPr>
        <w:t>ADU</w:t>
      </w:r>
      <w:r>
        <w:rPr>
          <w:i/>
          <w:vertAlign w:val="subscript"/>
        </w:rPr>
        <w:t>kt</w:t>
      </w:r>
      <w:r>
        <w:t>, is a</w:t>
      </w:r>
      <w:r w:rsidR="00E75A14">
        <w:t xml:space="preserve"> function of the following five</w:t>
      </w:r>
      <w:r>
        <w:t xml:space="preserve"> terms:</w:t>
      </w:r>
    </w:p>
    <w:p w14:paraId="34F7017C" w14:textId="77777777" w:rsidR="009F2BF9" w:rsidRDefault="009F2BF9" w:rsidP="00D0563E">
      <w:pPr>
        <w:keepNext/>
      </w:pPr>
    </w:p>
    <w:p w14:paraId="5269BF5A" w14:textId="77777777" w:rsidR="00D0563E" w:rsidRDefault="00D0563E" w:rsidP="00B807ED">
      <w:pPr>
        <w:pStyle w:val="ListParagraph"/>
        <w:keepNext/>
        <w:numPr>
          <w:ilvl w:val="0"/>
          <w:numId w:val="25"/>
        </w:numPr>
        <w:spacing w:before="0" w:after="160" w:line="256" w:lineRule="auto"/>
      </w:pPr>
      <w:r>
        <w:t xml:space="preserve">The binary variable </w:t>
      </w:r>
      <w:r>
        <w:rPr>
          <w:i/>
        </w:rPr>
        <w:t>Treatment</w:t>
      </w:r>
      <w:r>
        <w:rPr>
          <w:i/>
          <w:vertAlign w:val="subscript"/>
        </w:rPr>
        <w:t>k</w:t>
      </w:r>
    </w:p>
    <w:p w14:paraId="3DDEB3B1" w14:textId="77777777" w:rsidR="00D0563E" w:rsidRDefault="00D0563E" w:rsidP="00B807ED">
      <w:pPr>
        <w:pStyle w:val="ListParagraph"/>
        <w:numPr>
          <w:ilvl w:val="0"/>
          <w:numId w:val="25"/>
        </w:numPr>
        <w:spacing w:before="0" w:after="160" w:line="256" w:lineRule="auto"/>
      </w:pPr>
      <w:r>
        <w:t xml:space="preserve">The binary variable </w:t>
      </w:r>
      <w:r>
        <w:rPr>
          <w:i/>
        </w:rPr>
        <w:t>Post</w:t>
      </w:r>
      <w:r>
        <w:rPr>
          <w:i/>
          <w:vertAlign w:val="subscript"/>
        </w:rPr>
        <w:t>t</w:t>
      </w:r>
      <w:r>
        <w:t xml:space="preserve">, taking a value of 0 if month </w:t>
      </w:r>
      <w:r>
        <w:rPr>
          <w:i/>
        </w:rPr>
        <w:t xml:space="preserve">t </w:t>
      </w:r>
      <w:r>
        <w:t>is in the pre-treatment period, and 1 if in the post-treatment period</w:t>
      </w:r>
    </w:p>
    <w:p w14:paraId="23A05888" w14:textId="04D31C7A" w:rsidR="00D0563E" w:rsidRDefault="00D0563E" w:rsidP="00B807ED">
      <w:pPr>
        <w:pStyle w:val="ListParagraph"/>
        <w:numPr>
          <w:ilvl w:val="0"/>
          <w:numId w:val="25"/>
        </w:numPr>
        <w:spacing w:before="0" w:after="160" w:line="256" w:lineRule="auto"/>
      </w:pPr>
      <w:r>
        <w:t xml:space="preserve">The interaction between these variables, </w:t>
      </w:r>
      <w:r>
        <w:rPr>
          <w:i/>
        </w:rPr>
        <w:t>Treatment</w:t>
      </w:r>
      <w:r>
        <w:rPr>
          <w:i/>
          <w:vertAlign w:val="subscript"/>
        </w:rPr>
        <w:t>k</w:t>
      </w:r>
      <w:r>
        <w:t xml:space="preserve"> ·</w:t>
      </w:r>
      <w:r>
        <w:rPr>
          <w:i/>
        </w:rPr>
        <w:t xml:space="preserve"> Post</w:t>
      </w:r>
      <w:r>
        <w:rPr>
          <w:i/>
          <w:vertAlign w:val="subscript"/>
        </w:rPr>
        <w:t>t</w:t>
      </w:r>
      <w:r>
        <w:t>, taking the value of 1 at time t for household k if a treatment household is operating in the post-treatment period</w:t>
      </w:r>
    </w:p>
    <w:p w14:paraId="31F820AE" w14:textId="78E4660D" w:rsidR="00E75A14" w:rsidRDefault="00E75A14" w:rsidP="00B807ED">
      <w:pPr>
        <w:pStyle w:val="ListParagraph"/>
        <w:numPr>
          <w:ilvl w:val="0"/>
          <w:numId w:val="25"/>
        </w:numPr>
        <w:spacing w:before="0" w:after="160" w:line="256" w:lineRule="auto"/>
      </w:pPr>
      <w:r>
        <w:t xml:space="preserve">The binary variable </w:t>
      </w:r>
      <w:r w:rsidRPr="004455FE">
        <w:rPr>
          <w:i/>
        </w:rPr>
        <w:t>TR</w:t>
      </w:r>
      <w:r w:rsidRPr="004455FE">
        <w:rPr>
          <w:i/>
          <w:vertAlign w:val="subscript"/>
        </w:rPr>
        <w:t>k</w:t>
      </w:r>
      <w:r>
        <w:t xml:space="preserve"> taking a value of 1 if the customer was</w:t>
      </w:r>
      <w:r w:rsidR="000A14C7">
        <w:t xml:space="preserve"> in the TR</w:t>
      </w:r>
      <w:r>
        <w:t xml:space="preserve"> group and 0 otherwise</w:t>
      </w:r>
    </w:p>
    <w:p w14:paraId="59711AF8" w14:textId="5CF17DEA" w:rsidR="00D0563E" w:rsidRDefault="00E75A14" w:rsidP="00B807ED">
      <w:pPr>
        <w:pStyle w:val="ListParagraph"/>
        <w:numPr>
          <w:ilvl w:val="0"/>
          <w:numId w:val="25"/>
        </w:numPr>
        <w:spacing w:before="0" w:after="160" w:line="256" w:lineRule="auto"/>
      </w:pPr>
      <w:r>
        <w:t xml:space="preserve">The binary variable </w:t>
      </w:r>
      <w:r w:rsidRPr="004455FE">
        <w:rPr>
          <w:i/>
        </w:rPr>
        <w:t>CR</w:t>
      </w:r>
      <w:r w:rsidRPr="004455FE">
        <w:rPr>
          <w:i/>
          <w:vertAlign w:val="subscript"/>
        </w:rPr>
        <w:t>k</w:t>
      </w:r>
      <w:r>
        <w:t xml:space="preserve"> taking a value of 1 if the custom</w:t>
      </w:r>
      <w:r w:rsidR="000A14C7">
        <w:t>er was in the CR</w:t>
      </w:r>
      <w:r>
        <w:t xml:space="preserve"> group and 0 otherwise</w:t>
      </w:r>
    </w:p>
    <w:p w14:paraId="63247375" w14:textId="0BF323F0" w:rsidR="00D0563E" w:rsidRDefault="00D0563E" w:rsidP="00D0563E">
      <w:r>
        <w:t>Formally,</w:t>
      </w:r>
      <w:r w:rsidR="000A14C7">
        <w:t xml:space="preserve"> the LFER model is</w:t>
      </w:r>
      <w:r>
        <w:t xml:space="preserve"> shown in</w:t>
      </w:r>
      <w:r w:rsidR="000868F0">
        <w:t xml:space="preserve"> </w:t>
      </w:r>
      <w:r w:rsidR="000868F0">
        <w:fldChar w:fldCharType="begin"/>
      </w:r>
      <w:r w:rsidR="000868F0">
        <w:instrText xml:space="preserve"> REF _Ref520357801 \h </w:instrText>
      </w:r>
      <w:r w:rsidR="000868F0">
        <w:fldChar w:fldCharType="separate"/>
      </w:r>
      <w:r w:rsidR="006E4D05">
        <w:t xml:space="preserve">Equation </w:t>
      </w:r>
      <w:r w:rsidR="006E4D05">
        <w:rPr>
          <w:noProof/>
        </w:rPr>
        <w:t>5</w:t>
      </w:r>
      <w:r w:rsidR="006E4D05">
        <w:noBreakHyphen/>
      </w:r>
      <w:r w:rsidR="006E4D05">
        <w:rPr>
          <w:noProof/>
        </w:rPr>
        <w:t>2</w:t>
      </w:r>
      <w:r w:rsidR="000868F0">
        <w:fldChar w:fldCharType="end"/>
      </w:r>
      <w:r w:rsidR="000868F0">
        <w:t>.</w:t>
      </w:r>
    </w:p>
    <w:p w14:paraId="6AFEFA5A" w14:textId="77777777" w:rsidR="000868F0" w:rsidRDefault="000868F0" w:rsidP="00D0563E"/>
    <w:p w14:paraId="086E47C4" w14:textId="1614F4AE" w:rsidR="00D0563E" w:rsidRDefault="000868F0" w:rsidP="000868F0">
      <w:pPr>
        <w:pStyle w:val="Caption"/>
      </w:pPr>
      <w:bookmarkStart w:id="46" w:name="_Ref520357801"/>
      <w:r>
        <w:t xml:space="preserve">Equation </w:t>
      </w:r>
      <w:fldSimple w:instr=" STYLEREF 1 \s ">
        <w:r w:rsidR="006E4D05">
          <w:rPr>
            <w:noProof/>
          </w:rPr>
          <w:t>5</w:t>
        </w:r>
      </w:fldSimple>
      <w:r w:rsidR="00410E15">
        <w:noBreakHyphen/>
      </w:r>
      <w:fldSimple w:instr=" SEQ Equation \* ARABIC \s 1 ">
        <w:r w:rsidR="006E4D05">
          <w:rPr>
            <w:noProof/>
          </w:rPr>
          <w:t>2</w:t>
        </w:r>
      </w:fldSimple>
      <w:bookmarkEnd w:id="46"/>
      <w:r>
        <w:t>. Linear Fixed Effects Regression Model</w:t>
      </w:r>
    </w:p>
    <w:p w14:paraId="3D2CEA94" w14:textId="77777777" w:rsidR="00D0563E" w:rsidRDefault="00273FB1" w:rsidP="00D0563E">
      <m:oMathPara>
        <m:oMath>
          <m:sSub>
            <m:sSubPr>
              <m:ctrlPr>
                <w:rPr>
                  <w:rFonts w:ascii="Cambria Math" w:hAnsi="Cambria Math" w:cs="Arial"/>
                  <w:i/>
                  <w:szCs w:val="40"/>
                </w:rPr>
              </m:ctrlPr>
            </m:sSubPr>
            <m:e>
              <m:r>
                <w:rPr>
                  <w:rFonts w:ascii="Cambria Math" w:hAnsi="Cambria Math"/>
                </w:rPr>
                <m:t>ADU</m:t>
              </m:r>
            </m:e>
            <m:sub>
              <m:r>
                <w:rPr>
                  <w:rFonts w:ascii="Cambria Math" w:hAnsi="Cambria Math"/>
                </w:rPr>
                <m:t>kt</m:t>
              </m:r>
            </m:sub>
          </m:sSub>
          <m:r>
            <w:rPr>
              <w:rFonts w:ascii="Cambria Math" w:hAnsi="Cambria Math"/>
            </w:rPr>
            <m:t>=</m:t>
          </m:r>
          <m:sSub>
            <m:sSubPr>
              <m:ctrlPr>
                <w:rPr>
                  <w:rFonts w:ascii="Cambria Math" w:hAnsi="Cambria Math" w:cs="Arial"/>
                  <w:i/>
                  <w:szCs w:val="40"/>
                </w:rPr>
              </m:ctrlPr>
            </m:sSubPr>
            <m:e>
              <m:r>
                <w:rPr>
                  <w:rFonts w:ascii="Cambria Math" w:hAnsi="Cambria Math"/>
                </w:rPr>
                <m:t>α</m:t>
              </m:r>
            </m:e>
            <m:sub>
              <m:r>
                <w:rPr>
                  <w:rFonts w:ascii="Cambria Math" w:hAnsi="Cambria Math"/>
                </w:rPr>
                <m:t>0k</m:t>
              </m:r>
            </m:sub>
          </m:sSub>
          <m:r>
            <w:rPr>
              <w:rFonts w:ascii="Cambria Math" w:hAnsi="Cambria Math"/>
            </w:rPr>
            <m:t>+</m:t>
          </m:r>
          <m:sSub>
            <m:sSubPr>
              <m:ctrlPr>
                <w:rPr>
                  <w:rFonts w:ascii="Cambria Math" w:hAnsi="Cambria Math" w:cs="Arial"/>
                  <w:i/>
                  <w:szCs w:val="40"/>
                </w:rPr>
              </m:ctrlPr>
            </m:sSubPr>
            <m:e>
              <m:r>
                <w:rPr>
                  <w:rFonts w:ascii="Cambria Math" w:hAnsi="Cambria Math"/>
                </w:rPr>
                <m:t>α</m:t>
              </m:r>
            </m:e>
            <m:sub>
              <m:r>
                <w:rPr>
                  <w:rFonts w:ascii="Cambria Math" w:hAnsi="Cambria Math"/>
                </w:rPr>
                <m:t>1</m:t>
              </m:r>
            </m:sub>
          </m:sSub>
          <m:sSub>
            <m:sSubPr>
              <m:ctrlPr>
                <w:rPr>
                  <w:rFonts w:ascii="Cambria Math" w:hAnsi="Cambria Math" w:cs="Arial"/>
                  <w:i/>
                  <w:szCs w:val="40"/>
                </w:rPr>
              </m:ctrlPr>
            </m:sSubPr>
            <m:e>
              <m:r>
                <w:rPr>
                  <w:rFonts w:ascii="Cambria Math" w:hAnsi="Cambria Math"/>
                </w:rPr>
                <m:t>Post</m:t>
              </m:r>
            </m:e>
            <m:sub>
              <m:r>
                <w:rPr>
                  <w:rFonts w:ascii="Cambria Math" w:hAnsi="Cambria Math"/>
                </w:rPr>
                <m:t>t</m:t>
              </m:r>
            </m:sub>
          </m:sSub>
          <m:r>
            <w:rPr>
              <w:rFonts w:ascii="Cambria Math" w:hAnsi="Cambria Math"/>
            </w:rPr>
            <m:t>+</m:t>
          </m:r>
          <m:sSub>
            <m:sSubPr>
              <m:ctrlPr>
                <w:rPr>
                  <w:rFonts w:ascii="Cambria Math" w:hAnsi="Cambria Math" w:cs="Arial"/>
                  <w:i/>
                  <w:szCs w:val="40"/>
                </w:rPr>
              </m:ctrlPr>
            </m:sSubPr>
            <m:e>
              <m:r>
                <w:rPr>
                  <w:rFonts w:ascii="Cambria Math" w:hAnsi="Cambria Math"/>
                </w:rPr>
                <m:t>α</m:t>
              </m:r>
            </m:e>
            <m:sub>
              <m:r>
                <w:rPr>
                  <w:rFonts w:ascii="Cambria Math" w:hAnsi="Cambria Math"/>
                </w:rPr>
                <m:t>2</m:t>
              </m:r>
            </m:sub>
          </m:sSub>
          <m:sSub>
            <m:sSubPr>
              <m:ctrlPr>
                <w:rPr>
                  <w:rFonts w:ascii="Cambria Math" w:hAnsi="Cambria Math" w:cs="Arial"/>
                  <w:i/>
                  <w:szCs w:val="40"/>
                </w:rPr>
              </m:ctrlPr>
            </m:sSubPr>
            <m:e>
              <m:r>
                <w:rPr>
                  <w:rFonts w:ascii="Cambria Math" w:hAnsi="Cambria Math"/>
                </w:rPr>
                <m:t>Treatment</m:t>
              </m:r>
            </m:e>
            <m:sub>
              <m:r>
                <w:rPr>
                  <w:rFonts w:ascii="Cambria Math" w:hAnsi="Cambria Math"/>
                </w:rPr>
                <m:t>k</m:t>
              </m:r>
            </m:sub>
          </m:sSub>
          <m:r>
            <w:rPr>
              <w:rFonts w:ascii="Cambria Math" w:hAnsi="Cambria Math"/>
            </w:rPr>
            <m:t>∙T</m:t>
          </m:r>
          <m:sSub>
            <m:sSubPr>
              <m:ctrlPr>
                <w:rPr>
                  <w:rFonts w:ascii="Cambria Math" w:hAnsi="Cambria Math" w:cs="Arial"/>
                  <w:i/>
                  <w:szCs w:val="40"/>
                </w:rPr>
              </m:ctrlPr>
            </m:sSubPr>
            <m:e>
              <m:r>
                <w:rPr>
                  <w:rFonts w:ascii="Cambria Math" w:hAnsi="Cambria Math"/>
                </w:rPr>
                <m:t>R</m:t>
              </m:r>
            </m:e>
            <m:sub>
              <m:r>
                <w:rPr>
                  <w:rFonts w:ascii="Cambria Math" w:hAnsi="Cambria Math"/>
                </w:rPr>
                <m:t>k</m:t>
              </m:r>
            </m:sub>
          </m:sSub>
          <m:r>
            <w:rPr>
              <w:rFonts w:ascii="Cambria Math" w:hAnsi="Cambria Math"/>
            </w:rPr>
            <m:t>∙</m:t>
          </m:r>
          <m:sSub>
            <m:sSubPr>
              <m:ctrlPr>
                <w:rPr>
                  <w:rFonts w:ascii="Cambria Math" w:hAnsi="Cambria Math" w:cs="Arial"/>
                  <w:i/>
                  <w:szCs w:val="40"/>
                </w:rPr>
              </m:ctrlPr>
            </m:sSubPr>
            <m:e>
              <m:r>
                <w:rPr>
                  <w:rFonts w:ascii="Cambria Math" w:hAnsi="Cambria Math"/>
                </w:rPr>
                <m:t>Post</m:t>
              </m:r>
            </m:e>
            <m:sub>
              <m:r>
                <w:rPr>
                  <w:rFonts w:ascii="Cambria Math" w:hAnsi="Cambria Math"/>
                </w:rPr>
                <m:t>t</m:t>
              </m:r>
            </m:sub>
          </m:sSub>
          <m:r>
            <w:rPr>
              <w:rFonts w:ascii="Cambria Math" w:hAnsi="Cambria Math"/>
            </w:rPr>
            <m:t>+</m:t>
          </m:r>
          <m:sSub>
            <m:sSubPr>
              <m:ctrlPr>
                <w:rPr>
                  <w:rFonts w:ascii="Cambria Math" w:hAnsi="Cambria Math" w:cs="Arial"/>
                  <w:i/>
                  <w:szCs w:val="40"/>
                </w:rPr>
              </m:ctrlPr>
            </m:sSubPr>
            <m:e>
              <m:r>
                <w:rPr>
                  <w:rFonts w:ascii="Cambria Math" w:hAnsi="Cambria Math"/>
                </w:rPr>
                <m:t>α</m:t>
              </m:r>
            </m:e>
            <m:sub>
              <m:r>
                <w:rPr>
                  <w:rFonts w:ascii="Cambria Math" w:hAnsi="Cambria Math"/>
                </w:rPr>
                <m:t>3</m:t>
              </m:r>
            </m:sub>
          </m:sSub>
          <m:sSub>
            <m:sSubPr>
              <m:ctrlPr>
                <w:rPr>
                  <w:rFonts w:ascii="Cambria Math" w:hAnsi="Cambria Math" w:cs="Arial"/>
                  <w:i/>
                  <w:szCs w:val="40"/>
                </w:rPr>
              </m:ctrlPr>
            </m:sSubPr>
            <m:e>
              <m:r>
                <w:rPr>
                  <w:rFonts w:ascii="Cambria Math" w:hAnsi="Cambria Math"/>
                </w:rPr>
                <m:t>Treatment</m:t>
              </m:r>
            </m:e>
            <m:sub>
              <m:r>
                <w:rPr>
                  <w:rFonts w:ascii="Cambria Math" w:hAnsi="Cambria Math"/>
                </w:rPr>
                <m:t>k</m:t>
              </m:r>
            </m:sub>
          </m:sSub>
          <m:r>
            <w:rPr>
              <w:rFonts w:ascii="Cambria Math" w:hAnsi="Cambria Math"/>
            </w:rPr>
            <m:t>∙C</m:t>
          </m:r>
          <m:sSub>
            <m:sSubPr>
              <m:ctrlPr>
                <w:rPr>
                  <w:rFonts w:ascii="Cambria Math" w:hAnsi="Cambria Math" w:cs="Arial"/>
                  <w:i/>
                  <w:szCs w:val="40"/>
                </w:rPr>
              </m:ctrlPr>
            </m:sSubPr>
            <m:e>
              <m:r>
                <w:rPr>
                  <w:rFonts w:ascii="Cambria Math" w:hAnsi="Cambria Math"/>
                </w:rPr>
                <m:t>R</m:t>
              </m:r>
            </m:e>
            <m:sub>
              <m:r>
                <w:rPr>
                  <w:rFonts w:ascii="Cambria Math" w:hAnsi="Cambria Math"/>
                </w:rPr>
                <m:t>k</m:t>
              </m:r>
            </m:sub>
          </m:sSub>
          <m:r>
            <w:rPr>
              <w:rFonts w:ascii="Cambria Math" w:hAnsi="Cambria Math"/>
            </w:rPr>
            <m:t>∙</m:t>
          </m:r>
          <m:sSub>
            <m:sSubPr>
              <m:ctrlPr>
                <w:rPr>
                  <w:rFonts w:ascii="Cambria Math" w:hAnsi="Cambria Math" w:cs="Arial"/>
                  <w:i/>
                  <w:szCs w:val="40"/>
                </w:rPr>
              </m:ctrlPr>
            </m:sSubPr>
            <m:e>
              <m:r>
                <w:rPr>
                  <w:rFonts w:ascii="Cambria Math" w:hAnsi="Cambria Math"/>
                </w:rPr>
                <m:t>Post</m:t>
              </m:r>
            </m:e>
            <m:sub>
              <m:r>
                <w:rPr>
                  <w:rFonts w:ascii="Cambria Math" w:hAnsi="Cambria Math"/>
                </w:rPr>
                <m:t>t</m:t>
              </m:r>
            </m:sub>
          </m:sSub>
          <m:r>
            <w:rPr>
              <w:rFonts w:ascii="Cambria Math" w:hAnsi="Cambria Math"/>
            </w:rPr>
            <m:t>+</m:t>
          </m:r>
          <m:sSub>
            <m:sSubPr>
              <m:ctrlPr>
                <w:rPr>
                  <w:rFonts w:ascii="Cambria Math" w:hAnsi="Cambria Math" w:cs="Arial"/>
                  <w:i/>
                  <w:szCs w:val="40"/>
                </w:rPr>
              </m:ctrlPr>
            </m:sSubPr>
            <m:e>
              <m:r>
                <w:rPr>
                  <w:rFonts w:ascii="Cambria Math" w:hAnsi="Cambria Math"/>
                </w:rPr>
                <m:t>ε</m:t>
              </m:r>
            </m:e>
            <m:sub>
              <m:r>
                <w:rPr>
                  <w:rFonts w:ascii="Cambria Math" w:hAnsi="Cambria Math"/>
                </w:rPr>
                <m:t>kt</m:t>
              </m:r>
            </m:sub>
          </m:sSub>
        </m:oMath>
      </m:oMathPara>
    </w:p>
    <w:p w14:paraId="7F2FFCA3" w14:textId="77777777" w:rsidR="00D0563E" w:rsidRDefault="00D0563E" w:rsidP="00D0563E"/>
    <w:p w14:paraId="7A95453D" w14:textId="5ADA2E26" w:rsidR="002B1721" w:rsidRDefault="00D0563E" w:rsidP="00D0563E">
      <w:r>
        <w:t>Three observations about this specification deserve comment. First, the coefficient α</w:t>
      </w:r>
      <w:r w:rsidRPr="00CF0937">
        <w:rPr>
          <w:vertAlign w:val="subscript"/>
        </w:rPr>
        <w:t>0k</w:t>
      </w:r>
      <w:r>
        <w:t xml:space="preserve"> captures all household-specific effects on energy use that do not change over time, including those that are unobservable to the researcher. Second, α</w:t>
      </w:r>
      <w:r>
        <w:rPr>
          <w:vertAlign w:val="subscript"/>
        </w:rPr>
        <w:t>1</w:t>
      </w:r>
      <w:r>
        <w:t xml:space="preserve"> captures the average effect across all households of being in the post-treatment period. Third, the effect of being both in the treatment group and in the post period – the effect directly attributable to the program – is captured by the coefficient α</w:t>
      </w:r>
      <w:r>
        <w:rPr>
          <w:vertAlign w:val="subscript"/>
        </w:rPr>
        <w:t xml:space="preserve">2 </w:t>
      </w:r>
      <w:r>
        <w:t>for the TR group and α</w:t>
      </w:r>
      <w:r>
        <w:rPr>
          <w:vertAlign w:val="subscript"/>
        </w:rPr>
        <w:t xml:space="preserve">3 </w:t>
      </w:r>
      <w:r>
        <w:t>for the CR group. In other words, whereas the coefficient α</w:t>
      </w:r>
      <w:r>
        <w:rPr>
          <w:vertAlign w:val="subscript"/>
        </w:rPr>
        <w:t>1</w:t>
      </w:r>
      <w:r>
        <w:t xml:space="preserve"> captures the change in average daily kWh use between the pre- and post-treatment time periods for both the treatment and the control</w:t>
      </w:r>
      <w:r>
        <w:rPr>
          <w:i/>
        </w:rPr>
        <w:t xml:space="preserve"> </w:t>
      </w:r>
      <w:r>
        <w:t>group, the sums α</w:t>
      </w:r>
      <w:r>
        <w:rPr>
          <w:vertAlign w:val="subscript"/>
        </w:rPr>
        <w:t>1</w:t>
      </w:r>
      <w:r>
        <w:t xml:space="preserve"> +α</w:t>
      </w:r>
      <w:r>
        <w:rPr>
          <w:vertAlign w:val="subscript"/>
        </w:rPr>
        <w:t>2</w:t>
      </w:r>
      <w:r>
        <w:t xml:space="preserve"> and α</w:t>
      </w:r>
      <w:r>
        <w:rPr>
          <w:vertAlign w:val="subscript"/>
        </w:rPr>
        <w:t>1</w:t>
      </w:r>
      <w:r>
        <w:t xml:space="preserve"> +α</w:t>
      </w:r>
      <w:r>
        <w:rPr>
          <w:vertAlign w:val="subscript"/>
        </w:rPr>
        <w:t>3</w:t>
      </w:r>
      <w:r>
        <w:t xml:space="preserve"> capture this change exclusively for the TR treatment group and CR treatment group, and so α</w:t>
      </w:r>
      <w:r>
        <w:rPr>
          <w:vertAlign w:val="subscript"/>
        </w:rPr>
        <w:t>2</w:t>
      </w:r>
      <w:r>
        <w:t xml:space="preserve"> and α</w:t>
      </w:r>
      <w:r>
        <w:rPr>
          <w:vertAlign w:val="subscript"/>
        </w:rPr>
        <w:t>3</w:t>
      </w:r>
      <w:r>
        <w:t xml:space="preserve"> are the estimates of average daily kWh energy savings due to the program in the fourth year after reports were terminated for the </w:t>
      </w:r>
      <w:r w:rsidR="0093697A">
        <w:t>TR and CR groups, respectively.</w:t>
      </w:r>
    </w:p>
    <w:p w14:paraId="43DC311F" w14:textId="77777777" w:rsidR="002B1721" w:rsidRDefault="002B1721" w:rsidP="002B1721">
      <w:pPr>
        <w:pStyle w:val="Heading2"/>
        <w:rPr>
          <w:rFonts w:eastAsiaTheme="majorEastAsia" w:cstheme="majorBidi"/>
          <w:szCs w:val="26"/>
        </w:rPr>
      </w:pPr>
      <w:bookmarkStart w:id="47" w:name="_Toc440555162"/>
      <w:bookmarkStart w:id="48" w:name="_Toc498066907"/>
      <w:bookmarkStart w:id="49" w:name="_Toc493583430"/>
      <w:bookmarkStart w:id="50" w:name="_Ref455390616"/>
      <w:bookmarkStart w:id="51" w:name="_Toc525646494"/>
      <w:r>
        <w:t>Estimating Decay</w:t>
      </w:r>
      <w:bookmarkEnd w:id="47"/>
      <w:r>
        <w:t xml:space="preserve"> of Savings</w:t>
      </w:r>
      <w:bookmarkEnd w:id="48"/>
      <w:bookmarkEnd w:id="49"/>
      <w:bookmarkEnd w:id="50"/>
      <w:bookmarkEnd w:id="51"/>
    </w:p>
    <w:p w14:paraId="7155564A" w14:textId="54D1384F" w:rsidR="002B1721" w:rsidRDefault="002B1721" w:rsidP="002B1721">
      <w:r>
        <w:t xml:space="preserve">The decay rate for any year </w:t>
      </w:r>
      <w:r>
        <w:rPr>
          <w:i/>
        </w:rPr>
        <w:t>t</w:t>
      </w:r>
      <w:r>
        <w:t xml:space="preserve"> is equal to one minus the ratio of the percentage savings for the TR group in the </w:t>
      </w:r>
      <w:r>
        <w:rPr>
          <w:i/>
        </w:rPr>
        <w:t>t</w:t>
      </w:r>
      <w:r>
        <w:rPr>
          <w:i/>
          <w:vertAlign w:val="superscript"/>
        </w:rPr>
        <w:t>th</w:t>
      </w:r>
      <w:r>
        <w:t xml:space="preserve"> year after the reports were discontinued to percentage savings for the CR group in that same year. </w:t>
      </w:r>
      <w:r>
        <w:fldChar w:fldCharType="begin"/>
      </w:r>
      <w:r>
        <w:instrText xml:space="preserve"> REF _Ref520372086 \h </w:instrText>
      </w:r>
      <w:r>
        <w:fldChar w:fldCharType="separate"/>
      </w:r>
      <w:r w:rsidR="006E4D05">
        <w:t xml:space="preserve">Equation </w:t>
      </w:r>
      <w:r w:rsidR="006E4D05">
        <w:rPr>
          <w:noProof/>
        </w:rPr>
        <w:t>5</w:t>
      </w:r>
      <w:r w:rsidR="006E4D05">
        <w:noBreakHyphen/>
      </w:r>
      <w:r w:rsidR="006E4D05">
        <w:rPr>
          <w:noProof/>
        </w:rPr>
        <w:t>3</w:t>
      </w:r>
      <w:r>
        <w:fldChar w:fldCharType="end"/>
      </w:r>
      <w:r>
        <w:t xml:space="preserve"> shows this calculation, where </w:t>
      </w:r>
      <m:oMath>
        <m:sSub>
          <m:sSubPr>
            <m:ctrlPr>
              <w:rPr>
                <w:rFonts w:ascii="Cambria Math" w:hAnsi="Cambria Math" w:cs="Arial"/>
                <w:i/>
                <w:szCs w:val="40"/>
              </w:rPr>
            </m:ctrlPr>
          </m:sSubPr>
          <m:e>
            <m:r>
              <w:rPr>
                <w:rFonts w:ascii="Cambria Math" w:hAnsi="Cambria Math"/>
              </w:rPr>
              <m:t>δ</m:t>
            </m:r>
          </m:e>
          <m:sub>
            <m:r>
              <w:rPr>
                <w:rFonts w:ascii="Cambria Math" w:hAnsi="Cambria Math"/>
              </w:rPr>
              <m:t>t</m:t>
            </m:r>
          </m:sub>
        </m:sSub>
      </m:oMath>
      <w:r>
        <w:t xml:space="preserve"> is the decay rate </w:t>
      </w:r>
      <w:r w:rsidR="008233B5">
        <w:t xml:space="preserve">to </w:t>
      </w:r>
      <w:r>
        <w:t xml:space="preserve">the </w:t>
      </w:r>
      <w:r>
        <w:rPr>
          <w:i/>
        </w:rPr>
        <w:t>t</w:t>
      </w:r>
      <w:r>
        <w:rPr>
          <w:i/>
          <w:vertAlign w:val="superscript"/>
        </w:rPr>
        <w:t>th</w:t>
      </w:r>
      <w:r>
        <w:t xml:space="preserve"> year after reports were discontinued.</w:t>
      </w:r>
    </w:p>
    <w:p w14:paraId="6D6CE654" w14:textId="77777777" w:rsidR="00F77ECB" w:rsidRDefault="00F77ECB" w:rsidP="002B1721"/>
    <w:p w14:paraId="71DC4187" w14:textId="0427B0B4" w:rsidR="002B1721" w:rsidRDefault="002B1721" w:rsidP="002B1721">
      <w:pPr>
        <w:pStyle w:val="Caption"/>
      </w:pPr>
      <w:bookmarkStart w:id="52" w:name="_Ref520372086"/>
      <w:r>
        <w:lastRenderedPageBreak/>
        <w:t xml:space="preserve">Equation </w:t>
      </w:r>
      <w:fldSimple w:instr=" STYLEREF 1 \s ">
        <w:r w:rsidR="006E4D05">
          <w:rPr>
            <w:noProof/>
          </w:rPr>
          <w:t>5</w:t>
        </w:r>
      </w:fldSimple>
      <w:r w:rsidR="00410E15">
        <w:noBreakHyphen/>
      </w:r>
      <w:fldSimple w:instr=" SEQ Equation \* ARABIC \s 1 ">
        <w:r w:rsidR="006E4D05">
          <w:rPr>
            <w:noProof/>
          </w:rPr>
          <w:t>3</w:t>
        </w:r>
      </w:fldSimple>
      <w:bookmarkEnd w:id="52"/>
      <w:r>
        <w:t>. Decay Rate</w:t>
      </w:r>
      <w:r w:rsidR="008233B5">
        <w:t xml:space="preserve"> to Year </w:t>
      </w:r>
      <w:r w:rsidR="008233B5" w:rsidRPr="00517C60">
        <w:rPr>
          <w:i/>
        </w:rPr>
        <w:t>t</w:t>
      </w:r>
    </w:p>
    <w:p w14:paraId="29CAC092" w14:textId="77777777" w:rsidR="002B1721" w:rsidRDefault="00273FB1" w:rsidP="002B1721">
      <w:pPr>
        <w:spacing w:before="120"/>
      </w:pPr>
      <m:oMathPara>
        <m:oMath>
          <m:sSub>
            <m:sSubPr>
              <m:ctrlPr>
                <w:rPr>
                  <w:rFonts w:ascii="Cambria Math" w:hAnsi="Cambria Math" w:cs="Arial"/>
                  <w:i/>
                  <w:szCs w:val="40"/>
                </w:rPr>
              </m:ctrlPr>
            </m:sSubPr>
            <m:e>
              <m:r>
                <w:rPr>
                  <w:rFonts w:ascii="Cambria Math" w:hAnsi="Cambria Math"/>
                </w:rPr>
                <m:t>δ</m:t>
              </m:r>
            </m:e>
            <m:sub>
              <m:r>
                <w:rPr>
                  <w:rFonts w:ascii="Cambria Math" w:hAnsi="Cambria Math"/>
                </w:rPr>
                <m:t>t</m:t>
              </m:r>
            </m:sub>
          </m:sSub>
          <m:r>
            <w:rPr>
              <w:rFonts w:ascii="Cambria Math" w:hAnsi="Cambria Math"/>
            </w:rPr>
            <m:t>=1-</m:t>
          </m:r>
          <m:f>
            <m:fPr>
              <m:ctrlPr>
                <w:rPr>
                  <w:rFonts w:ascii="Cambria Math" w:hAnsi="Cambria Math" w:cs="Arial"/>
                  <w:i/>
                  <w:szCs w:val="40"/>
                </w:rPr>
              </m:ctrlPr>
            </m:fPr>
            <m:num>
              <m:r>
                <w:rPr>
                  <w:rFonts w:ascii="Cambria Math" w:hAnsi="Cambria Math"/>
                </w:rPr>
                <m:t xml:space="preserve">% Savings for TR in </m:t>
              </m:r>
              <m:sSup>
                <m:sSupPr>
                  <m:ctrlPr>
                    <w:rPr>
                      <w:rFonts w:ascii="Cambria Math" w:hAnsi="Cambria Math" w:cs="Arial"/>
                      <w:i/>
                      <w:szCs w:val="40"/>
                    </w:rPr>
                  </m:ctrlPr>
                </m:sSupPr>
                <m:e>
                  <m:r>
                    <w:rPr>
                      <w:rFonts w:ascii="Cambria Math" w:hAnsi="Cambria Math"/>
                    </w:rPr>
                    <m:t>t</m:t>
                  </m:r>
                </m:e>
                <m:sup>
                  <m:r>
                    <w:rPr>
                      <w:rFonts w:ascii="Cambria Math" w:hAnsi="Cambria Math"/>
                    </w:rPr>
                    <m:t>th</m:t>
                  </m:r>
                </m:sup>
              </m:sSup>
              <m:r>
                <w:rPr>
                  <w:rFonts w:ascii="Cambria Math" w:hAnsi="Cambria Math"/>
                </w:rPr>
                <m:t xml:space="preserve"> year after reports stop</m:t>
              </m:r>
            </m:num>
            <m:den>
              <m:r>
                <w:rPr>
                  <w:rFonts w:ascii="Cambria Math" w:hAnsi="Cambria Math"/>
                </w:rPr>
                <m:t xml:space="preserve">% Savings for CR in </m:t>
              </m:r>
              <m:sSup>
                <m:sSupPr>
                  <m:ctrlPr>
                    <w:rPr>
                      <w:rFonts w:ascii="Cambria Math" w:hAnsi="Cambria Math" w:cs="Arial"/>
                      <w:i/>
                      <w:szCs w:val="40"/>
                    </w:rPr>
                  </m:ctrlPr>
                </m:sSupPr>
                <m:e>
                  <m:r>
                    <w:rPr>
                      <w:rFonts w:ascii="Cambria Math" w:hAnsi="Cambria Math"/>
                    </w:rPr>
                    <m:t>t</m:t>
                  </m:r>
                </m:e>
                <m:sup>
                  <m:r>
                    <w:rPr>
                      <w:rFonts w:ascii="Cambria Math" w:hAnsi="Cambria Math"/>
                    </w:rPr>
                    <m:t>th</m:t>
                  </m:r>
                </m:sup>
              </m:sSup>
              <m:r>
                <w:rPr>
                  <w:rFonts w:ascii="Cambria Math" w:hAnsi="Cambria Math"/>
                </w:rPr>
                <m:t xml:space="preserve"> year after reports stop for TR</m:t>
              </m:r>
            </m:den>
          </m:f>
        </m:oMath>
      </m:oMathPara>
    </w:p>
    <w:p w14:paraId="624A6380" w14:textId="6E9A4AC1" w:rsidR="002B1721" w:rsidRDefault="002B1721" w:rsidP="001D238C"/>
    <w:p w14:paraId="786B0F8B" w14:textId="592EB867" w:rsidR="00410E15" w:rsidRDefault="00410E15" w:rsidP="00410E15">
      <w:bookmarkStart w:id="53" w:name="_Ref524343287"/>
      <w:r>
        <w:t xml:space="preserve">Navigant uses the average annual decay rate to determine lifetime persistence savings and measure life for each wave. </w:t>
      </w:r>
      <w:r w:rsidR="009F212B">
        <w:fldChar w:fldCharType="begin"/>
      </w:r>
      <w:r w:rsidR="009F212B">
        <w:instrText xml:space="preserve"> REF _Ref524620867 \h </w:instrText>
      </w:r>
      <w:r w:rsidR="009F212B">
        <w:fldChar w:fldCharType="separate"/>
      </w:r>
      <w:r w:rsidR="006E4D05">
        <w:t xml:space="preserve">Equation </w:t>
      </w:r>
      <w:r w:rsidR="006E4D05">
        <w:rPr>
          <w:noProof/>
        </w:rPr>
        <w:t>5</w:t>
      </w:r>
      <w:r w:rsidR="006E4D05">
        <w:noBreakHyphen/>
      </w:r>
      <w:r w:rsidR="006E4D05">
        <w:rPr>
          <w:noProof/>
        </w:rPr>
        <w:t>4</w:t>
      </w:r>
      <w:r w:rsidR="009F212B">
        <w:fldChar w:fldCharType="end"/>
      </w:r>
      <w:r>
        <w:t xml:space="preserve"> identifies the formula to calculate annual decay, where </w:t>
      </w:r>
      <m:oMath>
        <m:r>
          <w:rPr>
            <w:rFonts w:ascii="Cambria Math" w:hAnsi="Cambria Math" w:cs="Arial"/>
            <w:szCs w:val="40"/>
          </w:rPr>
          <m:t>∆</m:t>
        </m:r>
      </m:oMath>
      <w:r>
        <w:rPr>
          <w:rFonts w:eastAsiaTheme="minorEastAsia"/>
          <w:szCs w:val="40"/>
        </w:rPr>
        <w:t xml:space="preserve"> is the decay rate, and </w:t>
      </w:r>
      <w:r>
        <w:rPr>
          <w:rFonts w:eastAsiaTheme="minorEastAsia"/>
          <w:i/>
          <w:szCs w:val="40"/>
        </w:rPr>
        <w:t xml:space="preserve">t </w:t>
      </w:r>
      <w:r>
        <w:rPr>
          <w:rFonts w:eastAsiaTheme="minorEastAsia"/>
          <w:szCs w:val="40"/>
        </w:rPr>
        <w:t>is the number of years since customers stopped receiving reports</w:t>
      </w:r>
      <w:r>
        <w:t xml:space="preserve">. </w:t>
      </w:r>
    </w:p>
    <w:p w14:paraId="6AB701DC" w14:textId="77777777" w:rsidR="00410E15" w:rsidRPr="009D4FC0" w:rsidRDefault="00410E15" w:rsidP="00410E15"/>
    <w:p w14:paraId="04295A8B" w14:textId="095583ED" w:rsidR="00D75437" w:rsidRDefault="00D75437" w:rsidP="00D75437">
      <w:pPr>
        <w:pStyle w:val="Caption"/>
      </w:pPr>
      <w:bookmarkStart w:id="54" w:name="_Ref524620867"/>
      <w:bookmarkStart w:id="55" w:name="_Ref524620862"/>
      <w:r>
        <w:t xml:space="preserve">Equation </w:t>
      </w:r>
      <w:fldSimple w:instr=" STYLEREF 1 \s ">
        <w:r w:rsidR="006E4D05">
          <w:rPr>
            <w:noProof/>
          </w:rPr>
          <w:t>5</w:t>
        </w:r>
      </w:fldSimple>
      <w:r w:rsidR="00410E15">
        <w:noBreakHyphen/>
      </w:r>
      <w:fldSimple w:instr=" SEQ Equation \* ARABIC \s 1 ">
        <w:r w:rsidR="006E4D05">
          <w:rPr>
            <w:noProof/>
          </w:rPr>
          <w:t>4</w:t>
        </w:r>
      </w:fldSimple>
      <w:bookmarkEnd w:id="53"/>
      <w:bookmarkEnd w:id="54"/>
      <w:r>
        <w:t xml:space="preserve">. </w:t>
      </w:r>
      <w:r w:rsidR="00410E15">
        <w:t xml:space="preserve">Average </w:t>
      </w:r>
      <w:r>
        <w:t>Annual Decay Rate</w:t>
      </w:r>
      <w:bookmarkEnd w:id="55"/>
    </w:p>
    <w:p w14:paraId="021A1BDC" w14:textId="5791E668" w:rsidR="00D75437" w:rsidRDefault="00D75437" w:rsidP="00D75437">
      <w:pPr>
        <w:spacing w:before="120"/>
      </w:pPr>
      <m:oMathPara>
        <m:oMath>
          <m:r>
            <w:rPr>
              <w:rFonts w:ascii="Cambria Math" w:hAnsi="Cambria Math" w:cs="Arial"/>
              <w:szCs w:val="40"/>
            </w:rPr>
            <m:t>∆</m:t>
          </m:r>
          <m:r>
            <w:rPr>
              <w:rFonts w:ascii="Cambria Math" w:hAnsi="Cambria Math"/>
            </w:rPr>
            <m:t>=-</m:t>
          </m:r>
          <m:f>
            <m:fPr>
              <m:ctrlPr>
                <w:rPr>
                  <w:rFonts w:ascii="Cambria Math" w:hAnsi="Cambria Math" w:cs="Arial"/>
                  <w:i/>
                  <w:szCs w:val="40"/>
                </w:rPr>
              </m:ctrlPr>
            </m:fPr>
            <m:num>
              <m:sSub>
                <m:sSubPr>
                  <m:ctrlPr>
                    <w:rPr>
                      <w:rFonts w:ascii="Cambria Math" w:hAnsi="Cambria Math" w:cs="Arial"/>
                      <w:i/>
                      <w:szCs w:val="40"/>
                    </w:rPr>
                  </m:ctrlPr>
                </m:sSubPr>
                <m:e>
                  <m:r>
                    <m:rPr>
                      <m:sty m:val="p"/>
                    </m:rPr>
                    <w:rPr>
                      <w:rFonts w:ascii="Cambria Math" w:hAnsi="Cambria Math"/>
                    </w:rPr>
                    <m:t>ln⁡</m:t>
                  </m:r>
                  <m:r>
                    <w:rPr>
                      <w:rFonts w:ascii="Cambria Math" w:hAnsi="Cambria Math"/>
                    </w:rPr>
                    <m:t>(1-δ</m:t>
                  </m:r>
                </m:e>
                <m:sub>
                  <m:r>
                    <w:rPr>
                      <w:rFonts w:ascii="Cambria Math" w:hAnsi="Cambria Math"/>
                    </w:rPr>
                    <m:t>t</m:t>
                  </m:r>
                </m:sub>
              </m:sSub>
              <m:r>
                <w:rPr>
                  <w:rFonts w:ascii="Cambria Math" w:hAnsi="Cambria Math"/>
                </w:rPr>
                <m:t>)</m:t>
              </m:r>
            </m:num>
            <m:den>
              <m:r>
                <w:rPr>
                  <w:rFonts w:ascii="Cambria Math" w:hAnsi="Cambria Math" w:cs="Arial"/>
                  <w:szCs w:val="40"/>
                </w:rPr>
                <m:t>t</m:t>
              </m:r>
            </m:den>
          </m:f>
        </m:oMath>
      </m:oMathPara>
    </w:p>
    <w:p w14:paraId="3032B178" w14:textId="77777777" w:rsidR="00D75437" w:rsidRPr="00D75437" w:rsidRDefault="00D75437" w:rsidP="009F212B"/>
    <w:p w14:paraId="7921CA18" w14:textId="1039A7A1" w:rsidR="00706922" w:rsidRDefault="002B1721" w:rsidP="002B1721">
      <w:r>
        <w:t xml:space="preserve">Both </w:t>
      </w:r>
      <w:r w:rsidR="00F77ECB">
        <w:t xml:space="preserve">annual </w:t>
      </w:r>
      <w:r>
        <w:t xml:space="preserve">decay rate and lifetime persistence savings are used to estimate measure life, which represents the time that an HER </w:t>
      </w:r>
      <w:r w:rsidR="00661E90">
        <w:t>P</w:t>
      </w:r>
      <w:r>
        <w:t xml:space="preserve">rogram is expected to continue producing energy savings. Lifetime persistence savings is the total savings attributable to the program after reports stop. The lifetime persistence savings are calculated via an infinite series which converges to </w:t>
      </w:r>
      <w:r>
        <w:fldChar w:fldCharType="begin"/>
      </w:r>
      <w:r>
        <w:instrText xml:space="preserve"> REF _Ref520372159 \h </w:instrText>
      </w:r>
      <w:r>
        <w:fldChar w:fldCharType="separate"/>
      </w:r>
      <w:r w:rsidR="006E4D05">
        <w:t xml:space="preserve">Equation </w:t>
      </w:r>
      <w:r w:rsidR="006E4D05">
        <w:rPr>
          <w:noProof/>
        </w:rPr>
        <w:t>5</w:t>
      </w:r>
      <w:r w:rsidR="006E4D05">
        <w:noBreakHyphen/>
      </w:r>
      <w:r w:rsidR="006E4D05">
        <w:rPr>
          <w:noProof/>
        </w:rPr>
        <w:t>5</w:t>
      </w:r>
      <w:r>
        <w:fldChar w:fldCharType="end"/>
      </w:r>
      <w:r>
        <w:t>,</w:t>
      </w:r>
      <w:r>
        <w:rPr>
          <w:rStyle w:val="FootnoteReference"/>
        </w:rPr>
        <w:footnoteReference w:id="18"/>
      </w:r>
      <w:r>
        <w:t xml:space="preserve"> where α is the annual attrition due to residence changes,</w:t>
      </w:r>
      <w:r>
        <w:rPr>
          <w:rStyle w:val="FootnoteReference"/>
        </w:rPr>
        <w:footnoteReference w:id="19"/>
      </w:r>
      <w:r>
        <w:rPr>
          <w:i/>
        </w:rPr>
        <w:t xml:space="preserve"> </w:t>
      </w:r>
      <w:r>
        <w:t xml:space="preserve">and </w:t>
      </w:r>
      <m:oMath>
        <m:r>
          <w:rPr>
            <w:rFonts w:ascii="Cambria Math" w:hAnsi="Cambria Math" w:cs="Arial"/>
            <w:szCs w:val="40"/>
          </w:rPr>
          <m:t>∆</m:t>
        </m:r>
      </m:oMath>
      <w:r>
        <w:t xml:space="preserve"> is the </w:t>
      </w:r>
      <w:r w:rsidR="00F77ECB">
        <w:t xml:space="preserve">annual </w:t>
      </w:r>
      <w:r>
        <w:t xml:space="preserve">decay rate. Most importantly, the lifetime persistence savings measure assumes that savings in the </w:t>
      </w:r>
      <w:r>
        <w:rPr>
          <w:i/>
        </w:rPr>
        <w:t>t</w:t>
      </w:r>
      <w:r>
        <w:rPr>
          <w:i/>
          <w:vertAlign w:val="superscript"/>
        </w:rPr>
        <w:t>th</w:t>
      </w:r>
      <w:r>
        <w:t xml:space="preserve"> year following the termination of reports will remain constant for year </w:t>
      </w:r>
      <w:r>
        <w:rPr>
          <w:i/>
        </w:rPr>
        <w:t>t+1</w:t>
      </w:r>
      <w:r w:rsidR="00177BE1">
        <w:t xml:space="preserve"> onward.</w:t>
      </w:r>
    </w:p>
    <w:p w14:paraId="0EE08B55" w14:textId="77777777" w:rsidR="009F2BF9" w:rsidRDefault="009F2BF9" w:rsidP="002B1721"/>
    <w:p w14:paraId="4012AABB" w14:textId="3EF8694D" w:rsidR="002B1721" w:rsidRDefault="002B1721" w:rsidP="002B1721">
      <w:pPr>
        <w:pStyle w:val="Caption"/>
      </w:pPr>
      <w:bookmarkStart w:id="56" w:name="_Ref520372159"/>
      <w:r>
        <w:t xml:space="preserve">Equation </w:t>
      </w:r>
      <w:fldSimple w:instr=" STYLEREF 1 \s ">
        <w:r w:rsidR="006E4D05">
          <w:rPr>
            <w:noProof/>
          </w:rPr>
          <w:t>5</w:t>
        </w:r>
      </w:fldSimple>
      <w:r w:rsidR="00410E15">
        <w:noBreakHyphen/>
      </w:r>
      <w:fldSimple w:instr=" SEQ Equation \* ARABIC \s 1 ">
        <w:r w:rsidR="006E4D05">
          <w:rPr>
            <w:noProof/>
          </w:rPr>
          <w:t>5</w:t>
        </w:r>
      </w:fldSimple>
      <w:bookmarkEnd w:id="56"/>
      <w:r>
        <w:t>. Lifetime Persistence Savings</w:t>
      </w:r>
    </w:p>
    <w:p w14:paraId="272CAC44" w14:textId="67FF4152" w:rsidR="002B1721" w:rsidRDefault="002B1721" w:rsidP="002B1721">
      <m:oMathPara>
        <m:oMath>
          <m:r>
            <w:rPr>
              <w:rFonts w:ascii="Cambria Math" w:hAnsi="Cambria Math"/>
            </w:rPr>
            <m:t>Lifetime Persistence Saving</m:t>
          </m:r>
          <m:sSub>
            <m:sSubPr>
              <m:ctrlPr>
                <w:rPr>
                  <w:rFonts w:ascii="Cambria Math" w:hAnsi="Cambria Math" w:cs="Arial"/>
                  <w:i/>
                  <w:szCs w:val="40"/>
                </w:rPr>
              </m:ctrlPr>
            </m:sSubPr>
            <m:e>
              <m:r>
                <w:rPr>
                  <w:rFonts w:ascii="Cambria Math" w:hAnsi="Cambria Math"/>
                </w:rPr>
                <m:t>s</m:t>
              </m:r>
            </m:e>
            <m:sub>
              <m:r>
                <w:rPr>
                  <w:rFonts w:ascii="Cambria Math" w:hAnsi="Cambria Math"/>
                </w:rPr>
                <m:t>t</m:t>
              </m:r>
            </m:sub>
          </m:sSub>
          <m:r>
            <w:rPr>
              <w:rFonts w:ascii="Cambria Math" w:hAnsi="Cambria Math"/>
            </w:rPr>
            <m:t xml:space="preserve">=Total savings for TR up to </m:t>
          </m:r>
          <m:sSup>
            <m:sSupPr>
              <m:ctrlPr>
                <w:rPr>
                  <w:rFonts w:ascii="Cambria Math" w:hAnsi="Cambria Math" w:cs="Arial"/>
                  <w:i/>
                  <w:szCs w:val="40"/>
                </w:rPr>
              </m:ctrlPr>
            </m:sSupPr>
            <m:e>
              <m:r>
                <w:rPr>
                  <w:rFonts w:ascii="Cambria Math" w:hAnsi="Cambria Math"/>
                </w:rPr>
                <m:t>t</m:t>
              </m:r>
            </m:e>
            <m:sup>
              <m:r>
                <w:rPr>
                  <w:rFonts w:ascii="Cambria Math" w:hAnsi="Cambria Math"/>
                </w:rPr>
                <m:t>th</m:t>
              </m:r>
            </m:sup>
          </m:sSup>
          <m:r>
            <w:rPr>
              <w:rFonts w:ascii="Cambria Math" w:hAnsi="Cambria Math"/>
            </w:rPr>
            <m:t xml:space="preserve"> year after reports stop for TR+ </m:t>
          </m:r>
          <m:f>
            <m:fPr>
              <m:ctrlPr>
                <w:rPr>
                  <w:rFonts w:ascii="Cambria Math" w:hAnsi="Cambria Math" w:cs="Arial"/>
                  <w:i/>
                  <w:szCs w:val="40"/>
                </w:rPr>
              </m:ctrlPr>
            </m:fPr>
            <m:num>
              <m:r>
                <w:rPr>
                  <w:rFonts w:ascii="Cambria Math" w:hAnsi="Cambria Math"/>
                </w:rPr>
                <m:t xml:space="preserve">Total Savings for TR in </m:t>
              </m:r>
              <m:sSup>
                <m:sSupPr>
                  <m:ctrlPr>
                    <w:rPr>
                      <w:rFonts w:ascii="Cambria Math" w:hAnsi="Cambria Math" w:cs="Arial"/>
                      <w:i/>
                      <w:szCs w:val="40"/>
                    </w:rPr>
                  </m:ctrlPr>
                </m:sSupPr>
                <m:e>
                  <m:r>
                    <w:rPr>
                      <w:rFonts w:ascii="Cambria Math" w:hAnsi="Cambria Math"/>
                    </w:rPr>
                    <m:t>t</m:t>
                  </m:r>
                </m:e>
                <m:sup>
                  <m:r>
                    <w:rPr>
                      <w:rFonts w:ascii="Cambria Math" w:hAnsi="Cambria Math"/>
                    </w:rPr>
                    <m:t>th</m:t>
                  </m:r>
                </m:sup>
              </m:sSup>
              <m:r>
                <w:rPr>
                  <w:rFonts w:ascii="Cambria Math" w:hAnsi="Cambria Math"/>
                </w:rPr>
                <m:t xml:space="preserve"> year after reports stop for TR</m:t>
              </m:r>
            </m:num>
            <m:den>
              <m:r>
                <w:rPr>
                  <w:rFonts w:ascii="Cambria Math" w:hAnsi="Cambria Math" w:cs="Arial"/>
                  <w:szCs w:val="40"/>
                </w:rPr>
                <m:t>∆</m:t>
              </m:r>
              <m:r>
                <w:rPr>
                  <w:rFonts w:ascii="Cambria Math" w:hAnsi="Cambria Math"/>
                </w:rPr>
                <m:t>+α-(</m:t>
              </m:r>
              <m:r>
                <w:rPr>
                  <w:rFonts w:ascii="Cambria Math" w:hAnsi="Cambria Math" w:cs="Arial"/>
                  <w:szCs w:val="40"/>
                </w:rPr>
                <m:t>∆</m:t>
              </m:r>
              <m:r>
                <w:rPr>
                  <w:rFonts w:ascii="Cambria Math" w:hAnsi="Cambria Math"/>
                </w:rPr>
                <m:t>*α)</m:t>
              </m:r>
            </m:den>
          </m:f>
        </m:oMath>
      </m:oMathPara>
    </w:p>
    <w:p w14:paraId="77D9687E" w14:textId="77777777" w:rsidR="002B1721" w:rsidRDefault="002B1721" w:rsidP="002B1721"/>
    <w:p w14:paraId="6A8AA806" w14:textId="3BAEDAC4" w:rsidR="002B1721" w:rsidRDefault="002B1721" w:rsidP="002B1721">
      <w:r>
        <w:t xml:space="preserve">Measure life in </w:t>
      </w:r>
      <w:r>
        <w:fldChar w:fldCharType="begin"/>
      </w:r>
      <w:r>
        <w:instrText xml:space="preserve"> REF _Ref520372223 \h </w:instrText>
      </w:r>
      <w:r>
        <w:fldChar w:fldCharType="separate"/>
      </w:r>
      <w:r w:rsidR="006E4D05">
        <w:t xml:space="preserve">Equation </w:t>
      </w:r>
      <w:r w:rsidR="006E4D05">
        <w:rPr>
          <w:noProof/>
        </w:rPr>
        <w:t>5</w:t>
      </w:r>
      <w:r w:rsidR="006E4D05">
        <w:noBreakHyphen/>
      </w:r>
      <w:r w:rsidR="006E4D05">
        <w:rPr>
          <w:noProof/>
        </w:rPr>
        <w:t>6</w:t>
      </w:r>
      <w:r>
        <w:fldChar w:fldCharType="end"/>
      </w:r>
      <w:r>
        <w:t xml:space="preserve"> represents the time that an HER program is expected to remain useful following termination considering (1) lifetime persistence savings, measured in year </w:t>
      </w:r>
      <w:r>
        <w:rPr>
          <w:i/>
        </w:rPr>
        <w:t>t</w:t>
      </w:r>
      <w:r>
        <w:t xml:space="preserve"> since HER termination, and (2) total savings in the first year after HER termination. Due to the savings term in the denominator, measure life can be expressed in first-year savings equivalents, allowing its interpretation as a duration of savings directly following HER termination.</w:t>
      </w:r>
    </w:p>
    <w:p w14:paraId="645CF0ED" w14:textId="77777777" w:rsidR="002B1721" w:rsidRDefault="002B1721" w:rsidP="002B1721"/>
    <w:p w14:paraId="5C93B2E0" w14:textId="5E26C67F" w:rsidR="002B1721" w:rsidRDefault="002B1721" w:rsidP="002B1721">
      <w:pPr>
        <w:pStyle w:val="Caption"/>
      </w:pPr>
      <w:bookmarkStart w:id="57" w:name="_Ref520372223"/>
      <w:r>
        <w:t xml:space="preserve">Equation </w:t>
      </w:r>
      <w:fldSimple w:instr=" STYLEREF 1 \s ">
        <w:r w:rsidR="006E4D05">
          <w:rPr>
            <w:noProof/>
          </w:rPr>
          <w:t>5</w:t>
        </w:r>
      </w:fldSimple>
      <w:r w:rsidR="00410E15">
        <w:noBreakHyphen/>
      </w:r>
      <w:fldSimple w:instr=" SEQ Equation \* ARABIC \s 1 ">
        <w:r w:rsidR="006E4D05">
          <w:rPr>
            <w:noProof/>
          </w:rPr>
          <w:t>6</w:t>
        </w:r>
      </w:fldSimple>
      <w:bookmarkEnd w:id="57"/>
      <w:r>
        <w:t>. Measure Life</w:t>
      </w:r>
    </w:p>
    <w:p w14:paraId="6F6A93EA" w14:textId="318E34AA" w:rsidR="002B1721" w:rsidRDefault="002B1721" w:rsidP="00655E6A">
      <w:pPr>
        <w:spacing w:before="120" w:after="120"/>
        <w:ind w:left="-450"/>
        <w:jc w:val="center"/>
      </w:pPr>
      <m:oMathPara>
        <m:oMath>
          <m:r>
            <w:rPr>
              <w:rFonts w:ascii="Cambria Math" w:hAnsi="Cambria Math"/>
            </w:rPr>
            <m:t>Meas Lif</m:t>
          </m:r>
          <m:sSub>
            <m:sSubPr>
              <m:ctrlPr>
                <w:rPr>
                  <w:rFonts w:ascii="Cambria Math" w:hAnsi="Cambria Math" w:cs="Arial"/>
                  <w:i/>
                  <w:szCs w:val="40"/>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cs="Arial"/>
                  <w:i/>
                  <w:szCs w:val="40"/>
                </w:rPr>
              </m:ctrlPr>
            </m:fPr>
            <m:num>
              <m:r>
                <w:rPr>
                  <w:rFonts w:ascii="Cambria Math" w:hAnsi="Cambria Math"/>
                </w:rPr>
                <m:t>Lifetime Persistence Saving</m:t>
              </m:r>
              <m:sSub>
                <m:sSubPr>
                  <m:ctrlPr>
                    <w:rPr>
                      <w:rFonts w:ascii="Cambria Math" w:hAnsi="Cambria Math" w:cs="Arial"/>
                      <w:i/>
                      <w:szCs w:val="40"/>
                    </w:rPr>
                  </m:ctrlPr>
                </m:sSubPr>
                <m:e>
                  <m:r>
                    <w:rPr>
                      <w:rFonts w:ascii="Cambria Math" w:hAnsi="Cambria Math"/>
                    </w:rPr>
                    <m:t>s</m:t>
                  </m:r>
                </m:e>
                <m:sub>
                  <m:r>
                    <w:rPr>
                      <w:rFonts w:ascii="Cambria Math" w:hAnsi="Cambria Math"/>
                    </w:rPr>
                    <m:t>t</m:t>
                  </m:r>
                </m:sub>
              </m:sSub>
            </m:num>
            <m:den>
              <m:r>
                <w:rPr>
                  <w:rFonts w:ascii="Cambria Math" w:hAnsi="Cambria Math"/>
                </w:rPr>
                <m:t>Total Savings for TR in 1st year after reports stop for TR</m:t>
              </m:r>
            </m:den>
          </m:f>
        </m:oMath>
      </m:oMathPara>
    </w:p>
    <w:p w14:paraId="7A10A5F0" w14:textId="19F84329" w:rsidR="00D0563E" w:rsidRPr="00334E07" w:rsidRDefault="00334E07" w:rsidP="00334E07">
      <w:pPr>
        <w:pStyle w:val="Heading2"/>
        <w:rPr>
          <w:rFonts w:eastAsiaTheme="majorEastAsia" w:cstheme="majorBidi"/>
          <w:szCs w:val="26"/>
        </w:rPr>
      </w:pPr>
      <w:bookmarkStart w:id="58" w:name="_Toc525646495"/>
      <w:r>
        <w:t>Accounting for Uplift in Other Energy Efficiency Programs</w:t>
      </w:r>
      <w:bookmarkEnd w:id="58"/>
    </w:p>
    <w:p w14:paraId="5A7C9463" w14:textId="77777777" w:rsidR="00334E07" w:rsidRDefault="00334E07" w:rsidP="00334E07">
      <w:pPr>
        <w:pStyle w:val="Heading3"/>
        <w:rPr>
          <w:rFonts w:eastAsiaTheme="majorEastAsia" w:cstheme="majorBidi"/>
          <w:szCs w:val="24"/>
        </w:rPr>
      </w:pPr>
      <w:bookmarkStart w:id="59" w:name="_Ref432696502"/>
      <w:bookmarkStart w:id="60" w:name="_Toc498066905"/>
      <w:bookmarkStart w:id="61" w:name="_Toc493583428"/>
      <w:bookmarkStart w:id="62" w:name="_Toc525646496"/>
      <w:r>
        <w:t xml:space="preserve">Accounting for Uplift in </w:t>
      </w:r>
      <w:bookmarkEnd w:id="59"/>
      <w:r>
        <w:t>the Analysis Period</w:t>
      </w:r>
      <w:bookmarkEnd w:id="60"/>
      <w:bookmarkEnd w:id="61"/>
      <w:bookmarkEnd w:id="62"/>
    </w:p>
    <w:p w14:paraId="78558D0D" w14:textId="1F5830BE" w:rsidR="00334E07" w:rsidRDefault="00334E07" w:rsidP="00334E07">
      <w:r>
        <w:t xml:space="preserve">The reports sent to participating households included energy-saving tips, some of which encouraged participants to enroll in other ComEd energy efficiency (EE) programs. If participation rates in other EE programs are the same for the HER participant and control groups, the savings estimates from the regression analyses are already “net” of savings from the other programs, as this indicates the HER </w:t>
      </w:r>
      <w:r w:rsidR="00661E90">
        <w:t>P</w:t>
      </w:r>
      <w:r>
        <w:t xml:space="preserve">rogram did not increase or decrease participation in the other EE programs. However, if the HER </w:t>
      </w:r>
      <w:r w:rsidR="00661E90">
        <w:lastRenderedPageBreak/>
        <w:t>P</w:t>
      </w:r>
      <w:r>
        <w:t xml:space="preserve">rogram affects participation rates in other EE programs, then savings across all programs are lower than indicated by the simple summation of savings in the HER and EE programs. For instance, if the HER </w:t>
      </w:r>
      <w:r w:rsidR="001D238C">
        <w:t>P</w:t>
      </w:r>
      <w:r>
        <w:t xml:space="preserve">rogram increases participation in other EE programs, the increase in savings may be allocated to either the HER </w:t>
      </w:r>
      <w:r w:rsidR="001D238C">
        <w:t>P</w:t>
      </w:r>
      <w:r>
        <w:t>rogram or the EE program, but cannot be allocated to both programs simultaneously.</w:t>
      </w:r>
      <w:r>
        <w:rPr>
          <w:rStyle w:val="FootnoteReference"/>
        </w:rPr>
        <w:footnoteReference w:id="20"/>
      </w:r>
    </w:p>
    <w:p w14:paraId="05112BEE" w14:textId="77777777" w:rsidR="00334E07" w:rsidRDefault="00334E07" w:rsidP="00334E07"/>
    <w:p w14:paraId="7ECEF4D7" w14:textId="5F6EF157" w:rsidR="00334E07" w:rsidRDefault="00334E07" w:rsidP="00334E07">
      <w:r>
        <w:t>Navigant used a difference-in-difference (DID) statistic to estimate uplift in other E</w:t>
      </w:r>
      <w:r w:rsidR="00EA6D3C">
        <w:t>E programs between November 201</w:t>
      </w:r>
      <w:r w:rsidR="00F54592">
        <w:t>7</w:t>
      </w:r>
      <w:r w:rsidR="00EA6D3C">
        <w:t xml:space="preserve"> and October 201</w:t>
      </w:r>
      <w:r w:rsidR="00F54592">
        <w:t>8</w:t>
      </w:r>
      <w:r>
        <w:t>. To calculate the DID statistic, Navigant subtracted the change in the participation rate in another EE program between the analysis period and the pre-program year for the control group from the same change for the treatment group. For instance, if the rate of participation in an EE program during the analysis period is five percent for the treatment group and three percent for the control group, and the rate of participation during the ye</w:t>
      </w:r>
      <w:r w:rsidR="00661E90">
        <w:t>ar before the start of the HER P</w:t>
      </w:r>
      <w:r>
        <w:t xml:space="preserve">rogram is two percent for the treatment group and one percent for the control group, then the rate of uplift due to the HER </w:t>
      </w:r>
      <w:r w:rsidR="00661E90">
        <w:t>P</w:t>
      </w:r>
      <w:r>
        <w:t xml:space="preserve">rogram </w:t>
      </w:r>
      <w:r w:rsidR="00312231">
        <w:t xml:space="preserve">is one percent, as reflected in </w:t>
      </w:r>
      <w:r w:rsidR="00312231">
        <w:fldChar w:fldCharType="begin"/>
      </w:r>
      <w:r w:rsidR="00312231">
        <w:instrText xml:space="preserve"> REF _Ref520446323 \h </w:instrText>
      </w:r>
      <w:r w:rsidR="00312231">
        <w:fldChar w:fldCharType="separate"/>
      </w:r>
      <w:r w:rsidR="006E4D05">
        <w:t xml:space="preserve">Equation </w:t>
      </w:r>
      <w:r w:rsidR="006E4D05">
        <w:rPr>
          <w:noProof/>
        </w:rPr>
        <w:t>5</w:t>
      </w:r>
      <w:r w:rsidR="006E4D05">
        <w:noBreakHyphen/>
      </w:r>
      <w:r w:rsidR="006E4D05">
        <w:rPr>
          <w:noProof/>
        </w:rPr>
        <w:t>7</w:t>
      </w:r>
      <w:r w:rsidR="00312231">
        <w:fldChar w:fldCharType="end"/>
      </w:r>
      <w:r w:rsidR="00312231">
        <w:t>.</w:t>
      </w:r>
      <w:r>
        <w:t xml:space="preserve"> </w:t>
      </w:r>
    </w:p>
    <w:p w14:paraId="3D804B7D" w14:textId="77777777" w:rsidR="00334E07" w:rsidRDefault="00334E07" w:rsidP="00334E07"/>
    <w:p w14:paraId="63B0555A" w14:textId="1EC62EDE" w:rsidR="00312231" w:rsidRPr="00312231" w:rsidRDefault="00312231" w:rsidP="00312231">
      <w:pPr>
        <w:pStyle w:val="Caption"/>
      </w:pPr>
      <w:bookmarkStart w:id="63" w:name="_Ref520446323"/>
      <w:r>
        <w:t xml:space="preserve">Equation </w:t>
      </w:r>
      <w:fldSimple w:instr=" STYLEREF 1 \s ">
        <w:r w:rsidR="006E4D05">
          <w:rPr>
            <w:noProof/>
          </w:rPr>
          <w:t>5</w:t>
        </w:r>
      </w:fldSimple>
      <w:r w:rsidR="00410E15">
        <w:noBreakHyphen/>
      </w:r>
      <w:fldSimple w:instr=" SEQ Equation \* ARABIC \s 1 ">
        <w:r w:rsidR="006E4D05">
          <w:rPr>
            <w:noProof/>
          </w:rPr>
          <w:t>7</w:t>
        </w:r>
      </w:fldSimple>
      <w:bookmarkEnd w:id="63"/>
      <w:r>
        <w:t>. DID Statistic Calculation</w:t>
      </w:r>
    </w:p>
    <w:p w14:paraId="5B779621" w14:textId="77777777" w:rsidR="00334E07" w:rsidRDefault="00273FB1" w:rsidP="00334E07">
      <m:oMathPara>
        <m:oMath>
          <m:d>
            <m:dPr>
              <m:ctrlPr>
                <w:rPr>
                  <w:rFonts w:ascii="Cambria Math" w:hAnsi="Cambria Math" w:cs="Arial"/>
                  <w:i/>
                  <w:szCs w:val="40"/>
                </w:rPr>
              </m:ctrlPr>
            </m:dPr>
            <m:e>
              <m:r>
                <w:rPr>
                  <w:rFonts w:ascii="Cambria Math" w:hAnsi="Cambria Math"/>
                </w:rPr>
                <m:t>analysis period treatment group participation-prePY treatment group participation</m:t>
              </m:r>
            </m:e>
          </m:d>
          <m:r>
            <w:rPr>
              <w:rFonts w:ascii="Cambria Math" w:hAnsi="Cambria Math"/>
            </w:rPr>
            <m:t>-</m:t>
          </m:r>
          <m:d>
            <m:dPr>
              <m:ctrlPr>
                <w:rPr>
                  <w:rFonts w:ascii="Cambria Math" w:hAnsi="Cambria Math" w:cs="Arial"/>
                  <w:i/>
                  <w:szCs w:val="40"/>
                </w:rPr>
              </m:ctrlPr>
            </m:dPr>
            <m:e>
              <m:r>
                <w:rPr>
                  <w:rFonts w:ascii="Cambria Math" w:hAnsi="Cambria Math"/>
                </w:rPr>
                <m:t>analysis period control group participation-prePY control group participation</m:t>
              </m:r>
            </m:e>
          </m:d>
          <m:r>
            <w:rPr>
              <w:rFonts w:ascii="Cambria Math" w:hAnsi="Cambria Math"/>
            </w:rPr>
            <m:t>=DID statistic</m:t>
          </m:r>
        </m:oMath>
      </m:oMathPara>
    </w:p>
    <w:p w14:paraId="15C75691" w14:textId="77777777" w:rsidR="00334E07" w:rsidRDefault="00273FB1" w:rsidP="00334E07">
      <m:oMathPara>
        <m:oMath>
          <m:d>
            <m:dPr>
              <m:ctrlPr>
                <w:rPr>
                  <w:rFonts w:ascii="Cambria Math" w:hAnsi="Cambria Math" w:cs="Arial"/>
                  <w:i/>
                  <w:szCs w:val="40"/>
                </w:rPr>
              </m:ctrlPr>
            </m:dPr>
            <m:e>
              <m:r>
                <w:rPr>
                  <w:rFonts w:ascii="Cambria Math" w:hAnsi="Cambria Math"/>
                </w:rPr>
                <m:t>5%-2%</m:t>
              </m:r>
            </m:e>
          </m:d>
          <m:r>
            <w:rPr>
              <w:rFonts w:ascii="Cambria Math" w:hAnsi="Cambria Math"/>
            </w:rPr>
            <m:t>-</m:t>
          </m:r>
          <m:d>
            <m:dPr>
              <m:ctrlPr>
                <w:rPr>
                  <w:rFonts w:ascii="Cambria Math" w:hAnsi="Cambria Math" w:cs="Arial"/>
                  <w:i/>
                  <w:szCs w:val="40"/>
                </w:rPr>
              </m:ctrlPr>
            </m:dPr>
            <m:e>
              <m:r>
                <w:rPr>
                  <w:rFonts w:ascii="Cambria Math" w:hAnsi="Cambria Math"/>
                </w:rPr>
                <m:t>3%-1%</m:t>
              </m:r>
            </m:e>
          </m:d>
          <m:r>
            <w:rPr>
              <w:rFonts w:ascii="Cambria Math" w:hAnsi="Cambria Math"/>
            </w:rPr>
            <m:t>=1%</m:t>
          </m:r>
        </m:oMath>
      </m:oMathPara>
    </w:p>
    <w:p w14:paraId="1B50C5B4" w14:textId="77777777" w:rsidR="00334E07" w:rsidRDefault="00334E07" w:rsidP="00334E07"/>
    <w:p w14:paraId="04BD59BE" w14:textId="77777777" w:rsidR="00334E07" w:rsidRDefault="00334E07" w:rsidP="00334E07">
      <w:r>
        <w:t>The DID statistic generates an unbiased estimate of uplift when the baseline average rate of participation is the same for the treatment and control groups, or when they are different due only to differences between the two groups in time-invariant factors, such as residency square footage.</w:t>
      </w:r>
    </w:p>
    <w:p w14:paraId="6F288F35" w14:textId="77777777" w:rsidR="00334E07" w:rsidRDefault="00334E07" w:rsidP="00334E07">
      <w:pPr>
        <w:ind w:left="1440" w:hanging="1440"/>
      </w:pPr>
    </w:p>
    <w:p w14:paraId="020AE582" w14:textId="77777777" w:rsidR="00334E07" w:rsidRDefault="00334E07" w:rsidP="00334E07">
      <w:r>
        <w:t>A simple difference in participation rates during the analysis period provides an alternative unbiased estimate of uplift when the baseline average rate of participation in the EE program is the same for the treatment and control groups. Navigant used this alternative statistic –the “post-only difference” (POD) statistic –in cases where the EE program did not exist for the entire pre-program year.</w:t>
      </w:r>
    </w:p>
    <w:p w14:paraId="77136C70" w14:textId="77777777" w:rsidR="00334E07" w:rsidRDefault="00334E07" w:rsidP="00334E07"/>
    <w:p w14:paraId="334F1765" w14:textId="624123E0" w:rsidR="00334E07" w:rsidRDefault="00334E07" w:rsidP="005F32EE">
      <w:r>
        <w:t>Navigant examined uplift associated wi</w:t>
      </w:r>
      <w:r w:rsidR="00F64BED">
        <w:t xml:space="preserve">th </w:t>
      </w:r>
      <w:r w:rsidR="00EE7539" w:rsidRPr="00CC0A49">
        <w:t>the following EE programs</w:t>
      </w:r>
      <w:r w:rsidR="00EE7539">
        <w:t>:</w:t>
      </w:r>
      <w:r w:rsidR="00EE7539" w:rsidRPr="00CC0A49">
        <w:t xml:space="preserve"> </w:t>
      </w:r>
      <w:bookmarkStart w:id="64" w:name="_Hlk2766266"/>
      <w:r w:rsidR="00EE7539" w:rsidRPr="00606E68">
        <w:t>Fridge Freezer Recycling (FFR)</w:t>
      </w:r>
      <w:r w:rsidR="00EE7539">
        <w:t xml:space="preserve">, </w:t>
      </w:r>
      <w:r w:rsidR="00EE7539" w:rsidRPr="00606E68">
        <w:t>Home Energy Assessments (HEA)</w:t>
      </w:r>
      <w:bookmarkStart w:id="65" w:name="_Hlk2766342"/>
      <w:bookmarkEnd w:id="64"/>
      <w:r w:rsidR="00EE7539">
        <w:t xml:space="preserve">, </w:t>
      </w:r>
      <w:r w:rsidR="00EE7539" w:rsidRPr="00425286">
        <w:t>Single Family Retrofits</w:t>
      </w:r>
      <w:r w:rsidR="00EE7539">
        <w:t xml:space="preserve">, </w:t>
      </w:r>
      <w:r w:rsidR="00EE7539" w:rsidRPr="00425286">
        <w:t>Multi-family Retrofits</w:t>
      </w:r>
      <w:r w:rsidR="00EE7539">
        <w:t>,</w:t>
      </w:r>
      <w:bookmarkStart w:id="66" w:name="_Hlk2766274"/>
      <w:bookmarkEnd w:id="65"/>
      <w:r w:rsidR="00EE7539" w:rsidRPr="00606E68">
        <w:t xml:space="preserve"> Weatherization (Wx) </w:t>
      </w:r>
      <w:r w:rsidR="00EE7539">
        <w:t xml:space="preserve">Rebates, and </w:t>
      </w:r>
      <w:r w:rsidR="00EE7539" w:rsidRPr="00606E68">
        <w:t>Heating and Cooling (HVAC) Rebates</w:t>
      </w:r>
      <w:r w:rsidR="00EE7539">
        <w:t>.</w:t>
      </w:r>
      <w:bookmarkEnd w:id="66"/>
      <w:r w:rsidR="00EE7539">
        <w:rPr>
          <w:rStyle w:val="FootnoteReference"/>
        </w:rPr>
        <w:footnoteReference w:id="21"/>
      </w:r>
      <w:r w:rsidR="00EE7539">
        <w:rPr>
          <w:vertAlign w:val="superscript"/>
        </w:rPr>
        <w:t>,</w:t>
      </w:r>
      <w:r w:rsidR="00EE7539" w:rsidRPr="00CC0A49">
        <w:rPr>
          <w:rStyle w:val="FootnoteReference"/>
        </w:rPr>
        <w:footnoteReference w:id="22"/>
      </w:r>
    </w:p>
    <w:p w14:paraId="4DC24169" w14:textId="77777777" w:rsidR="00EA6D3C" w:rsidRDefault="00EA6D3C" w:rsidP="00EA6D3C">
      <w:pPr>
        <w:pStyle w:val="Heading3"/>
        <w:rPr>
          <w:rFonts w:eastAsiaTheme="majorEastAsia" w:cstheme="majorBidi"/>
          <w:szCs w:val="24"/>
        </w:rPr>
      </w:pPr>
      <w:bookmarkStart w:id="67" w:name="_Toc498066906"/>
      <w:bookmarkStart w:id="68" w:name="_Toc493583429"/>
      <w:bookmarkStart w:id="69" w:name="_Ref432956660"/>
      <w:bookmarkStart w:id="70" w:name="_Toc525646497"/>
      <w:r>
        <w:t>Accounting for Legacy Uplift</w:t>
      </w:r>
      <w:bookmarkEnd w:id="67"/>
      <w:bookmarkEnd w:id="68"/>
      <w:bookmarkEnd w:id="69"/>
      <w:bookmarkEnd w:id="70"/>
    </w:p>
    <w:p w14:paraId="3054456B" w14:textId="4A9FB916" w:rsidR="00EA6D3C" w:rsidRDefault="00EA6D3C" w:rsidP="00EA6D3C">
      <w:r>
        <w:t xml:space="preserve">The uplift adjustment methodology described only accounts for uplift which occurs in the current year because EE program tracking files in any given program year only capture new measures installed in that year, regardless of expected measure lives. However, for other EE programs with multi-year measure lives, HER </w:t>
      </w:r>
      <w:r w:rsidR="00661E90">
        <w:t>P</w:t>
      </w:r>
      <w:r>
        <w:t xml:space="preserve">rogram savings capture the portion of their savings due to uplift in each year of that program’s measure life. For instance, a measure with a ten-year measure life that was installed in PY2 would generate savings captured in the HER </w:t>
      </w:r>
      <w:r w:rsidR="00661E90">
        <w:t>P</w:t>
      </w:r>
      <w:r>
        <w:t>rogram savings not just in PY2, but in PY3 through PY11 as well.</w:t>
      </w:r>
    </w:p>
    <w:p w14:paraId="2BF7DF68" w14:textId="77777777" w:rsidR="00EA6D3C" w:rsidRDefault="00EA6D3C" w:rsidP="00EA6D3C"/>
    <w:p w14:paraId="7E8E1FE9" w14:textId="4D54F979" w:rsidR="00D600A3" w:rsidRDefault="00EA6D3C" w:rsidP="005F32EE">
      <w:r>
        <w:lastRenderedPageBreak/>
        <w:t xml:space="preserve">Since the analysis period for this study is off from a regular program year Navigant was unable to accurately estimate legacy uplift for this analysis period. </w:t>
      </w:r>
    </w:p>
    <w:p w14:paraId="4FC86532" w14:textId="684B4156" w:rsidR="00BB4A37" w:rsidRDefault="00BB4A37" w:rsidP="00BB4A37">
      <w:pPr>
        <w:pStyle w:val="Heading1"/>
      </w:pPr>
      <w:bookmarkStart w:id="71" w:name="_Toc525646498"/>
      <w:r>
        <w:t xml:space="preserve">Appendix 2. </w:t>
      </w:r>
      <w:r w:rsidR="004D1882">
        <w:t>Impact Analysis</w:t>
      </w:r>
      <w:r>
        <w:t xml:space="preserve"> Detail</w:t>
      </w:r>
      <w:bookmarkEnd w:id="71"/>
    </w:p>
    <w:p w14:paraId="7969B6CC" w14:textId="077023A5" w:rsidR="00BB4A37" w:rsidRPr="00177BE1" w:rsidRDefault="00910A84" w:rsidP="004D1882">
      <w:pPr>
        <w:rPr>
          <w:rFonts w:cs="Arial"/>
          <w:szCs w:val="40"/>
        </w:rPr>
      </w:pPr>
      <w:r>
        <w:t xml:space="preserve">Wave LDV and LFER model results are available </w:t>
      </w:r>
      <w:r w:rsidR="00340D6B">
        <w:t>upon request</w:t>
      </w:r>
      <w:r>
        <w:t>. Across the two models, the parameter estimates are not statistically different; that is, the estimates for each model are within the 90 percent confidence bounds for the other model. Furthermore, the pattern across the different program waves between the two models is very similar.</w:t>
      </w:r>
    </w:p>
    <w:p w14:paraId="270824FE" w14:textId="3D749A84" w:rsidR="0069412C" w:rsidRDefault="0069412C" w:rsidP="0069412C">
      <w:pPr>
        <w:pStyle w:val="Heading1"/>
      </w:pPr>
      <w:bookmarkStart w:id="72" w:name="_Toc525646499"/>
      <w:r>
        <w:t xml:space="preserve">Appendix 3. </w:t>
      </w:r>
      <w:r w:rsidR="009A3A20">
        <w:t xml:space="preserve">Detailed </w:t>
      </w:r>
      <w:r w:rsidR="007A5C3A">
        <w:t>D</w:t>
      </w:r>
      <w:r w:rsidR="009A3A20">
        <w:t xml:space="preserve">ata </w:t>
      </w:r>
      <w:r w:rsidR="007A5C3A">
        <w:t>C</w:t>
      </w:r>
      <w:r w:rsidR="009A3A20">
        <w:t>leaning</w:t>
      </w:r>
      <w:bookmarkEnd w:id="72"/>
    </w:p>
    <w:p w14:paraId="415E47B3" w14:textId="3BA5B061" w:rsidR="00177BE1" w:rsidRDefault="006B1101" w:rsidP="009A3A20">
      <w:r>
        <w:fldChar w:fldCharType="begin"/>
      </w:r>
      <w:r>
        <w:instrText xml:space="preserve"> REF _Ref520449404 \h </w:instrText>
      </w:r>
      <w:r>
        <w:fldChar w:fldCharType="separate"/>
      </w:r>
      <w:r w:rsidR="006E4D05">
        <w:t xml:space="preserve">Table </w:t>
      </w:r>
      <w:r w:rsidR="006E4D05">
        <w:rPr>
          <w:noProof/>
        </w:rPr>
        <w:t>7</w:t>
      </w:r>
      <w:r w:rsidR="006E4D05">
        <w:noBreakHyphen/>
      </w:r>
      <w:r w:rsidR="006E4D05">
        <w:rPr>
          <w:noProof/>
        </w:rPr>
        <w:t>1</w:t>
      </w:r>
      <w:r>
        <w:fldChar w:fldCharType="end"/>
      </w:r>
      <w:r>
        <w:t xml:space="preserve"> through </w:t>
      </w:r>
      <w:r>
        <w:fldChar w:fldCharType="begin"/>
      </w:r>
      <w:r>
        <w:instrText xml:space="preserve"> REF _Ref520449405 \h </w:instrText>
      </w:r>
      <w:r>
        <w:fldChar w:fldCharType="separate"/>
      </w:r>
      <w:r w:rsidR="006E4D05">
        <w:t xml:space="preserve">Table </w:t>
      </w:r>
      <w:r w:rsidR="006E4D05">
        <w:rPr>
          <w:noProof/>
        </w:rPr>
        <w:t>7</w:t>
      </w:r>
      <w:r w:rsidR="006E4D05">
        <w:noBreakHyphen/>
      </w:r>
      <w:r w:rsidR="006E4D05">
        <w:rPr>
          <w:noProof/>
        </w:rPr>
        <w:t>3</w:t>
      </w:r>
      <w:r>
        <w:fldChar w:fldCharType="end"/>
      </w:r>
      <w:r>
        <w:t xml:space="preserve"> </w:t>
      </w:r>
      <w:r w:rsidR="009A3A20">
        <w:t>give counts and percentages of customers and observations removed during the data cleaning process. The tables also provide the percentage of customers or observations removed. It is evident from the tables that the percentage of customers or observations removed was very similar across the treatment and control groups for each wave. This suggests that non-random biases were not introduced into the data by our cleaning.</w:t>
      </w:r>
      <w:r w:rsidR="00F13796">
        <w:t xml:space="preserve"> </w:t>
      </w:r>
    </w:p>
    <w:p w14:paraId="78A8BA1F" w14:textId="44409CA6" w:rsidR="00367992" w:rsidRDefault="00367992" w:rsidP="00391806">
      <w:pPr>
        <w:keepNext/>
        <w:keepLines/>
      </w:pPr>
    </w:p>
    <w:p w14:paraId="60C252CC" w14:textId="60090A52" w:rsidR="00367992" w:rsidRDefault="006B1101" w:rsidP="00391806">
      <w:pPr>
        <w:pStyle w:val="Caption"/>
        <w:keepLines/>
      </w:pPr>
      <w:bookmarkStart w:id="73" w:name="_Ref520449404"/>
      <w:bookmarkStart w:id="74" w:name="_Toc525646507"/>
      <w:r>
        <w:t xml:space="preserve">Table </w:t>
      </w:r>
      <w:fldSimple w:instr=" STYLEREF 1 \s ">
        <w:r w:rsidR="006E4D05">
          <w:rPr>
            <w:noProof/>
          </w:rPr>
          <w:t>7</w:t>
        </w:r>
      </w:fldSimple>
      <w:r>
        <w:noBreakHyphen/>
      </w:r>
      <w:fldSimple w:instr=" SEQ Table \* ARABIC \s 1 ">
        <w:r w:rsidR="006E4D05">
          <w:rPr>
            <w:noProof/>
          </w:rPr>
          <w:t>1</w:t>
        </w:r>
      </w:fldSimple>
      <w:bookmarkEnd w:id="73"/>
      <w:r>
        <w:t>. Customers and Observations Removed by Data Cleaning Step (Wave 1)</w:t>
      </w:r>
      <w:bookmarkEnd w:id="74"/>
    </w:p>
    <w:tbl>
      <w:tblPr>
        <w:tblW w:w="9360" w:type="dxa"/>
        <w:tblLook w:val="04A0" w:firstRow="1" w:lastRow="0" w:firstColumn="1" w:lastColumn="0" w:noHBand="0" w:noVBand="1"/>
      </w:tblPr>
      <w:tblGrid>
        <w:gridCol w:w="1737"/>
        <w:gridCol w:w="979"/>
        <w:gridCol w:w="976"/>
        <w:gridCol w:w="1082"/>
        <w:gridCol w:w="1082"/>
        <w:gridCol w:w="971"/>
        <w:gridCol w:w="767"/>
        <w:gridCol w:w="1021"/>
        <w:gridCol w:w="745"/>
      </w:tblGrid>
      <w:tr w:rsidR="001A4439" w:rsidRPr="009A3A20" w14:paraId="409909B9" w14:textId="77777777" w:rsidTr="00BB14DA">
        <w:trPr>
          <w:cantSplit/>
          <w:trHeight w:val="248"/>
        </w:trPr>
        <w:tc>
          <w:tcPr>
            <w:tcW w:w="1738" w:type="dxa"/>
            <w:vMerge w:val="restart"/>
            <w:tcBorders>
              <w:top w:val="single" w:sz="4" w:space="0" w:color="DCDDDE"/>
              <w:left w:val="nil"/>
              <w:bottom w:val="single" w:sz="4" w:space="0" w:color="DCDDDE"/>
              <w:right w:val="nil"/>
            </w:tcBorders>
            <w:shd w:val="clear" w:color="000000" w:fill="555759"/>
            <w:vAlign w:val="bottom"/>
            <w:hideMark/>
          </w:tcPr>
          <w:p w14:paraId="14AB5C1D" w14:textId="77777777" w:rsidR="009A3A20" w:rsidRPr="009A3A20" w:rsidRDefault="009A3A20" w:rsidP="00391806">
            <w:pPr>
              <w:keepNext/>
              <w:keepLines/>
              <w:contextualSpacing w:val="0"/>
              <w:rPr>
                <w:rFonts w:ascii="Arial Narrow" w:eastAsia="Times New Roman" w:hAnsi="Arial Narrow" w:cs="Arial"/>
                <w:b/>
                <w:bCs/>
                <w:color w:val="FFFFFF"/>
                <w:szCs w:val="20"/>
              </w:rPr>
            </w:pPr>
            <w:r w:rsidRPr="009A3A20">
              <w:rPr>
                <w:rFonts w:ascii="Arial Narrow" w:eastAsia="Times New Roman" w:hAnsi="Arial Narrow" w:cs="Arial"/>
                <w:b/>
                <w:bCs/>
                <w:color w:val="FFFFFF"/>
                <w:szCs w:val="20"/>
              </w:rPr>
              <w:t>Data Cleaning Step</w:t>
            </w:r>
            <w:r w:rsidRPr="009A3A20">
              <w:rPr>
                <w:rFonts w:ascii="Arial Narrow" w:eastAsia="Times New Roman" w:hAnsi="Arial Narrow" w:cs="Arial"/>
                <w:b/>
                <w:bCs/>
                <w:color w:val="FFFFFF"/>
                <w:szCs w:val="20"/>
              </w:rPr>
              <w:br/>
              <w:t>Wave 1</w:t>
            </w:r>
          </w:p>
        </w:tc>
        <w:tc>
          <w:tcPr>
            <w:tcW w:w="1955" w:type="dxa"/>
            <w:gridSpan w:val="2"/>
            <w:tcBorders>
              <w:top w:val="single" w:sz="4" w:space="0" w:color="DCDDDE"/>
              <w:left w:val="nil"/>
              <w:bottom w:val="single" w:sz="8" w:space="0" w:color="95D600"/>
              <w:right w:val="nil"/>
            </w:tcBorders>
            <w:shd w:val="clear" w:color="000000" w:fill="555759"/>
            <w:noWrap/>
            <w:vAlign w:val="bottom"/>
            <w:hideMark/>
          </w:tcPr>
          <w:p w14:paraId="0CF99323" w14:textId="77777777" w:rsidR="009A3A20" w:rsidRPr="009A3A20" w:rsidRDefault="009A3A20" w:rsidP="00391806">
            <w:pPr>
              <w:keepNext/>
              <w:keepLines/>
              <w:contextualSpacing w:val="0"/>
              <w:jc w:val="center"/>
              <w:rPr>
                <w:rFonts w:ascii="Arial Narrow" w:eastAsia="Times New Roman" w:hAnsi="Arial Narrow" w:cs="Arial"/>
                <w:b/>
                <w:bCs/>
                <w:color w:val="FFFFFF"/>
                <w:szCs w:val="20"/>
              </w:rPr>
            </w:pPr>
            <w:r w:rsidRPr="009A3A20">
              <w:rPr>
                <w:rFonts w:ascii="Arial Narrow" w:eastAsia="Times New Roman" w:hAnsi="Arial Narrow" w:cs="Arial"/>
                <w:b/>
                <w:bCs/>
                <w:color w:val="FFFFFF"/>
                <w:szCs w:val="20"/>
              </w:rPr>
              <w:t>Customers</w:t>
            </w:r>
          </w:p>
        </w:tc>
        <w:tc>
          <w:tcPr>
            <w:tcW w:w="2164" w:type="dxa"/>
            <w:gridSpan w:val="2"/>
            <w:tcBorders>
              <w:top w:val="single" w:sz="4" w:space="0" w:color="DCDDDE"/>
              <w:left w:val="nil"/>
              <w:bottom w:val="single" w:sz="8" w:space="0" w:color="95D600"/>
              <w:right w:val="nil"/>
            </w:tcBorders>
            <w:shd w:val="clear" w:color="000000" w:fill="555759"/>
            <w:noWrap/>
            <w:vAlign w:val="bottom"/>
            <w:hideMark/>
          </w:tcPr>
          <w:p w14:paraId="5D8E6DF2" w14:textId="77777777" w:rsidR="009A3A20" w:rsidRPr="009A3A20" w:rsidRDefault="009A3A20" w:rsidP="00391806">
            <w:pPr>
              <w:keepNext/>
              <w:keepLines/>
              <w:contextualSpacing w:val="0"/>
              <w:jc w:val="center"/>
              <w:rPr>
                <w:rFonts w:ascii="Arial Narrow" w:eastAsia="Times New Roman" w:hAnsi="Arial Narrow" w:cs="Arial"/>
                <w:b/>
                <w:bCs/>
                <w:color w:val="FFFFFF"/>
                <w:szCs w:val="20"/>
              </w:rPr>
            </w:pPr>
            <w:r w:rsidRPr="009A3A20">
              <w:rPr>
                <w:rFonts w:ascii="Arial Narrow" w:eastAsia="Times New Roman" w:hAnsi="Arial Narrow" w:cs="Arial"/>
                <w:b/>
                <w:bCs/>
                <w:color w:val="FFFFFF"/>
                <w:szCs w:val="20"/>
              </w:rPr>
              <w:t>Observations</w:t>
            </w:r>
          </w:p>
        </w:tc>
        <w:tc>
          <w:tcPr>
            <w:tcW w:w="1738" w:type="dxa"/>
            <w:gridSpan w:val="2"/>
            <w:tcBorders>
              <w:top w:val="single" w:sz="4" w:space="0" w:color="DCDDDE"/>
              <w:left w:val="nil"/>
              <w:bottom w:val="single" w:sz="8" w:space="0" w:color="95D600"/>
              <w:right w:val="nil"/>
            </w:tcBorders>
            <w:shd w:val="clear" w:color="000000" w:fill="555759"/>
            <w:noWrap/>
            <w:vAlign w:val="bottom"/>
            <w:hideMark/>
          </w:tcPr>
          <w:p w14:paraId="3C1CBAA6" w14:textId="77777777" w:rsidR="009A3A20" w:rsidRPr="009A3A20" w:rsidRDefault="009A3A20" w:rsidP="00391806">
            <w:pPr>
              <w:keepNext/>
              <w:keepLines/>
              <w:contextualSpacing w:val="0"/>
              <w:jc w:val="center"/>
              <w:rPr>
                <w:rFonts w:ascii="Arial Narrow" w:eastAsia="Times New Roman" w:hAnsi="Arial Narrow" w:cs="Arial"/>
                <w:b/>
                <w:bCs/>
                <w:color w:val="FFFFFF"/>
                <w:szCs w:val="20"/>
              </w:rPr>
            </w:pPr>
            <w:r w:rsidRPr="009A3A20">
              <w:rPr>
                <w:rFonts w:ascii="Arial Narrow" w:eastAsia="Times New Roman" w:hAnsi="Arial Narrow" w:cs="Arial"/>
                <w:b/>
                <w:bCs/>
                <w:color w:val="FFFFFF"/>
                <w:szCs w:val="20"/>
              </w:rPr>
              <w:t>Customer % Change</w:t>
            </w:r>
          </w:p>
        </w:tc>
        <w:tc>
          <w:tcPr>
            <w:tcW w:w="1765" w:type="dxa"/>
            <w:gridSpan w:val="2"/>
            <w:tcBorders>
              <w:top w:val="single" w:sz="4" w:space="0" w:color="DCDDDE"/>
              <w:left w:val="nil"/>
              <w:bottom w:val="single" w:sz="8" w:space="0" w:color="95D600"/>
              <w:right w:val="nil"/>
            </w:tcBorders>
            <w:shd w:val="clear" w:color="000000" w:fill="555759"/>
            <w:noWrap/>
            <w:vAlign w:val="bottom"/>
            <w:hideMark/>
          </w:tcPr>
          <w:p w14:paraId="35315510" w14:textId="77777777" w:rsidR="009A3A20" w:rsidRPr="009A3A20" w:rsidRDefault="009A3A20" w:rsidP="00391806">
            <w:pPr>
              <w:keepNext/>
              <w:keepLines/>
              <w:contextualSpacing w:val="0"/>
              <w:jc w:val="center"/>
              <w:rPr>
                <w:rFonts w:ascii="Arial Narrow" w:eastAsia="Times New Roman" w:hAnsi="Arial Narrow" w:cs="Arial"/>
                <w:b/>
                <w:bCs/>
                <w:color w:val="FFFFFF"/>
                <w:szCs w:val="20"/>
              </w:rPr>
            </w:pPr>
            <w:r w:rsidRPr="009A3A20">
              <w:rPr>
                <w:rFonts w:ascii="Arial Narrow" w:eastAsia="Times New Roman" w:hAnsi="Arial Narrow" w:cs="Arial"/>
                <w:b/>
                <w:bCs/>
                <w:color w:val="FFFFFF"/>
                <w:szCs w:val="20"/>
              </w:rPr>
              <w:t>Observation % Change</w:t>
            </w:r>
          </w:p>
        </w:tc>
      </w:tr>
      <w:tr w:rsidR="001A4439" w:rsidRPr="009A3A20" w14:paraId="1E37D075" w14:textId="77777777" w:rsidTr="00BB14DA">
        <w:trPr>
          <w:cantSplit/>
          <w:trHeight w:val="234"/>
        </w:trPr>
        <w:tc>
          <w:tcPr>
            <w:tcW w:w="1738" w:type="dxa"/>
            <w:vMerge/>
            <w:tcBorders>
              <w:top w:val="single" w:sz="4" w:space="0" w:color="DCDDDE"/>
              <w:left w:val="nil"/>
              <w:bottom w:val="single" w:sz="4" w:space="0" w:color="DCDDDE"/>
              <w:right w:val="nil"/>
            </w:tcBorders>
            <w:vAlign w:val="center"/>
            <w:hideMark/>
          </w:tcPr>
          <w:p w14:paraId="4A16DFEA" w14:textId="77777777" w:rsidR="009A3A20" w:rsidRPr="009A3A20" w:rsidRDefault="009A3A20" w:rsidP="00391806">
            <w:pPr>
              <w:keepNext/>
              <w:keepLines/>
              <w:contextualSpacing w:val="0"/>
              <w:rPr>
                <w:rFonts w:ascii="Arial Narrow" w:eastAsia="Times New Roman" w:hAnsi="Arial Narrow" w:cs="Arial"/>
                <w:b/>
                <w:bCs/>
                <w:color w:val="FFFFFF"/>
                <w:szCs w:val="20"/>
              </w:rPr>
            </w:pPr>
          </w:p>
        </w:tc>
        <w:tc>
          <w:tcPr>
            <w:tcW w:w="979" w:type="dxa"/>
            <w:tcBorders>
              <w:top w:val="nil"/>
              <w:left w:val="nil"/>
              <w:bottom w:val="nil"/>
              <w:right w:val="nil"/>
            </w:tcBorders>
            <w:shd w:val="clear" w:color="000000" w:fill="555759"/>
            <w:noWrap/>
            <w:vAlign w:val="bottom"/>
            <w:hideMark/>
          </w:tcPr>
          <w:p w14:paraId="6A98E873"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Treatment</w:t>
            </w:r>
          </w:p>
        </w:tc>
        <w:tc>
          <w:tcPr>
            <w:tcW w:w="976" w:type="dxa"/>
            <w:tcBorders>
              <w:top w:val="nil"/>
              <w:left w:val="nil"/>
              <w:bottom w:val="nil"/>
              <w:right w:val="nil"/>
            </w:tcBorders>
            <w:shd w:val="clear" w:color="000000" w:fill="555759"/>
            <w:noWrap/>
            <w:vAlign w:val="bottom"/>
            <w:hideMark/>
          </w:tcPr>
          <w:p w14:paraId="071A78D2"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Control</w:t>
            </w:r>
          </w:p>
        </w:tc>
        <w:tc>
          <w:tcPr>
            <w:tcW w:w="1082" w:type="dxa"/>
            <w:tcBorders>
              <w:top w:val="nil"/>
              <w:left w:val="nil"/>
              <w:bottom w:val="nil"/>
              <w:right w:val="nil"/>
            </w:tcBorders>
            <w:shd w:val="clear" w:color="000000" w:fill="555759"/>
            <w:noWrap/>
            <w:vAlign w:val="bottom"/>
            <w:hideMark/>
          </w:tcPr>
          <w:p w14:paraId="1D99B921"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Treatment</w:t>
            </w:r>
          </w:p>
        </w:tc>
        <w:tc>
          <w:tcPr>
            <w:tcW w:w="1082" w:type="dxa"/>
            <w:tcBorders>
              <w:top w:val="nil"/>
              <w:left w:val="nil"/>
              <w:bottom w:val="nil"/>
              <w:right w:val="nil"/>
            </w:tcBorders>
            <w:shd w:val="clear" w:color="000000" w:fill="555759"/>
            <w:noWrap/>
            <w:vAlign w:val="bottom"/>
            <w:hideMark/>
          </w:tcPr>
          <w:p w14:paraId="2D5FDA3E"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Control</w:t>
            </w:r>
          </w:p>
        </w:tc>
        <w:tc>
          <w:tcPr>
            <w:tcW w:w="971" w:type="dxa"/>
            <w:tcBorders>
              <w:top w:val="nil"/>
              <w:left w:val="nil"/>
              <w:bottom w:val="nil"/>
              <w:right w:val="nil"/>
            </w:tcBorders>
            <w:shd w:val="clear" w:color="000000" w:fill="555759"/>
            <w:noWrap/>
            <w:vAlign w:val="bottom"/>
            <w:hideMark/>
          </w:tcPr>
          <w:p w14:paraId="5144394A"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Treatment</w:t>
            </w:r>
          </w:p>
        </w:tc>
        <w:tc>
          <w:tcPr>
            <w:tcW w:w="767" w:type="dxa"/>
            <w:tcBorders>
              <w:top w:val="nil"/>
              <w:left w:val="nil"/>
              <w:bottom w:val="nil"/>
              <w:right w:val="nil"/>
            </w:tcBorders>
            <w:shd w:val="clear" w:color="000000" w:fill="555759"/>
            <w:noWrap/>
            <w:vAlign w:val="bottom"/>
            <w:hideMark/>
          </w:tcPr>
          <w:p w14:paraId="4156B1A3"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Control</w:t>
            </w:r>
          </w:p>
        </w:tc>
        <w:tc>
          <w:tcPr>
            <w:tcW w:w="1021" w:type="dxa"/>
            <w:tcBorders>
              <w:top w:val="nil"/>
              <w:left w:val="nil"/>
              <w:bottom w:val="nil"/>
              <w:right w:val="nil"/>
            </w:tcBorders>
            <w:shd w:val="clear" w:color="000000" w:fill="555759"/>
            <w:noWrap/>
            <w:vAlign w:val="bottom"/>
            <w:hideMark/>
          </w:tcPr>
          <w:p w14:paraId="35E98751"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Treatment</w:t>
            </w:r>
          </w:p>
        </w:tc>
        <w:tc>
          <w:tcPr>
            <w:tcW w:w="744" w:type="dxa"/>
            <w:tcBorders>
              <w:top w:val="nil"/>
              <w:left w:val="nil"/>
              <w:bottom w:val="nil"/>
              <w:right w:val="nil"/>
            </w:tcBorders>
            <w:shd w:val="clear" w:color="000000" w:fill="555759"/>
            <w:noWrap/>
            <w:vAlign w:val="bottom"/>
            <w:hideMark/>
          </w:tcPr>
          <w:p w14:paraId="5AF904BE" w14:textId="77777777" w:rsidR="009A3A20" w:rsidRPr="009A3A20" w:rsidRDefault="009A3A20" w:rsidP="00391806">
            <w:pPr>
              <w:keepNext/>
              <w:keepLines/>
              <w:contextualSpacing w:val="0"/>
              <w:jc w:val="right"/>
              <w:rPr>
                <w:rFonts w:ascii="Arial Narrow" w:eastAsia="Times New Roman" w:hAnsi="Arial Narrow" w:cs="Arial"/>
                <w:color w:val="FFFFFF"/>
                <w:szCs w:val="20"/>
              </w:rPr>
            </w:pPr>
            <w:r w:rsidRPr="009A3A20">
              <w:rPr>
                <w:rFonts w:ascii="Arial Narrow" w:eastAsia="Times New Roman" w:hAnsi="Arial Narrow" w:cs="Arial"/>
                <w:color w:val="FFFFFF"/>
                <w:szCs w:val="20"/>
              </w:rPr>
              <w:t>Control</w:t>
            </w:r>
          </w:p>
        </w:tc>
      </w:tr>
      <w:tr w:rsidR="00BB14DA" w:rsidRPr="009A3A20" w14:paraId="2392662D" w14:textId="77777777" w:rsidTr="00BB14DA">
        <w:trPr>
          <w:cantSplit/>
          <w:trHeight w:val="234"/>
        </w:trPr>
        <w:tc>
          <w:tcPr>
            <w:tcW w:w="1738" w:type="dxa"/>
            <w:tcBorders>
              <w:top w:val="nil"/>
              <w:left w:val="nil"/>
              <w:bottom w:val="nil"/>
              <w:right w:val="nil"/>
            </w:tcBorders>
            <w:shd w:val="clear" w:color="000000" w:fill="FFFFFF"/>
            <w:noWrap/>
            <w:vAlign w:val="bottom"/>
            <w:hideMark/>
          </w:tcPr>
          <w:p w14:paraId="5E44CD67"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Raw Data</w:t>
            </w:r>
          </w:p>
        </w:tc>
        <w:tc>
          <w:tcPr>
            <w:tcW w:w="979" w:type="dxa"/>
            <w:tcBorders>
              <w:top w:val="single" w:sz="4" w:space="0" w:color="DCDDDE"/>
              <w:left w:val="nil"/>
              <w:bottom w:val="nil"/>
              <w:right w:val="nil"/>
            </w:tcBorders>
            <w:shd w:val="clear" w:color="000000" w:fill="FFFFFF"/>
            <w:noWrap/>
            <w:hideMark/>
          </w:tcPr>
          <w:p w14:paraId="1088CB67" w14:textId="78FA7013"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46,503 </w:t>
            </w:r>
          </w:p>
        </w:tc>
        <w:tc>
          <w:tcPr>
            <w:tcW w:w="976" w:type="dxa"/>
            <w:tcBorders>
              <w:top w:val="single" w:sz="4" w:space="0" w:color="DCDDDE"/>
              <w:left w:val="nil"/>
              <w:bottom w:val="nil"/>
              <w:right w:val="nil"/>
            </w:tcBorders>
            <w:shd w:val="clear" w:color="000000" w:fill="FFFFFF"/>
            <w:noWrap/>
            <w:hideMark/>
          </w:tcPr>
          <w:p w14:paraId="6AEFDFDE" w14:textId="37EB0A21"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43,861 </w:t>
            </w:r>
          </w:p>
        </w:tc>
        <w:tc>
          <w:tcPr>
            <w:tcW w:w="1082" w:type="dxa"/>
            <w:tcBorders>
              <w:top w:val="single" w:sz="4" w:space="0" w:color="DCDDDE"/>
              <w:left w:val="nil"/>
              <w:bottom w:val="nil"/>
              <w:right w:val="nil"/>
            </w:tcBorders>
            <w:shd w:val="clear" w:color="000000" w:fill="FFFFFF"/>
            <w:noWrap/>
            <w:hideMark/>
          </w:tcPr>
          <w:p w14:paraId="0F6C435C" w14:textId="08C2D5B7"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4,805,838 </w:t>
            </w:r>
          </w:p>
        </w:tc>
        <w:tc>
          <w:tcPr>
            <w:tcW w:w="1082" w:type="dxa"/>
            <w:tcBorders>
              <w:top w:val="single" w:sz="4" w:space="0" w:color="DCDDDE"/>
              <w:left w:val="nil"/>
              <w:bottom w:val="nil"/>
              <w:right w:val="nil"/>
            </w:tcBorders>
            <w:shd w:val="clear" w:color="000000" w:fill="FFFFFF"/>
            <w:noWrap/>
            <w:hideMark/>
          </w:tcPr>
          <w:p w14:paraId="4760CFB4" w14:textId="358D8DB2"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4,523,152 </w:t>
            </w:r>
          </w:p>
        </w:tc>
        <w:tc>
          <w:tcPr>
            <w:tcW w:w="971" w:type="dxa"/>
            <w:tcBorders>
              <w:top w:val="single" w:sz="4" w:space="0" w:color="DCDDDE"/>
              <w:left w:val="nil"/>
              <w:bottom w:val="nil"/>
              <w:right w:val="nil"/>
            </w:tcBorders>
            <w:shd w:val="clear" w:color="000000" w:fill="FFFFFF"/>
            <w:noWrap/>
            <w:vAlign w:val="bottom"/>
            <w:hideMark/>
          </w:tcPr>
          <w:p w14:paraId="680CF777"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w:t>
            </w:r>
          </w:p>
        </w:tc>
        <w:tc>
          <w:tcPr>
            <w:tcW w:w="767" w:type="dxa"/>
            <w:tcBorders>
              <w:top w:val="single" w:sz="4" w:space="0" w:color="DCDDDE"/>
              <w:left w:val="nil"/>
              <w:bottom w:val="nil"/>
              <w:right w:val="nil"/>
            </w:tcBorders>
            <w:shd w:val="clear" w:color="000000" w:fill="FFFFFF"/>
            <w:noWrap/>
            <w:vAlign w:val="bottom"/>
            <w:hideMark/>
          </w:tcPr>
          <w:p w14:paraId="547E9095"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w:t>
            </w:r>
          </w:p>
        </w:tc>
        <w:tc>
          <w:tcPr>
            <w:tcW w:w="1021" w:type="dxa"/>
            <w:tcBorders>
              <w:top w:val="single" w:sz="4" w:space="0" w:color="DCDDDE"/>
              <w:left w:val="nil"/>
              <w:bottom w:val="nil"/>
              <w:right w:val="nil"/>
            </w:tcBorders>
            <w:shd w:val="clear" w:color="000000" w:fill="FFFFFF"/>
            <w:noWrap/>
            <w:vAlign w:val="bottom"/>
            <w:hideMark/>
          </w:tcPr>
          <w:p w14:paraId="167D83BE"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w:t>
            </w:r>
          </w:p>
        </w:tc>
        <w:tc>
          <w:tcPr>
            <w:tcW w:w="744" w:type="dxa"/>
            <w:tcBorders>
              <w:top w:val="single" w:sz="4" w:space="0" w:color="DCDDDE"/>
              <w:left w:val="nil"/>
              <w:bottom w:val="nil"/>
              <w:right w:val="nil"/>
            </w:tcBorders>
            <w:shd w:val="clear" w:color="000000" w:fill="FFFFFF"/>
            <w:noWrap/>
            <w:vAlign w:val="bottom"/>
            <w:hideMark/>
          </w:tcPr>
          <w:p w14:paraId="6833BACE"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w:t>
            </w:r>
          </w:p>
        </w:tc>
      </w:tr>
      <w:tr w:rsidR="00BB14DA" w:rsidRPr="009A3A20" w14:paraId="0D312AF2" w14:textId="77777777" w:rsidTr="00BB14DA">
        <w:trPr>
          <w:cantSplit/>
          <w:trHeight w:val="234"/>
        </w:trPr>
        <w:tc>
          <w:tcPr>
            <w:tcW w:w="1738" w:type="dxa"/>
            <w:tcBorders>
              <w:top w:val="single" w:sz="4" w:space="0" w:color="DCDDDE"/>
              <w:left w:val="nil"/>
              <w:bottom w:val="nil"/>
              <w:right w:val="nil"/>
            </w:tcBorders>
            <w:shd w:val="clear" w:color="000000" w:fill="FFFFFF"/>
            <w:noWrap/>
            <w:vAlign w:val="bottom"/>
            <w:hideMark/>
          </w:tcPr>
          <w:p w14:paraId="4266910F"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Subset to pre/post periods and desired customers</w:t>
            </w:r>
          </w:p>
        </w:tc>
        <w:tc>
          <w:tcPr>
            <w:tcW w:w="979" w:type="dxa"/>
            <w:tcBorders>
              <w:top w:val="single" w:sz="4" w:space="0" w:color="DCDDDE"/>
              <w:left w:val="nil"/>
              <w:bottom w:val="nil"/>
              <w:right w:val="nil"/>
            </w:tcBorders>
            <w:shd w:val="clear" w:color="000000" w:fill="FFFFFF"/>
            <w:noWrap/>
            <w:vAlign w:val="bottom"/>
            <w:hideMark/>
          </w:tcPr>
          <w:p w14:paraId="73D7B594" w14:textId="49A48308"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23,902 </w:t>
            </w:r>
          </w:p>
        </w:tc>
        <w:tc>
          <w:tcPr>
            <w:tcW w:w="976" w:type="dxa"/>
            <w:tcBorders>
              <w:top w:val="single" w:sz="4" w:space="0" w:color="DCDDDE"/>
              <w:left w:val="nil"/>
              <w:bottom w:val="nil"/>
              <w:right w:val="nil"/>
            </w:tcBorders>
            <w:shd w:val="clear" w:color="000000" w:fill="FFFFFF"/>
            <w:noWrap/>
            <w:vAlign w:val="bottom"/>
            <w:hideMark/>
          </w:tcPr>
          <w:p w14:paraId="355DD365" w14:textId="0AAB3404"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27,824 </w:t>
            </w:r>
          </w:p>
        </w:tc>
        <w:tc>
          <w:tcPr>
            <w:tcW w:w="1082" w:type="dxa"/>
            <w:tcBorders>
              <w:top w:val="single" w:sz="4" w:space="0" w:color="DCDDDE"/>
              <w:left w:val="nil"/>
              <w:bottom w:val="nil"/>
              <w:right w:val="nil"/>
            </w:tcBorders>
            <w:shd w:val="clear" w:color="000000" w:fill="FFFFFF"/>
            <w:noWrap/>
            <w:vAlign w:val="bottom"/>
            <w:hideMark/>
          </w:tcPr>
          <w:p w14:paraId="6B83A16E" w14:textId="7C0E35C2"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565,042 </w:t>
            </w:r>
          </w:p>
        </w:tc>
        <w:tc>
          <w:tcPr>
            <w:tcW w:w="1082" w:type="dxa"/>
            <w:tcBorders>
              <w:top w:val="single" w:sz="4" w:space="0" w:color="DCDDDE"/>
              <w:left w:val="nil"/>
              <w:bottom w:val="nil"/>
              <w:right w:val="nil"/>
            </w:tcBorders>
            <w:shd w:val="clear" w:color="000000" w:fill="FFFFFF"/>
            <w:noWrap/>
            <w:vAlign w:val="bottom"/>
            <w:hideMark/>
          </w:tcPr>
          <w:p w14:paraId="33D4EDB3" w14:textId="23F7537B"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657,799 </w:t>
            </w:r>
          </w:p>
        </w:tc>
        <w:tc>
          <w:tcPr>
            <w:tcW w:w="971" w:type="dxa"/>
            <w:tcBorders>
              <w:top w:val="single" w:sz="4" w:space="0" w:color="DCDDDE"/>
              <w:left w:val="nil"/>
              <w:bottom w:val="nil"/>
              <w:right w:val="nil"/>
            </w:tcBorders>
            <w:shd w:val="clear" w:color="000000" w:fill="FFFFFF"/>
            <w:noWrap/>
            <w:vAlign w:val="bottom"/>
            <w:hideMark/>
          </w:tcPr>
          <w:p w14:paraId="0AAFC5DF" w14:textId="6F034F34"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49%</w:t>
            </w:r>
          </w:p>
        </w:tc>
        <w:tc>
          <w:tcPr>
            <w:tcW w:w="767" w:type="dxa"/>
            <w:tcBorders>
              <w:top w:val="single" w:sz="4" w:space="0" w:color="DCDDDE"/>
              <w:left w:val="nil"/>
              <w:bottom w:val="nil"/>
              <w:right w:val="nil"/>
            </w:tcBorders>
            <w:shd w:val="clear" w:color="000000" w:fill="FFFFFF"/>
            <w:noWrap/>
            <w:vAlign w:val="bottom"/>
            <w:hideMark/>
          </w:tcPr>
          <w:p w14:paraId="1446A753" w14:textId="14362A43"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37%</w:t>
            </w:r>
          </w:p>
        </w:tc>
        <w:tc>
          <w:tcPr>
            <w:tcW w:w="1021" w:type="dxa"/>
            <w:tcBorders>
              <w:top w:val="single" w:sz="4" w:space="0" w:color="DCDDDE"/>
              <w:left w:val="nil"/>
              <w:bottom w:val="nil"/>
              <w:right w:val="nil"/>
            </w:tcBorders>
            <w:shd w:val="clear" w:color="000000" w:fill="FFFFFF"/>
            <w:noWrap/>
            <w:vAlign w:val="bottom"/>
            <w:hideMark/>
          </w:tcPr>
          <w:p w14:paraId="758DCE2D" w14:textId="041CC591"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88%</w:t>
            </w:r>
          </w:p>
        </w:tc>
        <w:tc>
          <w:tcPr>
            <w:tcW w:w="744" w:type="dxa"/>
            <w:tcBorders>
              <w:top w:val="single" w:sz="4" w:space="0" w:color="DCDDDE"/>
              <w:left w:val="nil"/>
              <w:bottom w:val="nil"/>
              <w:right w:val="nil"/>
            </w:tcBorders>
            <w:shd w:val="clear" w:color="000000" w:fill="FFFFFF"/>
            <w:noWrap/>
            <w:vAlign w:val="bottom"/>
            <w:hideMark/>
          </w:tcPr>
          <w:p w14:paraId="5C2B88EF" w14:textId="06B3C40D"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85%</w:t>
            </w:r>
          </w:p>
        </w:tc>
      </w:tr>
      <w:tr w:rsidR="00BB14DA" w:rsidRPr="009A3A20" w14:paraId="5ACE3975" w14:textId="77777777" w:rsidTr="00BB14DA">
        <w:trPr>
          <w:cantSplit/>
          <w:trHeight w:val="234"/>
        </w:trPr>
        <w:tc>
          <w:tcPr>
            <w:tcW w:w="1738" w:type="dxa"/>
            <w:tcBorders>
              <w:top w:val="single" w:sz="4" w:space="0" w:color="DCDDDE"/>
              <w:left w:val="nil"/>
              <w:bottom w:val="nil"/>
              <w:right w:val="nil"/>
            </w:tcBorders>
            <w:shd w:val="clear" w:color="000000" w:fill="FFFFFF"/>
            <w:noWrap/>
            <w:vAlign w:val="bottom"/>
            <w:hideMark/>
          </w:tcPr>
          <w:p w14:paraId="32492B87"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Remove exact duplicate observations</w:t>
            </w:r>
          </w:p>
        </w:tc>
        <w:tc>
          <w:tcPr>
            <w:tcW w:w="979" w:type="dxa"/>
            <w:tcBorders>
              <w:top w:val="single" w:sz="4" w:space="0" w:color="DCDDDE"/>
              <w:left w:val="nil"/>
              <w:bottom w:val="nil"/>
              <w:right w:val="nil"/>
            </w:tcBorders>
            <w:shd w:val="clear" w:color="000000" w:fill="FFFFFF"/>
            <w:noWrap/>
            <w:vAlign w:val="bottom"/>
            <w:hideMark/>
          </w:tcPr>
          <w:p w14:paraId="3C17BAED" w14:textId="578F13EF"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23,902 </w:t>
            </w:r>
          </w:p>
        </w:tc>
        <w:tc>
          <w:tcPr>
            <w:tcW w:w="976" w:type="dxa"/>
            <w:tcBorders>
              <w:top w:val="single" w:sz="4" w:space="0" w:color="DCDDDE"/>
              <w:left w:val="nil"/>
              <w:bottom w:val="nil"/>
              <w:right w:val="nil"/>
            </w:tcBorders>
            <w:shd w:val="clear" w:color="000000" w:fill="FFFFFF"/>
            <w:noWrap/>
            <w:vAlign w:val="bottom"/>
            <w:hideMark/>
          </w:tcPr>
          <w:p w14:paraId="756AEA9D" w14:textId="462A2D5D"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27,824 </w:t>
            </w:r>
          </w:p>
        </w:tc>
        <w:tc>
          <w:tcPr>
            <w:tcW w:w="1082" w:type="dxa"/>
            <w:tcBorders>
              <w:top w:val="single" w:sz="4" w:space="0" w:color="DCDDDE"/>
              <w:left w:val="nil"/>
              <w:bottom w:val="nil"/>
              <w:right w:val="nil"/>
            </w:tcBorders>
            <w:shd w:val="clear" w:color="000000" w:fill="FFFFFF"/>
            <w:noWrap/>
            <w:vAlign w:val="bottom"/>
            <w:hideMark/>
          </w:tcPr>
          <w:p w14:paraId="21B7850B" w14:textId="3C4B3771"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565,042 </w:t>
            </w:r>
          </w:p>
        </w:tc>
        <w:tc>
          <w:tcPr>
            <w:tcW w:w="1082" w:type="dxa"/>
            <w:tcBorders>
              <w:top w:val="single" w:sz="4" w:space="0" w:color="DCDDDE"/>
              <w:left w:val="nil"/>
              <w:bottom w:val="nil"/>
              <w:right w:val="nil"/>
            </w:tcBorders>
            <w:shd w:val="clear" w:color="000000" w:fill="FFFFFF"/>
            <w:noWrap/>
            <w:vAlign w:val="bottom"/>
            <w:hideMark/>
          </w:tcPr>
          <w:p w14:paraId="1877C227" w14:textId="48B8AF3B"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657,799 </w:t>
            </w:r>
          </w:p>
        </w:tc>
        <w:tc>
          <w:tcPr>
            <w:tcW w:w="971" w:type="dxa"/>
            <w:tcBorders>
              <w:top w:val="single" w:sz="4" w:space="0" w:color="DCDDDE"/>
              <w:left w:val="nil"/>
              <w:bottom w:val="nil"/>
              <w:right w:val="nil"/>
            </w:tcBorders>
            <w:shd w:val="clear" w:color="000000" w:fill="FFFFFF"/>
            <w:noWrap/>
            <w:vAlign w:val="bottom"/>
            <w:hideMark/>
          </w:tcPr>
          <w:p w14:paraId="45600CC3" w14:textId="5111FD26"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67" w:type="dxa"/>
            <w:tcBorders>
              <w:top w:val="single" w:sz="4" w:space="0" w:color="DCDDDE"/>
              <w:left w:val="nil"/>
              <w:bottom w:val="nil"/>
              <w:right w:val="nil"/>
            </w:tcBorders>
            <w:shd w:val="clear" w:color="000000" w:fill="FFFFFF"/>
            <w:noWrap/>
            <w:vAlign w:val="bottom"/>
            <w:hideMark/>
          </w:tcPr>
          <w:p w14:paraId="10D67055" w14:textId="65AB95BF"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021" w:type="dxa"/>
            <w:tcBorders>
              <w:top w:val="single" w:sz="4" w:space="0" w:color="DCDDDE"/>
              <w:left w:val="nil"/>
              <w:bottom w:val="nil"/>
              <w:right w:val="nil"/>
            </w:tcBorders>
            <w:shd w:val="clear" w:color="000000" w:fill="FFFFFF"/>
            <w:noWrap/>
            <w:vAlign w:val="bottom"/>
            <w:hideMark/>
          </w:tcPr>
          <w:p w14:paraId="0DA0180A" w14:textId="4FBB1360"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44" w:type="dxa"/>
            <w:tcBorders>
              <w:top w:val="single" w:sz="4" w:space="0" w:color="DCDDDE"/>
              <w:left w:val="nil"/>
              <w:bottom w:val="nil"/>
              <w:right w:val="nil"/>
            </w:tcBorders>
            <w:shd w:val="clear" w:color="000000" w:fill="FFFFFF"/>
            <w:noWrap/>
            <w:vAlign w:val="bottom"/>
            <w:hideMark/>
          </w:tcPr>
          <w:p w14:paraId="51C70316" w14:textId="64707A0C"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r>
      <w:tr w:rsidR="00BB14DA" w:rsidRPr="009A3A20" w14:paraId="5C69C7EC" w14:textId="77777777" w:rsidTr="00BB14DA">
        <w:trPr>
          <w:cantSplit/>
          <w:trHeight w:val="234"/>
        </w:trPr>
        <w:tc>
          <w:tcPr>
            <w:tcW w:w="1738" w:type="dxa"/>
            <w:tcBorders>
              <w:top w:val="single" w:sz="4" w:space="0" w:color="DCDDDE"/>
              <w:left w:val="nil"/>
              <w:bottom w:val="nil"/>
              <w:right w:val="nil"/>
            </w:tcBorders>
            <w:shd w:val="clear" w:color="000000" w:fill="FFFFFF"/>
            <w:noWrap/>
            <w:vAlign w:val="bottom"/>
            <w:hideMark/>
          </w:tcPr>
          <w:p w14:paraId="347F2EDF"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Bill Flattening</w:t>
            </w:r>
          </w:p>
        </w:tc>
        <w:tc>
          <w:tcPr>
            <w:tcW w:w="979" w:type="dxa"/>
            <w:tcBorders>
              <w:top w:val="single" w:sz="4" w:space="0" w:color="DCDDDE"/>
              <w:left w:val="nil"/>
              <w:bottom w:val="nil"/>
              <w:right w:val="nil"/>
            </w:tcBorders>
            <w:shd w:val="clear" w:color="000000" w:fill="FFFFFF"/>
            <w:noWrap/>
            <w:vAlign w:val="bottom"/>
            <w:hideMark/>
          </w:tcPr>
          <w:p w14:paraId="0E35F409" w14:textId="2FFF85BF"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23,902 </w:t>
            </w:r>
          </w:p>
        </w:tc>
        <w:tc>
          <w:tcPr>
            <w:tcW w:w="976" w:type="dxa"/>
            <w:tcBorders>
              <w:top w:val="single" w:sz="4" w:space="0" w:color="DCDDDE"/>
              <w:left w:val="nil"/>
              <w:bottom w:val="nil"/>
              <w:right w:val="nil"/>
            </w:tcBorders>
            <w:shd w:val="clear" w:color="000000" w:fill="FFFFFF"/>
            <w:noWrap/>
            <w:vAlign w:val="bottom"/>
            <w:hideMark/>
          </w:tcPr>
          <w:p w14:paraId="46DFBAA3" w14:textId="2EA83EDE"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27,824 </w:t>
            </w:r>
          </w:p>
        </w:tc>
        <w:tc>
          <w:tcPr>
            <w:tcW w:w="1082" w:type="dxa"/>
            <w:tcBorders>
              <w:top w:val="single" w:sz="4" w:space="0" w:color="DCDDDE"/>
              <w:left w:val="nil"/>
              <w:bottom w:val="nil"/>
              <w:right w:val="nil"/>
            </w:tcBorders>
            <w:shd w:val="clear" w:color="000000" w:fill="FFFFFF"/>
            <w:noWrap/>
            <w:vAlign w:val="bottom"/>
            <w:hideMark/>
          </w:tcPr>
          <w:p w14:paraId="1007CFFE" w14:textId="6B6735C6"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551,873 </w:t>
            </w:r>
          </w:p>
        </w:tc>
        <w:tc>
          <w:tcPr>
            <w:tcW w:w="1082" w:type="dxa"/>
            <w:tcBorders>
              <w:top w:val="single" w:sz="4" w:space="0" w:color="DCDDDE"/>
              <w:left w:val="nil"/>
              <w:bottom w:val="nil"/>
              <w:right w:val="nil"/>
            </w:tcBorders>
            <w:shd w:val="clear" w:color="000000" w:fill="FFFFFF"/>
            <w:noWrap/>
            <w:vAlign w:val="bottom"/>
            <w:hideMark/>
          </w:tcPr>
          <w:p w14:paraId="16C2EF69" w14:textId="5B86F9AC"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642,223 </w:t>
            </w:r>
          </w:p>
        </w:tc>
        <w:tc>
          <w:tcPr>
            <w:tcW w:w="971" w:type="dxa"/>
            <w:tcBorders>
              <w:top w:val="single" w:sz="4" w:space="0" w:color="DCDDDE"/>
              <w:left w:val="nil"/>
              <w:bottom w:val="nil"/>
              <w:right w:val="nil"/>
            </w:tcBorders>
            <w:shd w:val="clear" w:color="000000" w:fill="FFFFFF"/>
            <w:noWrap/>
            <w:vAlign w:val="bottom"/>
            <w:hideMark/>
          </w:tcPr>
          <w:p w14:paraId="4F674218" w14:textId="0C85BF00"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67" w:type="dxa"/>
            <w:tcBorders>
              <w:top w:val="single" w:sz="4" w:space="0" w:color="DCDDDE"/>
              <w:left w:val="nil"/>
              <w:bottom w:val="nil"/>
              <w:right w:val="nil"/>
            </w:tcBorders>
            <w:shd w:val="clear" w:color="000000" w:fill="FFFFFF"/>
            <w:noWrap/>
            <w:vAlign w:val="bottom"/>
            <w:hideMark/>
          </w:tcPr>
          <w:p w14:paraId="475F8057" w14:textId="640F469B"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021" w:type="dxa"/>
            <w:tcBorders>
              <w:top w:val="single" w:sz="4" w:space="0" w:color="DCDDDE"/>
              <w:left w:val="nil"/>
              <w:bottom w:val="nil"/>
              <w:right w:val="nil"/>
            </w:tcBorders>
            <w:shd w:val="clear" w:color="000000" w:fill="FFFFFF"/>
            <w:noWrap/>
            <w:vAlign w:val="bottom"/>
            <w:hideMark/>
          </w:tcPr>
          <w:p w14:paraId="35CB597B" w14:textId="638CAC12"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2%</w:t>
            </w:r>
          </w:p>
        </w:tc>
        <w:tc>
          <w:tcPr>
            <w:tcW w:w="744" w:type="dxa"/>
            <w:tcBorders>
              <w:top w:val="single" w:sz="4" w:space="0" w:color="DCDDDE"/>
              <w:left w:val="nil"/>
              <w:bottom w:val="nil"/>
              <w:right w:val="nil"/>
            </w:tcBorders>
            <w:shd w:val="clear" w:color="000000" w:fill="FFFFFF"/>
            <w:noWrap/>
            <w:vAlign w:val="bottom"/>
            <w:hideMark/>
          </w:tcPr>
          <w:p w14:paraId="55348F49" w14:textId="1B64CFF5"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2%</w:t>
            </w:r>
          </w:p>
        </w:tc>
      </w:tr>
      <w:tr w:rsidR="00BB14DA" w:rsidRPr="009A3A20" w14:paraId="2B194BDF" w14:textId="77777777" w:rsidTr="00BB14DA">
        <w:trPr>
          <w:cantSplit/>
          <w:trHeight w:val="234"/>
        </w:trPr>
        <w:tc>
          <w:tcPr>
            <w:tcW w:w="1738" w:type="dxa"/>
            <w:tcBorders>
              <w:top w:val="single" w:sz="4" w:space="0" w:color="DCDDDE"/>
              <w:left w:val="nil"/>
              <w:bottom w:val="nil"/>
              <w:right w:val="nil"/>
            </w:tcBorders>
            <w:shd w:val="clear" w:color="000000" w:fill="FFFFFF"/>
            <w:noWrap/>
            <w:vAlign w:val="bottom"/>
            <w:hideMark/>
          </w:tcPr>
          <w:p w14:paraId="612791DB"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Exclude outliers</w:t>
            </w:r>
          </w:p>
        </w:tc>
        <w:tc>
          <w:tcPr>
            <w:tcW w:w="979" w:type="dxa"/>
            <w:tcBorders>
              <w:top w:val="single" w:sz="4" w:space="0" w:color="DCDDDE"/>
              <w:left w:val="nil"/>
              <w:bottom w:val="nil"/>
              <w:right w:val="nil"/>
            </w:tcBorders>
            <w:shd w:val="clear" w:color="000000" w:fill="FFFFFF"/>
            <w:noWrap/>
            <w:vAlign w:val="bottom"/>
            <w:hideMark/>
          </w:tcPr>
          <w:p w14:paraId="461378B1" w14:textId="00958176"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23,901 </w:t>
            </w:r>
          </w:p>
        </w:tc>
        <w:tc>
          <w:tcPr>
            <w:tcW w:w="976" w:type="dxa"/>
            <w:tcBorders>
              <w:top w:val="single" w:sz="4" w:space="0" w:color="DCDDDE"/>
              <w:left w:val="nil"/>
              <w:bottom w:val="nil"/>
              <w:right w:val="nil"/>
            </w:tcBorders>
            <w:shd w:val="clear" w:color="000000" w:fill="FFFFFF"/>
            <w:noWrap/>
            <w:vAlign w:val="bottom"/>
            <w:hideMark/>
          </w:tcPr>
          <w:p w14:paraId="7409FAFC" w14:textId="0DE1528A"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27,820 </w:t>
            </w:r>
          </w:p>
        </w:tc>
        <w:tc>
          <w:tcPr>
            <w:tcW w:w="1082" w:type="dxa"/>
            <w:tcBorders>
              <w:top w:val="single" w:sz="4" w:space="0" w:color="DCDDDE"/>
              <w:left w:val="nil"/>
              <w:bottom w:val="nil"/>
              <w:right w:val="nil"/>
            </w:tcBorders>
            <w:shd w:val="clear" w:color="000000" w:fill="FFFFFF"/>
            <w:noWrap/>
            <w:vAlign w:val="bottom"/>
            <w:hideMark/>
          </w:tcPr>
          <w:p w14:paraId="3DEE89D6" w14:textId="598C39DA"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551,568 </w:t>
            </w:r>
          </w:p>
        </w:tc>
        <w:tc>
          <w:tcPr>
            <w:tcW w:w="1082" w:type="dxa"/>
            <w:tcBorders>
              <w:top w:val="single" w:sz="4" w:space="0" w:color="DCDDDE"/>
              <w:left w:val="nil"/>
              <w:bottom w:val="nil"/>
              <w:right w:val="nil"/>
            </w:tcBorders>
            <w:shd w:val="clear" w:color="000000" w:fill="FFFFFF"/>
            <w:noWrap/>
            <w:vAlign w:val="bottom"/>
            <w:hideMark/>
          </w:tcPr>
          <w:p w14:paraId="032AACFD" w14:textId="18ACEB08"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641,902 </w:t>
            </w:r>
          </w:p>
        </w:tc>
        <w:tc>
          <w:tcPr>
            <w:tcW w:w="971" w:type="dxa"/>
            <w:tcBorders>
              <w:top w:val="single" w:sz="4" w:space="0" w:color="DCDDDE"/>
              <w:left w:val="nil"/>
              <w:bottom w:val="nil"/>
              <w:right w:val="nil"/>
            </w:tcBorders>
            <w:shd w:val="clear" w:color="000000" w:fill="FFFFFF"/>
            <w:noWrap/>
            <w:vAlign w:val="bottom"/>
            <w:hideMark/>
          </w:tcPr>
          <w:p w14:paraId="173B1C03" w14:textId="35999D63"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67" w:type="dxa"/>
            <w:tcBorders>
              <w:top w:val="single" w:sz="4" w:space="0" w:color="DCDDDE"/>
              <w:left w:val="nil"/>
              <w:bottom w:val="nil"/>
              <w:right w:val="nil"/>
            </w:tcBorders>
            <w:shd w:val="clear" w:color="000000" w:fill="FFFFFF"/>
            <w:noWrap/>
            <w:vAlign w:val="bottom"/>
            <w:hideMark/>
          </w:tcPr>
          <w:p w14:paraId="51AE581D" w14:textId="2EA5EBF2"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021" w:type="dxa"/>
            <w:tcBorders>
              <w:top w:val="single" w:sz="4" w:space="0" w:color="DCDDDE"/>
              <w:left w:val="nil"/>
              <w:bottom w:val="nil"/>
              <w:right w:val="nil"/>
            </w:tcBorders>
            <w:shd w:val="clear" w:color="000000" w:fill="FFFFFF"/>
            <w:noWrap/>
            <w:vAlign w:val="bottom"/>
            <w:hideMark/>
          </w:tcPr>
          <w:p w14:paraId="287723C8" w14:textId="36C0F011"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44" w:type="dxa"/>
            <w:tcBorders>
              <w:top w:val="single" w:sz="4" w:space="0" w:color="DCDDDE"/>
              <w:left w:val="nil"/>
              <w:bottom w:val="nil"/>
              <w:right w:val="nil"/>
            </w:tcBorders>
            <w:shd w:val="clear" w:color="000000" w:fill="FFFFFF"/>
            <w:noWrap/>
            <w:vAlign w:val="bottom"/>
            <w:hideMark/>
          </w:tcPr>
          <w:p w14:paraId="7DA481ED" w14:textId="3639B75A"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r>
      <w:tr w:rsidR="00BB14DA" w:rsidRPr="009A3A20" w14:paraId="4A9EA723" w14:textId="77777777" w:rsidTr="00BB14DA">
        <w:trPr>
          <w:cantSplit/>
          <w:trHeight w:val="234"/>
        </w:trPr>
        <w:tc>
          <w:tcPr>
            <w:tcW w:w="1738" w:type="dxa"/>
            <w:tcBorders>
              <w:top w:val="single" w:sz="4" w:space="0" w:color="DCDDDE"/>
              <w:left w:val="nil"/>
              <w:bottom w:val="nil"/>
              <w:right w:val="nil"/>
            </w:tcBorders>
            <w:shd w:val="clear" w:color="000000" w:fill="FFFFFF"/>
            <w:noWrap/>
            <w:vAlign w:val="bottom"/>
            <w:hideMark/>
          </w:tcPr>
          <w:p w14:paraId="04807DB6"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Remove pre-period data (for LDV analysis)</w:t>
            </w:r>
          </w:p>
        </w:tc>
        <w:tc>
          <w:tcPr>
            <w:tcW w:w="979" w:type="dxa"/>
            <w:tcBorders>
              <w:top w:val="single" w:sz="4" w:space="0" w:color="DCDDDE"/>
              <w:left w:val="nil"/>
              <w:bottom w:val="nil"/>
              <w:right w:val="nil"/>
            </w:tcBorders>
            <w:shd w:val="clear" w:color="000000" w:fill="FFFFFF"/>
            <w:noWrap/>
            <w:vAlign w:val="bottom"/>
            <w:hideMark/>
          </w:tcPr>
          <w:p w14:paraId="50635E79" w14:textId="5F897B83"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23,896 </w:t>
            </w:r>
          </w:p>
        </w:tc>
        <w:tc>
          <w:tcPr>
            <w:tcW w:w="976" w:type="dxa"/>
            <w:tcBorders>
              <w:top w:val="single" w:sz="4" w:space="0" w:color="DCDDDE"/>
              <w:left w:val="nil"/>
              <w:bottom w:val="nil"/>
              <w:right w:val="nil"/>
            </w:tcBorders>
            <w:shd w:val="clear" w:color="000000" w:fill="FFFFFF"/>
            <w:noWrap/>
            <w:vAlign w:val="bottom"/>
            <w:hideMark/>
          </w:tcPr>
          <w:p w14:paraId="0F2C1A02" w14:textId="10654A34"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27,817 </w:t>
            </w:r>
          </w:p>
        </w:tc>
        <w:tc>
          <w:tcPr>
            <w:tcW w:w="1082" w:type="dxa"/>
            <w:tcBorders>
              <w:top w:val="single" w:sz="4" w:space="0" w:color="DCDDDE"/>
              <w:left w:val="nil"/>
              <w:bottom w:val="nil"/>
              <w:right w:val="nil"/>
            </w:tcBorders>
            <w:shd w:val="clear" w:color="000000" w:fill="FFFFFF"/>
            <w:noWrap/>
            <w:vAlign w:val="bottom"/>
            <w:hideMark/>
          </w:tcPr>
          <w:p w14:paraId="29EE6E3C" w14:textId="5C272843"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274,696 </w:t>
            </w:r>
          </w:p>
        </w:tc>
        <w:tc>
          <w:tcPr>
            <w:tcW w:w="1082" w:type="dxa"/>
            <w:tcBorders>
              <w:top w:val="single" w:sz="4" w:space="0" w:color="DCDDDE"/>
              <w:left w:val="nil"/>
              <w:bottom w:val="nil"/>
              <w:right w:val="nil"/>
            </w:tcBorders>
            <w:shd w:val="clear" w:color="000000" w:fill="FFFFFF"/>
            <w:noWrap/>
            <w:vAlign w:val="bottom"/>
            <w:hideMark/>
          </w:tcPr>
          <w:p w14:paraId="3B07AD6B" w14:textId="77FAFEE8"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319,762 </w:t>
            </w:r>
          </w:p>
        </w:tc>
        <w:tc>
          <w:tcPr>
            <w:tcW w:w="971" w:type="dxa"/>
            <w:tcBorders>
              <w:top w:val="single" w:sz="4" w:space="0" w:color="DCDDDE"/>
              <w:left w:val="nil"/>
              <w:bottom w:val="nil"/>
              <w:right w:val="nil"/>
            </w:tcBorders>
            <w:shd w:val="clear" w:color="000000" w:fill="FFFFFF"/>
            <w:noWrap/>
            <w:vAlign w:val="bottom"/>
            <w:hideMark/>
          </w:tcPr>
          <w:p w14:paraId="3094AF80" w14:textId="13C2D361"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67" w:type="dxa"/>
            <w:tcBorders>
              <w:top w:val="single" w:sz="4" w:space="0" w:color="DCDDDE"/>
              <w:left w:val="nil"/>
              <w:bottom w:val="nil"/>
              <w:right w:val="nil"/>
            </w:tcBorders>
            <w:shd w:val="clear" w:color="000000" w:fill="FFFFFF"/>
            <w:noWrap/>
            <w:vAlign w:val="bottom"/>
            <w:hideMark/>
          </w:tcPr>
          <w:p w14:paraId="531D7BDE" w14:textId="44270700"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021" w:type="dxa"/>
            <w:tcBorders>
              <w:top w:val="single" w:sz="4" w:space="0" w:color="DCDDDE"/>
              <w:left w:val="nil"/>
              <w:bottom w:val="nil"/>
              <w:right w:val="nil"/>
            </w:tcBorders>
            <w:shd w:val="clear" w:color="000000" w:fill="FFFFFF"/>
            <w:noWrap/>
            <w:vAlign w:val="bottom"/>
            <w:hideMark/>
          </w:tcPr>
          <w:p w14:paraId="2D25E098" w14:textId="61C96A31"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50%</w:t>
            </w:r>
          </w:p>
        </w:tc>
        <w:tc>
          <w:tcPr>
            <w:tcW w:w="744" w:type="dxa"/>
            <w:tcBorders>
              <w:top w:val="single" w:sz="4" w:space="0" w:color="DCDDDE"/>
              <w:left w:val="nil"/>
              <w:bottom w:val="nil"/>
              <w:right w:val="nil"/>
            </w:tcBorders>
            <w:shd w:val="clear" w:color="000000" w:fill="FFFFFF"/>
            <w:noWrap/>
            <w:vAlign w:val="bottom"/>
            <w:hideMark/>
          </w:tcPr>
          <w:p w14:paraId="2126051B" w14:textId="02E21856"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50%</w:t>
            </w:r>
          </w:p>
        </w:tc>
      </w:tr>
      <w:tr w:rsidR="00BB14DA" w:rsidRPr="009A3A20" w14:paraId="3AE83B9A" w14:textId="77777777" w:rsidTr="00BB14DA">
        <w:trPr>
          <w:cantSplit/>
          <w:trHeight w:val="234"/>
        </w:trPr>
        <w:tc>
          <w:tcPr>
            <w:tcW w:w="1738" w:type="dxa"/>
            <w:tcBorders>
              <w:top w:val="single" w:sz="4" w:space="0" w:color="DCDDDE"/>
              <w:left w:val="nil"/>
              <w:bottom w:val="single" w:sz="4" w:space="0" w:color="auto"/>
              <w:right w:val="nil"/>
            </w:tcBorders>
            <w:shd w:val="clear" w:color="000000" w:fill="FFFFFF"/>
            <w:noWrap/>
            <w:vAlign w:val="bottom"/>
            <w:hideMark/>
          </w:tcPr>
          <w:p w14:paraId="437ECABF" w14:textId="77777777" w:rsidR="00BB14DA" w:rsidRPr="009A3A20" w:rsidRDefault="00BB14DA" w:rsidP="00BB14DA">
            <w:pPr>
              <w:keepNext/>
              <w:keepLines/>
              <w:contextualSpacing w:val="0"/>
              <w:rPr>
                <w:rFonts w:ascii="Arial Narrow" w:eastAsia="Times New Roman" w:hAnsi="Arial Narrow" w:cs="Arial"/>
                <w:szCs w:val="20"/>
              </w:rPr>
            </w:pPr>
            <w:r w:rsidRPr="009A3A20">
              <w:rPr>
                <w:rFonts w:ascii="Arial Narrow" w:eastAsia="Times New Roman" w:hAnsi="Arial Narrow" w:cs="Arial"/>
                <w:szCs w:val="20"/>
              </w:rPr>
              <w:t>Remove observations without a monthly pre-use value (for LDV analysis)</w:t>
            </w:r>
          </w:p>
        </w:tc>
        <w:tc>
          <w:tcPr>
            <w:tcW w:w="979" w:type="dxa"/>
            <w:tcBorders>
              <w:top w:val="single" w:sz="4" w:space="0" w:color="DCDDDE"/>
              <w:left w:val="nil"/>
              <w:bottom w:val="single" w:sz="4" w:space="0" w:color="auto"/>
              <w:right w:val="nil"/>
            </w:tcBorders>
            <w:shd w:val="clear" w:color="000000" w:fill="FFFFFF"/>
            <w:noWrap/>
            <w:vAlign w:val="bottom"/>
            <w:hideMark/>
          </w:tcPr>
          <w:p w14:paraId="7234E3D7" w14:textId="1781F947"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23,887 </w:t>
            </w:r>
          </w:p>
        </w:tc>
        <w:tc>
          <w:tcPr>
            <w:tcW w:w="976" w:type="dxa"/>
            <w:tcBorders>
              <w:top w:val="single" w:sz="4" w:space="0" w:color="DCDDDE"/>
              <w:left w:val="nil"/>
              <w:bottom w:val="single" w:sz="4" w:space="0" w:color="auto"/>
              <w:right w:val="nil"/>
            </w:tcBorders>
            <w:shd w:val="clear" w:color="000000" w:fill="FFFFFF"/>
            <w:noWrap/>
            <w:vAlign w:val="bottom"/>
            <w:hideMark/>
          </w:tcPr>
          <w:p w14:paraId="7215A2DE" w14:textId="1BFB321E"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27,807 </w:t>
            </w:r>
          </w:p>
        </w:tc>
        <w:tc>
          <w:tcPr>
            <w:tcW w:w="1082" w:type="dxa"/>
            <w:tcBorders>
              <w:top w:val="single" w:sz="4" w:space="0" w:color="DCDDDE"/>
              <w:left w:val="nil"/>
              <w:bottom w:val="single" w:sz="4" w:space="0" w:color="auto"/>
              <w:right w:val="nil"/>
            </w:tcBorders>
            <w:shd w:val="clear" w:color="000000" w:fill="FFFFFF"/>
            <w:noWrap/>
            <w:vAlign w:val="bottom"/>
            <w:hideMark/>
          </w:tcPr>
          <w:p w14:paraId="431610EA" w14:textId="3AECFDE3"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265,700 </w:t>
            </w:r>
          </w:p>
        </w:tc>
        <w:tc>
          <w:tcPr>
            <w:tcW w:w="1082" w:type="dxa"/>
            <w:tcBorders>
              <w:top w:val="single" w:sz="4" w:space="0" w:color="DCDDDE"/>
              <w:left w:val="nil"/>
              <w:bottom w:val="single" w:sz="4" w:space="0" w:color="auto"/>
              <w:right w:val="nil"/>
            </w:tcBorders>
            <w:shd w:val="clear" w:color="000000" w:fill="FFFFFF"/>
            <w:noWrap/>
            <w:vAlign w:val="bottom"/>
            <w:hideMark/>
          </w:tcPr>
          <w:p w14:paraId="4093BAFF" w14:textId="6F13FFD0" w:rsidR="00BB14DA" w:rsidRPr="00BB14DA"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309,145 </w:t>
            </w:r>
          </w:p>
        </w:tc>
        <w:tc>
          <w:tcPr>
            <w:tcW w:w="971" w:type="dxa"/>
            <w:tcBorders>
              <w:top w:val="single" w:sz="4" w:space="0" w:color="DCDDDE"/>
              <w:left w:val="nil"/>
              <w:bottom w:val="single" w:sz="4" w:space="0" w:color="auto"/>
              <w:right w:val="nil"/>
            </w:tcBorders>
            <w:shd w:val="clear" w:color="000000" w:fill="FFFFFF"/>
            <w:noWrap/>
            <w:vAlign w:val="bottom"/>
            <w:hideMark/>
          </w:tcPr>
          <w:p w14:paraId="7E79A83E" w14:textId="59841D08"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67" w:type="dxa"/>
            <w:tcBorders>
              <w:top w:val="single" w:sz="4" w:space="0" w:color="DCDDDE"/>
              <w:left w:val="nil"/>
              <w:bottom w:val="single" w:sz="4" w:space="0" w:color="auto"/>
              <w:right w:val="nil"/>
            </w:tcBorders>
            <w:shd w:val="clear" w:color="000000" w:fill="FFFFFF"/>
            <w:noWrap/>
            <w:vAlign w:val="bottom"/>
            <w:hideMark/>
          </w:tcPr>
          <w:p w14:paraId="1C384A09" w14:textId="7ABC6BB8"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021" w:type="dxa"/>
            <w:tcBorders>
              <w:top w:val="single" w:sz="4" w:space="0" w:color="DCDDDE"/>
              <w:left w:val="nil"/>
              <w:bottom w:val="single" w:sz="4" w:space="0" w:color="auto"/>
              <w:right w:val="nil"/>
            </w:tcBorders>
            <w:shd w:val="clear" w:color="000000" w:fill="FFFFFF"/>
            <w:noWrap/>
            <w:vAlign w:val="bottom"/>
            <w:hideMark/>
          </w:tcPr>
          <w:p w14:paraId="367D0A52" w14:textId="4AF7BA6A"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w:t>
            </w:r>
          </w:p>
        </w:tc>
        <w:tc>
          <w:tcPr>
            <w:tcW w:w="744" w:type="dxa"/>
            <w:tcBorders>
              <w:top w:val="single" w:sz="4" w:space="0" w:color="DCDDDE"/>
              <w:left w:val="nil"/>
              <w:bottom w:val="single" w:sz="4" w:space="0" w:color="auto"/>
              <w:right w:val="nil"/>
            </w:tcBorders>
            <w:shd w:val="clear" w:color="000000" w:fill="FFFFFF"/>
            <w:noWrap/>
            <w:vAlign w:val="bottom"/>
            <w:hideMark/>
          </w:tcPr>
          <w:p w14:paraId="7601B777" w14:textId="42227D07" w:rsidR="00BB14DA" w:rsidRPr="009A3A20"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w:t>
            </w:r>
          </w:p>
        </w:tc>
      </w:tr>
    </w:tbl>
    <w:p w14:paraId="552EF37B" w14:textId="600CD088" w:rsidR="003567EF" w:rsidRDefault="001560BF" w:rsidP="00391806">
      <w:pPr>
        <w:pStyle w:val="Source"/>
        <w:keepLines/>
      </w:pPr>
      <w:r>
        <w:t>Source: Navigant analysis</w:t>
      </w:r>
    </w:p>
    <w:p w14:paraId="66A8DD73" w14:textId="77777777" w:rsidR="00661E90" w:rsidRDefault="00661E90" w:rsidP="00391806">
      <w:pPr>
        <w:pStyle w:val="Source"/>
        <w:keepLines/>
        <w:rPr>
          <w:szCs w:val="40"/>
        </w:rPr>
      </w:pPr>
    </w:p>
    <w:p w14:paraId="5458A391" w14:textId="59ED2502" w:rsidR="00367992" w:rsidRDefault="006B1101" w:rsidP="003206D7">
      <w:pPr>
        <w:pStyle w:val="Caption"/>
        <w:keepLines/>
        <w:rPr>
          <w:rFonts w:cs="Arial"/>
          <w:szCs w:val="40"/>
        </w:rPr>
      </w:pPr>
      <w:bookmarkStart w:id="75" w:name="_Toc525646508"/>
      <w:r>
        <w:lastRenderedPageBreak/>
        <w:t xml:space="preserve">Table </w:t>
      </w:r>
      <w:fldSimple w:instr=" STYLEREF 1 \s ">
        <w:r w:rsidR="006E4D05">
          <w:rPr>
            <w:noProof/>
          </w:rPr>
          <w:t>7</w:t>
        </w:r>
      </w:fldSimple>
      <w:r>
        <w:noBreakHyphen/>
      </w:r>
      <w:fldSimple w:instr=" SEQ Table \* ARABIC \s 1 ">
        <w:r w:rsidR="006E4D05">
          <w:rPr>
            <w:noProof/>
          </w:rPr>
          <w:t>2</w:t>
        </w:r>
      </w:fldSimple>
      <w:r>
        <w:t>. Customers and Observations Removed by Data Cleaning Step (Wave 3)</w:t>
      </w:r>
      <w:bookmarkEnd w:id="75"/>
    </w:p>
    <w:tbl>
      <w:tblPr>
        <w:tblW w:w="9360" w:type="dxa"/>
        <w:tblLook w:val="04A0" w:firstRow="1" w:lastRow="0" w:firstColumn="1" w:lastColumn="0" w:noHBand="0" w:noVBand="1"/>
      </w:tblPr>
      <w:tblGrid>
        <w:gridCol w:w="1763"/>
        <w:gridCol w:w="1017"/>
        <w:gridCol w:w="810"/>
        <w:gridCol w:w="1037"/>
        <w:gridCol w:w="996"/>
        <w:gridCol w:w="981"/>
        <w:gridCol w:w="799"/>
        <w:gridCol w:w="1212"/>
        <w:gridCol w:w="745"/>
      </w:tblGrid>
      <w:tr w:rsidR="001A4439" w:rsidRPr="00367992" w14:paraId="68B26B2B" w14:textId="77777777" w:rsidTr="00BB14DA">
        <w:trPr>
          <w:cantSplit/>
          <w:trHeight w:val="283"/>
        </w:trPr>
        <w:tc>
          <w:tcPr>
            <w:tcW w:w="1763" w:type="dxa"/>
            <w:vMerge w:val="restart"/>
            <w:tcBorders>
              <w:top w:val="single" w:sz="4" w:space="0" w:color="DCDDDE"/>
              <w:left w:val="nil"/>
              <w:bottom w:val="single" w:sz="4" w:space="0" w:color="DCDDDE"/>
              <w:right w:val="nil"/>
            </w:tcBorders>
            <w:shd w:val="clear" w:color="000000" w:fill="555759"/>
            <w:vAlign w:val="bottom"/>
            <w:hideMark/>
          </w:tcPr>
          <w:p w14:paraId="7759F9F3" w14:textId="77777777" w:rsidR="00367992" w:rsidRPr="00367992" w:rsidRDefault="00367992" w:rsidP="003206D7">
            <w:pPr>
              <w:keepNext/>
              <w:keepLines/>
              <w:contextualSpacing w:val="0"/>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Data Cleaning Step</w:t>
            </w:r>
            <w:r w:rsidRPr="00367992">
              <w:rPr>
                <w:rFonts w:ascii="Arial Narrow" w:eastAsia="Times New Roman" w:hAnsi="Arial Narrow" w:cs="Arial"/>
                <w:b/>
                <w:bCs/>
                <w:color w:val="FFFFFF"/>
                <w:szCs w:val="20"/>
              </w:rPr>
              <w:br/>
              <w:t>Wave 3</w:t>
            </w:r>
          </w:p>
        </w:tc>
        <w:tc>
          <w:tcPr>
            <w:tcW w:w="1827" w:type="dxa"/>
            <w:gridSpan w:val="2"/>
            <w:tcBorders>
              <w:top w:val="single" w:sz="4" w:space="0" w:color="DCDDDE"/>
              <w:left w:val="nil"/>
              <w:bottom w:val="single" w:sz="8" w:space="0" w:color="95D600"/>
              <w:right w:val="nil"/>
            </w:tcBorders>
            <w:shd w:val="clear" w:color="000000" w:fill="555759"/>
            <w:noWrap/>
            <w:vAlign w:val="bottom"/>
            <w:hideMark/>
          </w:tcPr>
          <w:p w14:paraId="51D6E792" w14:textId="77777777" w:rsidR="00367992" w:rsidRPr="00367992" w:rsidRDefault="00367992" w:rsidP="003206D7">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Customers</w:t>
            </w:r>
          </w:p>
        </w:tc>
        <w:tc>
          <w:tcPr>
            <w:tcW w:w="2033" w:type="dxa"/>
            <w:gridSpan w:val="2"/>
            <w:tcBorders>
              <w:top w:val="single" w:sz="4" w:space="0" w:color="DCDDDE"/>
              <w:left w:val="nil"/>
              <w:bottom w:val="single" w:sz="8" w:space="0" w:color="95D600"/>
              <w:right w:val="nil"/>
            </w:tcBorders>
            <w:shd w:val="clear" w:color="000000" w:fill="555759"/>
            <w:noWrap/>
            <w:vAlign w:val="bottom"/>
            <w:hideMark/>
          </w:tcPr>
          <w:p w14:paraId="3C7EB577" w14:textId="77777777" w:rsidR="00367992" w:rsidRPr="00367992" w:rsidRDefault="00367992" w:rsidP="003206D7">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Observations</w:t>
            </w:r>
          </w:p>
        </w:tc>
        <w:tc>
          <w:tcPr>
            <w:tcW w:w="1780" w:type="dxa"/>
            <w:gridSpan w:val="2"/>
            <w:tcBorders>
              <w:top w:val="single" w:sz="4" w:space="0" w:color="DCDDDE"/>
              <w:left w:val="nil"/>
              <w:bottom w:val="single" w:sz="8" w:space="0" w:color="95D600"/>
              <w:right w:val="nil"/>
            </w:tcBorders>
            <w:shd w:val="clear" w:color="000000" w:fill="555759"/>
            <w:noWrap/>
            <w:vAlign w:val="bottom"/>
            <w:hideMark/>
          </w:tcPr>
          <w:p w14:paraId="64045F82" w14:textId="77777777" w:rsidR="00367992" w:rsidRPr="00367992" w:rsidRDefault="00367992" w:rsidP="003206D7">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Customer % Change</w:t>
            </w:r>
          </w:p>
        </w:tc>
        <w:tc>
          <w:tcPr>
            <w:tcW w:w="1957" w:type="dxa"/>
            <w:gridSpan w:val="2"/>
            <w:tcBorders>
              <w:top w:val="single" w:sz="4" w:space="0" w:color="DCDDDE"/>
              <w:left w:val="nil"/>
              <w:bottom w:val="single" w:sz="8" w:space="0" w:color="95D600"/>
              <w:right w:val="nil"/>
            </w:tcBorders>
            <w:shd w:val="clear" w:color="000000" w:fill="555759"/>
            <w:noWrap/>
            <w:vAlign w:val="bottom"/>
            <w:hideMark/>
          </w:tcPr>
          <w:p w14:paraId="16D0F0CB" w14:textId="77777777" w:rsidR="00367992" w:rsidRPr="00367992" w:rsidRDefault="00367992" w:rsidP="003206D7">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Observation % Change</w:t>
            </w:r>
          </w:p>
        </w:tc>
      </w:tr>
      <w:tr w:rsidR="001A4439" w:rsidRPr="00367992" w14:paraId="75A19381" w14:textId="77777777" w:rsidTr="00BB14DA">
        <w:trPr>
          <w:cantSplit/>
          <w:trHeight w:val="267"/>
        </w:trPr>
        <w:tc>
          <w:tcPr>
            <w:tcW w:w="1763" w:type="dxa"/>
            <w:vMerge/>
            <w:tcBorders>
              <w:top w:val="single" w:sz="4" w:space="0" w:color="DCDDDE"/>
              <w:left w:val="nil"/>
              <w:bottom w:val="single" w:sz="4" w:space="0" w:color="DCDDDE"/>
              <w:right w:val="nil"/>
            </w:tcBorders>
            <w:vAlign w:val="center"/>
            <w:hideMark/>
          </w:tcPr>
          <w:p w14:paraId="1FC63F25" w14:textId="77777777" w:rsidR="00367992" w:rsidRPr="00367992" w:rsidRDefault="00367992" w:rsidP="003206D7">
            <w:pPr>
              <w:keepNext/>
              <w:keepLines/>
              <w:contextualSpacing w:val="0"/>
              <w:rPr>
                <w:rFonts w:ascii="Arial Narrow" w:eastAsia="Times New Roman" w:hAnsi="Arial Narrow" w:cs="Arial"/>
                <w:b/>
                <w:bCs/>
                <w:color w:val="FFFFFF"/>
                <w:szCs w:val="20"/>
              </w:rPr>
            </w:pPr>
          </w:p>
        </w:tc>
        <w:tc>
          <w:tcPr>
            <w:tcW w:w="1017" w:type="dxa"/>
            <w:tcBorders>
              <w:top w:val="nil"/>
              <w:left w:val="nil"/>
              <w:bottom w:val="nil"/>
              <w:right w:val="nil"/>
            </w:tcBorders>
            <w:shd w:val="clear" w:color="000000" w:fill="555759"/>
            <w:noWrap/>
            <w:vAlign w:val="bottom"/>
            <w:hideMark/>
          </w:tcPr>
          <w:p w14:paraId="13711ED9"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810" w:type="dxa"/>
            <w:tcBorders>
              <w:top w:val="nil"/>
              <w:left w:val="nil"/>
              <w:bottom w:val="nil"/>
              <w:right w:val="nil"/>
            </w:tcBorders>
            <w:shd w:val="clear" w:color="000000" w:fill="555759"/>
            <w:noWrap/>
            <w:vAlign w:val="bottom"/>
            <w:hideMark/>
          </w:tcPr>
          <w:p w14:paraId="75B92B58"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c>
          <w:tcPr>
            <w:tcW w:w="1037" w:type="dxa"/>
            <w:tcBorders>
              <w:top w:val="nil"/>
              <w:left w:val="nil"/>
              <w:bottom w:val="nil"/>
              <w:right w:val="nil"/>
            </w:tcBorders>
            <w:shd w:val="clear" w:color="000000" w:fill="555759"/>
            <w:noWrap/>
            <w:vAlign w:val="bottom"/>
            <w:hideMark/>
          </w:tcPr>
          <w:p w14:paraId="5BC0B7DE"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996" w:type="dxa"/>
            <w:tcBorders>
              <w:top w:val="nil"/>
              <w:left w:val="nil"/>
              <w:bottom w:val="nil"/>
              <w:right w:val="nil"/>
            </w:tcBorders>
            <w:shd w:val="clear" w:color="000000" w:fill="555759"/>
            <w:noWrap/>
            <w:vAlign w:val="bottom"/>
            <w:hideMark/>
          </w:tcPr>
          <w:p w14:paraId="0B5AA4E1"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c>
          <w:tcPr>
            <w:tcW w:w="981" w:type="dxa"/>
            <w:tcBorders>
              <w:top w:val="nil"/>
              <w:left w:val="nil"/>
              <w:bottom w:val="nil"/>
              <w:right w:val="nil"/>
            </w:tcBorders>
            <w:shd w:val="clear" w:color="000000" w:fill="555759"/>
            <w:noWrap/>
            <w:vAlign w:val="bottom"/>
            <w:hideMark/>
          </w:tcPr>
          <w:p w14:paraId="2F740E6D"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799" w:type="dxa"/>
            <w:tcBorders>
              <w:top w:val="nil"/>
              <w:left w:val="nil"/>
              <w:bottom w:val="nil"/>
              <w:right w:val="nil"/>
            </w:tcBorders>
            <w:shd w:val="clear" w:color="000000" w:fill="555759"/>
            <w:noWrap/>
            <w:vAlign w:val="bottom"/>
            <w:hideMark/>
          </w:tcPr>
          <w:p w14:paraId="125A3867"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c>
          <w:tcPr>
            <w:tcW w:w="1212" w:type="dxa"/>
            <w:tcBorders>
              <w:top w:val="nil"/>
              <w:left w:val="nil"/>
              <w:bottom w:val="nil"/>
              <w:right w:val="nil"/>
            </w:tcBorders>
            <w:shd w:val="clear" w:color="000000" w:fill="555759"/>
            <w:noWrap/>
            <w:vAlign w:val="bottom"/>
            <w:hideMark/>
          </w:tcPr>
          <w:p w14:paraId="2A3281DD"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745" w:type="dxa"/>
            <w:tcBorders>
              <w:top w:val="nil"/>
              <w:left w:val="nil"/>
              <w:bottom w:val="nil"/>
              <w:right w:val="nil"/>
            </w:tcBorders>
            <w:shd w:val="clear" w:color="000000" w:fill="555759"/>
            <w:noWrap/>
            <w:vAlign w:val="bottom"/>
            <w:hideMark/>
          </w:tcPr>
          <w:p w14:paraId="6EACC8D5" w14:textId="77777777" w:rsidR="00367992" w:rsidRPr="00367992" w:rsidRDefault="00367992" w:rsidP="003206D7">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r>
      <w:tr w:rsidR="00BB14DA" w:rsidRPr="00367992" w14:paraId="33E81B58" w14:textId="77777777" w:rsidTr="00271F76">
        <w:trPr>
          <w:cantSplit/>
          <w:trHeight w:val="267"/>
        </w:trPr>
        <w:tc>
          <w:tcPr>
            <w:tcW w:w="1763" w:type="dxa"/>
            <w:tcBorders>
              <w:top w:val="nil"/>
              <w:left w:val="nil"/>
              <w:bottom w:val="nil"/>
              <w:right w:val="nil"/>
            </w:tcBorders>
            <w:shd w:val="clear" w:color="000000" w:fill="FFFFFF"/>
            <w:noWrap/>
            <w:vAlign w:val="bottom"/>
            <w:hideMark/>
          </w:tcPr>
          <w:p w14:paraId="52A4AD14" w14:textId="77777777" w:rsidR="00BB14DA" w:rsidRPr="00367992" w:rsidRDefault="00BB14DA" w:rsidP="00BB14DA">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Raw Data</w:t>
            </w:r>
          </w:p>
        </w:tc>
        <w:tc>
          <w:tcPr>
            <w:tcW w:w="1017" w:type="dxa"/>
            <w:tcBorders>
              <w:top w:val="single" w:sz="4" w:space="0" w:color="DCDDDE"/>
              <w:left w:val="nil"/>
              <w:bottom w:val="nil"/>
              <w:right w:val="nil"/>
            </w:tcBorders>
            <w:shd w:val="clear" w:color="000000" w:fill="FFFFFF"/>
            <w:noWrap/>
            <w:hideMark/>
          </w:tcPr>
          <w:p w14:paraId="1290C3CA" w14:textId="3B81136E"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198,689 </w:t>
            </w:r>
          </w:p>
        </w:tc>
        <w:tc>
          <w:tcPr>
            <w:tcW w:w="810" w:type="dxa"/>
            <w:tcBorders>
              <w:top w:val="single" w:sz="4" w:space="0" w:color="DCDDDE"/>
              <w:left w:val="nil"/>
              <w:bottom w:val="nil"/>
              <w:right w:val="nil"/>
            </w:tcBorders>
            <w:shd w:val="clear" w:color="000000" w:fill="FFFFFF"/>
            <w:noWrap/>
            <w:hideMark/>
          </w:tcPr>
          <w:p w14:paraId="56B3E8F5" w14:textId="7F6E9A8A"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49,061 </w:t>
            </w:r>
          </w:p>
        </w:tc>
        <w:tc>
          <w:tcPr>
            <w:tcW w:w="1037" w:type="dxa"/>
            <w:tcBorders>
              <w:top w:val="single" w:sz="4" w:space="0" w:color="DCDDDE"/>
              <w:left w:val="nil"/>
              <w:bottom w:val="nil"/>
              <w:right w:val="nil"/>
            </w:tcBorders>
            <w:shd w:val="clear" w:color="000000" w:fill="FFFFFF"/>
            <w:noWrap/>
            <w:hideMark/>
          </w:tcPr>
          <w:p w14:paraId="4EFCF145" w14:textId="688C20A3"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17,588,910 </w:t>
            </w:r>
          </w:p>
        </w:tc>
        <w:tc>
          <w:tcPr>
            <w:tcW w:w="996" w:type="dxa"/>
            <w:tcBorders>
              <w:top w:val="single" w:sz="4" w:space="0" w:color="DCDDDE"/>
              <w:left w:val="nil"/>
              <w:bottom w:val="nil"/>
              <w:right w:val="nil"/>
            </w:tcBorders>
            <w:shd w:val="clear" w:color="000000" w:fill="FFFFFF"/>
            <w:noWrap/>
            <w:hideMark/>
          </w:tcPr>
          <w:p w14:paraId="58C0BDFB" w14:textId="3F9951DD"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4,350,816 </w:t>
            </w:r>
          </w:p>
        </w:tc>
        <w:tc>
          <w:tcPr>
            <w:tcW w:w="981" w:type="dxa"/>
            <w:tcBorders>
              <w:top w:val="single" w:sz="4" w:space="0" w:color="DCDDDE"/>
              <w:left w:val="nil"/>
              <w:bottom w:val="nil"/>
              <w:right w:val="nil"/>
            </w:tcBorders>
            <w:shd w:val="clear" w:color="000000" w:fill="FFFFFF"/>
            <w:noWrap/>
            <w:vAlign w:val="bottom"/>
            <w:hideMark/>
          </w:tcPr>
          <w:p w14:paraId="75451ED2" w14:textId="77777777" w:rsidR="00BB14DA" w:rsidRPr="00367992" w:rsidRDefault="00BB14DA" w:rsidP="00BB14DA">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c>
          <w:tcPr>
            <w:tcW w:w="799" w:type="dxa"/>
            <w:tcBorders>
              <w:top w:val="single" w:sz="4" w:space="0" w:color="DCDDDE"/>
              <w:left w:val="nil"/>
              <w:bottom w:val="nil"/>
              <w:right w:val="nil"/>
            </w:tcBorders>
            <w:shd w:val="clear" w:color="000000" w:fill="FFFFFF"/>
            <w:noWrap/>
            <w:vAlign w:val="bottom"/>
            <w:hideMark/>
          </w:tcPr>
          <w:p w14:paraId="77BC59EB" w14:textId="77777777" w:rsidR="00BB14DA" w:rsidRPr="00367992" w:rsidRDefault="00BB14DA" w:rsidP="00BB14DA">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c>
          <w:tcPr>
            <w:tcW w:w="1212" w:type="dxa"/>
            <w:tcBorders>
              <w:top w:val="single" w:sz="4" w:space="0" w:color="DCDDDE"/>
              <w:left w:val="nil"/>
              <w:bottom w:val="nil"/>
              <w:right w:val="nil"/>
            </w:tcBorders>
            <w:shd w:val="clear" w:color="000000" w:fill="FFFFFF"/>
            <w:noWrap/>
            <w:vAlign w:val="bottom"/>
            <w:hideMark/>
          </w:tcPr>
          <w:p w14:paraId="0FD2817D" w14:textId="77777777" w:rsidR="00BB14DA" w:rsidRPr="00367992" w:rsidRDefault="00BB14DA" w:rsidP="00BB14DA">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c>
          <w:tcPr>
            <w:tcW w:w="745" w:type="dxa"/>
            <w:tcBorders>
              <w:top w:val="single" w:sz="4" w:space="0" w:color="DCDDDE"/>
              <w:left w:val="nil"/>
              <w:bottom w:val="nil"/>
              <w:right w:val="nil"/>
            </w:tcBorders>
            <w:shd w:val="clear" w:color="000000" w:fill="FFFFFF"/>
            <w:noWrap/>
            <w:vAlign w:val="bottom"/>
            <w:hideMark/>
          </w:tcPr>
          <w:p w14:paraId="19BE484B" w14:textId="77777777" w:rsidR="00BB14DA" w:rsidRPr="00367992" w:rsidRDefault="00BB14DA" w:rsidP="00BB14DA">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r>
      <w:tr w:rsidR="00BB14DA" w:rsidRPr="00367992" w14:paraId="3F2FF4AC" w14:textId="77777777" w:rsidTr="00BB14DA">
        <w:trPr>
          <w:cantSplit/>
          <w:trHeight w:val="267"/>
        </w:trPr>
        <w:tc>
          <w:tcPr>
            <w:tcW w:w="1763" w:type="dxa"/>
            <w:tcBorders>
              <w:top w:val="single" w:sz="4" w:space="0" w:color="DCDDDE"/>
              <w:left w:val="nil"/>
              <w:bottom w:val="nil"/>
              <w:right w:val="nil"/>
            </w:tcBorders>
            <w:shd w:val="clear" w:color="000000" w:fill="FFFFFF"/>
            <w:noWrap/>
            <w:vAlign w:val="bottom"/>
            <w:hideMark/>
          </w:tcPr>
          <w:p w14:paraId="6A6DDE5A" w14:textId="77777777" w:rsidR="00BB14DA" w:rsidRPr="00367992" w:rsidRDefault="00BB14DA" w:rsidP="00BB14DA">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Subset to pre/post periods and desired customers</w:t>
            </w:r>
          </w:p>
        </w:tc>
        <w:tc>
          <w:tcPr>
            <w:tcW w:w="1017" w:type="dxa"/>
            <w:tcBorders>
              <w:top w:val="single" w:sz="4" w:space="0" w:color="DCDDDE"/>
              <w:left w:val="nil"/>
              <w:bottom w:val="nil"/>
              <w:right w:val="nil"/>
            </w:tcBorders>
            <w:shd w:val="clear" w:color="000000" w:fill="FFFFFF"/>
            <w:noWrap/>
            <w:vAlign w:val="bottom"/>
            <w:hideMark/>
          </w:tcPr>
          <w:p w14:paraId="13F8054E" w14:textId="7C5D8D96"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130,481 </w:t>
            </w:r>
          </w:p>
        </w:tc>
        <w:tc>
          <w:tcPr>
            <w:tcW w:w="810" w:type="dxa"/>
            <w:tcBorders>
              <w:top w:val="single" w:sz="4" w:space="0" w:color="DCDDDE"/>
              <w:left w:val="nil"/>
              <w:bottom w:val="nil"/>
              <w:right w:val="nil"/>
            </w:tcBorders>
            <w:shd w:val="clear" w:color="000000" w:fill="FFFFFF"/>
            <w:noWrap/>
            <w:vAlign w:val="bottom"/>
            <w:hideMark/>
          </w:tcPr>
          <w:p w14:paraId="2CF03650" w14:textId="25B639C6"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33,973 </w:t>
            </w:r>
          </w:p>
        </w:tc>
        <w:tc>
          <w:tcPr>
            <w:tcW w:w="1037" w:type="dxa"/>
            <w:tcBorders>
              <w:top w:val="single" w:sz="4" w:space="0" w:color="DCDDDE"/>
              <w:left w:val="nil"/>
              <w:bottom w:val="nil"/>
              <w:right w:val="nil"/>
            </w:tcBorders>
            <w:shd w:val="clear" w:color="000000" w:fill="FFFFFF"/>
            <w:noWrap/>
            <w:vAlign w:val="bottom"/>
            <w:hideMark/>
          </w:tcPr>
          <w:p w14:paraId="16605EA7" w14:textId="71A56A37"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3,083,782 </w:t>
            </w:r>
          </w:p>
        </w:tc>
        <w:tc>
          <w:tcPr>
            <w:tcW w:w="996" w:type="dxa"/>
            <w:tcBorders>
              <w:top w:val="single" w:sz="4" w:space="0" w:color="DCDDDE"/>
              <w:left w:val="nil"/>
              <w:bottom w:val="nil"/>
              <w:right w:val="nil"/>
            </w:tcBorders>
            <w:shd w:val="clear" w:color="000000" w:fill="FFFFFF"/>
            <w:noWrap/>
            <w:vAlign w:val="bottom"/>
            <w:hideMark/>
          </w:tcPr>
          <w:p w14:paraId="0A1BDA01" w14:textId="059265E5"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802,918 </w:t>
            </w:r>
          </w:p>
        </w:tc>
        <w:tc>
          <w:tcPr>
            <w:tcW w:w="981" w:type="dxa"/>
            <w:tcBorders>
              <w:top w:val="single" w:sz="4" w:space="0" w:color="DCDDDE"/>
              <w:left w:val="nil"/>
              <w:bottom w:val="nil"/>
              <w:right w:val="nil"/>
            </w:tcBorders>
            <w:shd w:val="clear" w:color="000000" w:fill="FFFFFF"/>
            <w:noWrap/>
            <w:vAlign w:val="bottom"/>
            <w:hideMark/>
          </w:tcPr>
          <w:p w14:paraId="698707B7" w14:textId="4FDB81AD"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34%</w:t>
            </w:r>
          </w:p>
        </w:tc>
        <w:tc>
          <w:tcPr>
            <w:tcW w:w="799" w:type="dxa"/>
            <w:tcBorders>
              <w:top w:val="single" w:sz="4" w:space="0" w:color="DCDDDE"/>
              <w:left w:val="nil"/>
              <w:bottom w:val="nil"/>
              <w:right w:val="nil"/>
            </w:tcBorders>
            <w:shd w:val="clear" w:color="000000" w:fill="FFFFFF"/>
            <w:noWrap/>
            <w:vAlign w:val="bottom"/>
            <w:hideMark/>
          </w:tcPr>
          <w:p w14:paraId="7C3FEFE3" w14:textId="3A280942"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31%</w:t>
            </w:r>
          </w:p>
        </w:tc>
        <w:tc>
          <w:tcPr>
            <w:tcW w:w="1212" w:type="dxa"/>
            <w:tcBorders>
              <w:top w:val="single" w:sz="4" w:space="0" w:color="DCDDDE"/>
              <w:left w:val="nil"/>
              <w:bottom w:val="nil"/>
              <w:right w:val="nil"/>
            </w:tcBorders>
            <w:shd w:val="clear" w:color="000000" w:fill="FFFFFF"/>
            <w:noWrap/>
            <w:vAlign w:val="bottom"/>
            <w:hideMark/>
          </w:tcPr>
          <w:p w14:paraId="3BE2D3B2" w14:textId="3ED65D06"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82%</w:t>
            </w:r>
          </w:p>
        </w:tc>
        <w:tc>
          <w:tcPr>
            <w:tcW w:w="745" w:type="dxa"/>
            <w:tcBorders>
              <w:top w:val="single" w:sz="4" w:space="0" w:color="DCDDDE"/>
              <w:left w:val="nil"/>
              <w:bottom w:val="nil"/>
              <w:right w:val="nil"/>
            </w:tcBorders>
            <w:shd w:val="clear" w:color="000000" w:fill="FFFFFF"/>
            <w:noWrap/>
            <w:vAlign w:val="bottom"/>
            <w:hideMark/>
          </w:tcPr>
          <w:p w14:paraId="07E033CD" w14:textId="760B7068"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82%</w:t>
            </w:r>
          </w:p>
        </w:tc>
      </w:tr>
      <w:tr w:rsidR="00BB14DA" w:rsidRPr="00367992" w14:paraId="569C1E75" w14:textId="77777777" w:rsidTr="00BB14DA">
        <w:trPr>
          <w:cantSplit/>
          <w:trHeight w:val="267"/>
        </w:trPr>
        <w:tc>
          <w:tcPr>
            <w:tcW w:w="1763" w:type="dxa"/>
            <w:tcBorders>
              <w:top w:val="single" w:sz="4" w:space="0" w:color="DCDDDE"/>
              <w:left w:val="nil"/>
              <w:bottom w:val="nil"/>
              <w:right w:val="nil"/>
            </w:tcBorders>
            <w:shd w:val="clear" w:color="000000" w:fill="FFFFFF"/>
            <w:noWrap/>
            <w:vAlign w:val="bottom"/>
            <w:hideMark/>
          </w:tcPr>
          <w:p w14:paraId="2DCA42FA" w14:textId="77777777" w:rsidR="00BB14DA" w:rsidRPr="00367992" w:rsidRDefault="00BB14DA" w:rsidP="00BB14DA">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Remove exact duplicate observations</w:t>
            </w:r>
          </w:p>
        </w:tc>
        <w:tc>
          <w:tcPr>
            <w:tcW w:w="1017" w:type="dxa"/>
            <w:tcBorders>
              <w:top w:val="single" w:sz="4" w:space="0" w:color="DCDDDE"/>
              <w:left w:val="nil"/>
              <w:bottom w:val="nil"/>
              <w:right w:val="nil"/>
            </w:tcBorders>
            <w:shd w:val="clear" w:color="000000" w:fill="FFFFFF"/>
            <w:noWrap/>
            <w:vAlign w:val="bottom"/>
            <w:hideMark/>
          </w:tcPr>
          <w:p w14:paraId="43783827" w14:textId="47AB17E5"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130,481 </w:t>
            </w:r>
          </w:p>
        </w:tc>
        <w:tc>
          <w:tcPr>
            <w:tcW w:w="810" w:type="dxa"/>
            <w:tcBorders>
              <w:top w:val="single" w:sz="4" w:space="0" w:color="DCDDDE"/>
              <w:left w:val="nil"/>
              <w:bottom w:val="nil"/>
              <w:right w:val="nil"/>
            </w:tcBorders>
            <w:shd w:val="clear" w:color="000000" w:fill="FFFFFF"/>
            <w:noWrap/>
            <w:vAlign w:val="bottom"/>
            <w:hideMark/>
          </w:tcPr>
          <w:p w14:paraId="760F0702" w14:textId="37D78A1E"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33,973 </w:t>
            </w:r>
          </w:p>
        </w:tc>
        <w:tc>
          <w:tcPr>
            <w:tcW w:w="1037" w:type="dxa"/>
            <w:tcBorders>
              <w:top w:val="single" w:sz="4" w:space="0" w:color="DCDDDE"/>
              <w:left w:val="nil"/>
              <w:bottom w:val="nil"/>
              <w:right w:val="nil"/>
            </w:tcBorders>
            <w:shd w:val="clear" w:color="000000" w:fill="FFFFFF"/>
            <w:noWrap/>
            <w:vAlign w:val="bottom"/>
            <w:hideMark/>
          </w:tcPr>
          <w:p w14:paraId="398CC592" w14:textId="6FFD14DA"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3,083,782 </w:t>
            </w:r>
          </w:p>
        </w:tc>
        <w:tc>
          <w:tcPr>
            <w:tcW w:w="996" w:type="dxa"/>
            <w:tcBorders>
              <w:top w:val="single" w:sz="4" w:space="0" w:color="DCDDDE"/>
              <w:left w:val="nil"/>
              <w:bottom w:val="nil"/>
              <w:right w:val="nil"/>
            </w:tcBorders>
            <w:shd w:val="clear" w:color="000000" w:fill="FFFFFF"/>
            <w:noWrap/>
            <w:vAlign w:val="bottom"/>
            <w:hideMark/>
          </w:tcPr>
          <w:p w14:paraId="688456F7" w14:textId="6FC25983"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802,918 </w:t>
            </w:r>
          </w:p>
        </w:tc>
        <w:tc>
          <w:tcPr>
            <w:tcW w:w="981" w:type="dxa"/>
            <w:tcBorders>
              <w:top w:val="single" w:sz="4" w:space="0" w:color="DCDDDE"/>
              <w:left w:val="nil"/>
              <w:bottom w:val="nil"/>
              <w:right w:val="nil"/>
            </w:tcBorders>
            <w:shd w:val="clear" w:color="000000" w:fill="FFFFFF"/>
            <w:noWrap/>
            <w:vAlign w:val="bottom"/>
            <w:hideMark/>
          </w:tcPr>
          <w:p w14:paraId="38093545" w14:textId="63048A3A"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99" w:type="dxa"/>
            <w:tcBorders>
              <w:top w:val="single" w:sz="4" w:space="0" w:color="DCDDDE"/>
              <w:left w:val="nil"/>
              <w:bottom w:val="nil"/>
              <w:right w:val="nil"/>
            </w:tcBorders>
            <w:shd w:val="clear" w:color="000000" w:fill="FFFFFF"/>
            <w:noWrap/>
            <w:vAlign w:val="bottom"/>
            <w:hideMark/>
          </w:tcPr>
          <w:p w14:paraId="544D755A" w14:textId="34C5C33D"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212" w:type="dxa"/>
            <w:tcBorders>
              <w:top w:val="single" w:sz="4" w:space="0" w:color="DCDDDE"/>
              <w:left w:val="nil"/>
              <w:bottom w:val="nil"/>
              <w:right w:val="nil"/>
            </w:tcBorders>
            <w:shd w:val="clear" w:color="000000" w:fill="FFFFFF"/>
            <w:noWrap/>
            <w:vAlign w:val="bottom"/>
            <w:hideMark/>
          </w:tcPr>
          <w:p w14:paraId="3A9BDD01" w14:textId="1FFBB534"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45" w:type="dxa"/>
            <w:tcBorders>
              <w:top w:val="single" w:sz="4" w:space="0" w:color="DCDDDE"/>
              <w:left w:val="nil"/>
              <w:bottom w:val="nil"/>
              <w:right w:val="nil"/>
            </w:tcBorders>
            <w:shd w:val="clear" w:color="000000" w:fill="FFFFFF"/>
            <w:noWrap/>
            <w:vAlign w:val="bottom"/>
            <w:hideMark/>
          </w:tcPr>
          <w:p w14:paraId="087A4B01" w14:textId="7C5CBE75"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r>
      <w:tr w:rsidR="00BB14DA" w:rsidRPr="00367992" w14:paraId="0BBD295F" w14:textId="77777777" w:rsidTr="00BB14DA">
        <w:trPr>
          <w:cantSplit/>
          <w:trHeight w:val="267"/>
        </w:trPr>
        <w:tc>
          <w:tcPr>
            <w:tcW w:w="1763" w:type="dxa"/>
            <w:tcBorders>
              <w:top w:val="single" w:sz="4" w:space="0" w:color="DCDDDE"/>
              <w:left w:val="nil"/>
              <w:bottom w:val="nil"/>
              <w:right w:val="nil"/>
            </w:tcBorders>
            <w:shd w:val="clear" w:color="000000" w:fill="FFFFFF"/>
            <w:noWrap/>
            <w:vAlign w:val="bottom"/>
            <w:hideMark/>
          </w:tcPr>
          <w:p w14:paraId="3E495814" w14:textId="77777777" w:rsidR="00BB14DA" w:rsidRPr="00367992" w:rsidRDefault="00BB14DA" w:rsidP="00BB14DA">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Bill Flattening</w:t>
            </w:r>
          </w:p>
        </w:tc>
        <w:tc>
          <w:tcPr>
            <w:tcW w:w="1017" w:type="dxa"/>
            <w:tcBorders>
              <w:top w:val="single" w:sz="4" w:space="0" w:color="DCDDDE"/>
              <w:left w:val="nil"/>
              <w:bottom w:val="nil"/>
              <w:right w:val="nil"/>
            </w:tcBorders>
            <w:shd w:val="clear" w:color="000000" w:fill="FFFFFF"/>
            <w:noWrap/>
            <w:vAlign w:val="bottom"/>
            <w:hideMark/>
          </w:tcPr>
          <w:p w14:paraId="1EC4CE7C" w14:textId="6D391DF2"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130,481 </w:t>
            </w:r>
          </w:p>
        </w:tc>
        <w:tc>
          <w:tcPr>
            <w:tcW w:w="810" w:type="dxa"/>
            <w:tcBorders>
              <w:top w:val="single" w:sz="4" w:space="0" w:color="DCDDDE"/>
              <w:left w:val="nil"/>
              <w:bottom w:val="nil"/>
              <w:right w:val="nil"/>
            </w:tcBorders>
            <w:shd w:val="clear" w:color="000000" w:fill="FFFFFF"/>
            <w:noWrap/>
            <w:vAlign w:val="bottom"/>
            <w:hideMark/>
          </w:tcPr>
          <w:p w14:paraId="7F322F01" w14:textId="5969FF93"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33,973 </w:t>
            </w:r>
          </w:p>
        </w:tc>
        <w:tc>
          <w:tcPr>
            <w:tcW w:w="1037" w:type="dxa"/>
            <w:tcBorders>
              <w:top w:val="single" w:sz="4" w:space="0" w:color="DCDDDE"/>
              <w:left w:val="nil"/>
              <w:bottom w:val="nil"/>
              <w:right w:val="nil"/>
            </w:tcBorders>
            <w:shd w:val="clear" w:color="000000" w:fill="FFFFFF"/>
            <w:noWrap/>
            <w:vAlign w:val="bottom"/>
            <w:hideMark/>
          </w:tcPr>
          <w:p w14:paraId="43422FE6" w14:textId="5D8C8EB3"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3,007,488 </w:t>
            </w:r>
          </w:p>
        </w:tc>
        <w:tc>
          <w:tcPr>
            <w:tcW w:w="996" w:type="dxa"/>
            <w:tcBorders>
              <w:top w:val="single" w:sz="4" w:space="0" w:color="DCDDDE"/>
              <w:left w:val="nil"/>
              <w:bottom w:val="nil"/>
              <w:right w:val="nil"/>
            </w:tcBorders>
            <w:shd w:val="clear" w:color="000000" w:fill="FFFFFF"/>
            <w:noWrap/>
            <w:vAlign w:val="bottom"/>
            <w:hideMark/>
          </w:tcPr>
          <w:p w14:paraId="5D34722E" w14:textId="07456555"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782,777 </w:t>
            </w:r>
          </w:p>
        </w:tc>
        <w:tc>
          <w:tcPr>
            <w:tcW w:w="981" w:type="dxa"/>
            <w:tcBorders>
              <w:top w:val="single" w:sz="4" w:space="0" w:color="DCDDDE"/>
              <w:left w:val="nil"/>
              <w:bottom w:val="nil"/>
              <w:right w:val="nil"/>
            </w:tcBorders>
            <w:shd w:val="clear" w:color="000000" w:fill="FFFFFF"/>
            <w:noWrap/>
            <w:vAlign w:val="bottom"/>
            <w:hideMark/>
          </w:tcPr>
          <w:p w14:paraId="400D3091" w14:textId="5D585DFC"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99" w:type="dxa"/>
            <w:tcBorders>
              <w:top w:val="single" w:sz="4" w:space="0" w:color="DCDDDE"/>
              <w:left w:val="nil"/>
              <w:bottom w:val="nil"/>
              <w:right w:val="nil"/>
            </w:tcBorders>
            <w:shd w:val="clear" w:color="000000" w:fill="FFFFFF"/>
            <w:noWrap/>
            <w:vAlign w:val="bottom"/>
            <w:hideMark/>
          </w:tcPr>
          <w:p w14:paraId="550D0D0E" w14:textId="6AAE4BEF"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212" w:type="dxa"/>
            <w:tcBorders>
              <w:top w:val="single" w:sz="4" w:space="0" w:color="DCDDDE"/>
              <w:left w:val="nil"/>
              <w:bottom w:val="nil"/>
              <w:right w:val="nil"/>
            </w:tcBorders>
            <w:shd w:val="clear" w:color="000000" w:fill="FFFFFF"/>
            <w:noWrap/>
            <w:vAlign w:val="bottom"/>
            <w:hideMark/>
          </w:tcPr>
          <w:p w14:paraId="70BABEE1" w14:textId="1FA312BE"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2%</w:t>
            </w:r>
          </w:p>
        </w:tc>
        <w:tc>
          <w:tcPr>
            <w:tcW w:w="745" w:type="dxa"/>
            <w:tcBorders>
              <w:top w:val="single" w:sz="4" w:space="0" w:color="DCDDDE"/>
              <w:left w:val="nil"/>
              <w:bottom w:val="nil"/>
              <w:right w:val="nil"/>
            </w:tcBorders>
            <w:shd w:val="clear" w:color="000000" w:fill="FFFFFF"/>
            <w:noWrap/>
            <w:vAlign w:val="bottom"/>
            <w:hideMark/>
          </w:tcPr>
          <w:p w14:paraId="4739B40D" w14:textId="433D0CA4"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w:t>
            </w:r>
          </w:p>
        </w:tc>
      </w:tr>
      <w:tr w:rsidR="00BB14DA" w:rsidRPr="00367992" w14:paraId="1ABAD256" w14:textId="77777777" w:rsidTr="00BB14DA">
        <w:trPr>
          <w:cantSplit/>
          <w:trHeight w:val="267"/>
        </w:trPr>
        <w:tc>
          <w:tcPr>
            <w:tcW w:w="1763" w:type="dxa"/>
            <w:tcBorders>
              <w:top w:val="single" w:sz="4" w:space="0" w:color="DCDDDE"/>
              <w:left w:val="nil"/>
              <w:bottom w:val="nil"/>
              <w:right w:val="nil"/>
            </w:tcBorders>
            <w:shd w:val="clear" w:color="000000" w:fill="FFFFFF"/>
            <w:noWrap/>
            <w:vAlign w:val="bottom"/>
            <w:hideMark/>
          </w:tcPr>
          <w:p w14:paraId="72E8E266" w14:textId="77777777" w:rsidR="00BB14DA" w:rsidRPr="00367992" w:rsidRDefault="00BB14DA" w:rsidP="00BB14DA">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Exclude outliers</w:t>
            </w:r>
          </w:p>
        </w:tc>
        <w:tc>
          <w:tcPr>
            <w:tcW w:w="1017" w:type="dxa"/>
            <w:tcBorders>
              <w:top w:val="single" w:sz="4" w:space="0" w:color="DCDDDE"/>
              <w:left w:val="nil"/>
              <w:bottom w:val="nil"/>
              <w:right w:val="nil"/>
            </w:tcBorders>
            <w:shd w:val="clear" w:color="000000" w:fill="FFFFFF"/>
            <w:noWrap/>
            <w:vAlign w:val="bottom"/>
            <w:hideMark/>
          </w:tcPr>
          <w:p w14:paraId="6B42486E" w14:textId="05367B0C"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130,481 </w:t>
            </w:r>
          </w:p>
        </w:tc>
        <w:tc>
          <w:tcPr>
            <w:tcW w:w="810" w:type="dxa"/>
            <w:tcBorders>
              <w:top w:val="single" w:sz="4" w:space="0" w:color="DCDDDE"/>
              <w:left w:val="nil"/>
              <w:bottom w:val="nil"/>
              <w:right w:val="nil"/>
            </w:tcBorders>
            <w:shd w:val="clear" w:color="000000" w:fill="FFFFFF"/>
            <w:noWrap/>
            <w:vAlign w:val="bottom"/>
            <w:hideMark/>
          </w:tcPr>
          <w:p w14:paraId="68E19B05" w14:textId="2A486BC8"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33,973 </w:t>
            </w:r>
          </w:p>
        </w:tc>
        <w:tc>
          <w:tcPr>
            <w:tcW w:w="1037" w:type="dxa"/>
            <w:tcBorders>
              <w:top w:val="single" w:sz="4" w:space="0" w:color="DCDDDE"/>
              <w:left w:val="nil"/>
              <w:bottom w:val="nil"/>
              <w:right w:val="nil"/>
            </w:tcBorders>
            <w:shd w:val="clear" w:color="000000" w:fill="FFFFFF"/>
            <w:noWrap/>
            <w:vAlign w:val="bottom"/>
            <w:hideMark/>
          </w:tcPr>
          <w:p w14:paraId="320500C9" w14:textId="4F59D8FD"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3,007,146 </w:t>
            </w:r>
          </w:p>
        </w:tc>
        <w:tc>
          <w:tcPr>
            <w:tcW w:w="996" w:type="dxa"/>
            <w:tcBorders>
              <w:top w:val="single" w:sz="4" w:space="0" w:color="DCDDDE"/>
              <w:left w:val="nil"/>
              <w:bottom w:val="nil"/>
              <w:right w:val="nil"/>
            </w:tcBorders>
            <w:shd w:val="clear" w:color="000000" w:fill="FFFFFF"/>
            <w:noWrap/>
            <w:vAlign w:val="bottom"/>
            <w:hideMark/>
          </w:tcPr>
          <w:p w14:paraId="04FBDD10" w14:textId="4DA65C68"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782,680 </w:t>
            </w:r>
          </w:p>
        </w:tc>
        <w:tc>
          <w:tcPr>
            <w:tcW w:w="981" w:type="dxa"/>
            <w:tcBorders>
              <w:top w:val="single" w:sz="4" w:space="0" w:color="DCDDDE"/>
              <w:left w:val="nil"/>
              <w:bottom w:val="nil"/>
              <w:right w:val="nil"/>
            </w:tcBorders>
            <w:shd w:val="clear" w:color="000000" w:fill="FFFFFF"/>
            <w:noWrap/>
            <w:vAlign w:val="bottom"/>
            <w:hideMark/>
          </w:tcPr>
          <w:p w14:paraId="4D5C7193" w14:textId="55CAC9C2"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99" w:type="dxa"/>
            <w:tcBorders>
              <w:top w:val="single" w:sz="4" w:space="0" w:color="DCDDDE"/>
              <w:left w:val="nil"/>
              <w:bottom w:val="nil"/>
              <w:right w:val="nil"/>
            </w:tcBorders>
            <w:shd w:val="clear" w:color="000000" w:fill="FFFFFF"/>
            <w:noWrap/>
            <w:vAlign w:val="bottom"/>
            <w:hideMark/>
          </w:tcPr>
          <w:p w14:paraId="6E7DE82B" w14:textId="3EB302AC"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212" w:type="dxa"/>
            <w:tcBorders>
              <w:top w:val="single" w:sz="4" w:space="0" w:color="DCDDDE"/>
              <w:left w:val="nil"/>
              <w:bottom w:val="nil"/>
              <w:right w:val="nil"/>
            </w:tcBorders>
            <w:shd w:val="clear" w:color="000000" w:fill="FFFFFF"/>
            <w:noWrap/>
            <w:vAlign w:val="bottom"/>
            <w:hideMark/>
          </w:tcPr>
          <w:p w14:paraId="6F40BCAB" w14:textId="143E5B75"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45" w:type="dxa"/>
            <w:tcBorders>
              <w:top w:val="single" w:sz="4" w:space="0" w:color="DCDDDE"/>
              <w:left w:val="nil"/>
              <w:bottom w:val="nil"/>
              <w:right w:val="nil"/>
            </w:tcBorders>
            <w:shd w:val="clear" w:color="000000" w:fill="FFFFFF"/>
            <w:noWrap/>
            <w:vAlign w:val="bottom"/>
            <w:hideMark/>
          </w:tcPr>
          <w:p w14:paraId="2192E07D" w14:textId="46F73B21"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r>
      <w:tr w:rsidR="00BB14DA" w:rsidRPr="00367992" w14:paraId="4CA87D18" w14:textId="77777777" w:rsidTr="00BB14DA">
        <w:trPr>
          <w:cantSplit/>
          <w:trHeight w:val="267"/>
        </w:trPr>
        <w:tc>
          <w:tcPr>
            <w:tcW w:w="1763" w:type="dxa"/>
            <w:tcBorders>
              <w:top w:val="single" w:sz="4" w:space="0" w:color="DCDDDE"/>
              <w:left w:val="nil"/>
              <w:bottom w:val="nil"/>
              <w:right w:val="nil"/>
            </w:tcBorders>
            <w:shd w:val="clear" w:color="000000" w:fill="FFFFFF"/>
            <w:noWrap/>
            <w:vAlign w:val="bottom"/>
            <w:hideMark/>
          </w:tcPr>
          <w:p w14:paraId="0C23E631" w14:textId="77777777" w:rsidR="00BB14DA" w:rsidRPr="00367992" w:rsidRDefault="00BB14DA" w:rsidP="00BB14DA">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Remove pre-period data (for LDV analysis)</w:t>
            </w:r>
          </w:p>
        </w:tc>
        <w:tc>
          <w:tcPr>
            <w:tcW w:w="1017" w:type="dxa"/>
            <w:tcBorders>
              <w:top w:val="single" w:sz="4" w:space="0" w:color="DCDDDE"/>
              <w:left w:val="nil"/>
              <w:bottom w:val="nil"/>
              <w:right w:val="nil"/>
            </w:tcBorders>
            <w:shd w:val="clear" w:color="000000" w:fill="FFFFFF"/>
            <w:noWrap/>
            <w:vAlign w:val="bottom"/>
            <w:hideMark/>
          </w:tcPr>
          <w:p w14:paraId="58429B13" w14:textId="1BED23E2"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130,458 </w:t>
            </w:r>
          </w:p>
        </w:tc>
        <w:tc>
          <w:tcPr>
            <w:tcW w:w="810" w:type="dxa"/>
            <w:tcBorders>
              <w:top w:val="single" w:sz="4" w:space="0" w:color="DCDDDE"/>
              <w:left w:val="nil"/>
              <w:bottom w:val="nil"/>
              <w:right w:val="nil"/>
            </w:tcBorders>
            <w:shd w:val="clear" w:color="000000" w:fill="FFFFFF"/>
            <w:noWrap/>
            <w:vAlign w:val="bottom"/>
            <w:hideMark/>
          </w:tcPr>
          <w:p w14:paraId="0E44075D" w14:textId="02F9EEAB"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33,964 </w:t>
            </w:r>
          </w:p>
        </w:tc>
        <w:tc>
          <w:tcPr>
            <w:tcW w:w="1037" w:type="dxa"/>
            <w:tcBorders>
              <w:top w:val="single" w:sz="4" w:space="0" w:color="DCDDDE"/>
              <w:left w:val="nil"/>
              <w:bottom w:val="nil"/>
              <w:right w:val="nil"/>
            </w:tcBorders>
            <w:shd w:val="clear" w:color="000000" w:fill="FFFFFF"/>
            <w:noWrap/>
            <w:vAlign w:val="bottom"/>
            <w:hideMark/>
          </w:tcPr>
          <w:p w14:paraId="62DB3DFE" w14:textId="134E5B8A"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1,489,447 </w:t>
            </w:r>
          </w:p>
        </w:tc>
        <w:tc>
          <w:tcPr>
            <w:tcW w:w="996" w:type="dxa"/>
            <w:tcBorders>
              <w:top w:val="single" w:sz="4" w:space="0" w:color="DCDDDE"/>
              <w:left w:val="nil"/>
              <w:bottom w:val="nil"/>
              <w:right w:val="nil"/>
            </w:tcBorders>
            <w:shd w:val="clear" w:color="000000" w:fill="FFFFFF"/>
            <w:noWrap/>
            <w:vAlign w:val="bottom"/>
            <w:hideMark/>
          </w:tcPr>
          <w:p w14:paraId="0FE636DB" w14:textId="50EEC763"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387,761 </w:t>
            </w:r>
          </w:p>
        </w:tc>
        <w:tc>
          <w:tcPr>
            <w:tcW w:w="981" w:type="dxa"/>
            <w:tcBorders>
              <w:top w:val="single" w:sz="4" w:space="0" w:color="DCDDDE"/>
              <w:left w:val="nil"/>
              <w:bottom w:val="nil"/>
              <w:right w:val="nil"/>
            </w:tcBorders>
            <w:shd w:val="clear" w:color="000000" w:fill="FFFFFF"/>
            <w:noWrap/>
            <w:vAlign w:val="bottom"/>
            <w:hideMark/>
          </w:tcPr>
          <w:p w14:paraId="0DD33386" w14:textId="581B6C91"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99" w:type="dxa"/>
            <w:tcBorders>
              <w:top w:val="single" w:sz="4" w:space="0" w:color="DCDDDE"/>
              <w:left w:val="nil"/>
              <w:bottom w:val="nil"/>
              <w:right w:val="nil"/>
            </w:tcBorders>
            <w:shd w:val="clear" w:color="000000" w:fill="FFFFFF"/>
            <w:noWrap/>
            <w:vAlign w:val="bottom"/>
            <w:hideMark/>
          </w:tcPr>
          <w:p w14:paraId="7A6C457D" w14:textId="1A229BA9"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212" w:type="dxa"/>
            <w:tcBorders>
              <w:top w:val="single" w:sz="4" w:space="0" w:color="DCDDDE"/>
              <w:left w:val="nil"/>
              <w:bottom w:val="nil"/>
              <w:right w:val="nil"/>
            </w:tcBorders>
            <w:shd w:val="clear" w:color="000000" w:fill="FFFFFF"/>
            <w:noWrap/>
            <w:vAlign w:val="bottom"/>
            <w:hideMark/>
          </w:tcPr>
          <w:p w14:paraId="26B2B3E3" w14:textId="55B64413"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50%</w:t>
            </w:r>
          </w:p>
        </w:tc>
        <w:tc>
          <w:tcPr>
            <w:tcW w:w="745" w:type="dxa"/>
            <w:tcBorders>
              <w:top w:val="single" w:sz="4" w:space="0" w:color="DCDDDE"/>
              <w:left w:val="nil"/>
              <w:bottom w:val="nil"/>
              <w:right w:val="nil"/>
            </w:tcBorders>
            <w:shd w:val="clear" w:color="000000" w:fill="FFFFFF"/>
            <w:noWrap/>
            <w:vAlign w:val="bottom"/>
            <w:hideMark/>
          </w:tcPr>
          <w:p w14:paraId="30ABDF76" w14:textId="60BA291A"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50%</w:t>
            </w:r>
          </w:p>
        </w:tc>
      </w:tr>
      <w:tr w:rsidR="00BB14DA" w:rsidRPr="00367992" w14:paraId="5ADBF4B9" w14:textId="77777777" w:rsidTr="00BB14DA">
        <w:trPr>
          <w:cantSplit/>
          <w:trHeight w:val="267"/>
        </w:trPr>
        <w:tc>
          <w:tcPr>
            <w:tcW w:w="1763" w:type="dxa"/>
            <w:tcBorders>
              <w:top w:val="single" w:sz="4" w:space="0" w:color="DCDDDE"/>
              <w:left w:val="nil"/>
              <w:bottom w:val="single" w:sz="4" w:space="0" w:color="auto"/>
              <w:right w:val="nil"/>
            </w:tcBorders>
            <w:shd w:val="clear" w:color="000000" w:fill="FFFFFF"/>
            <w:noWrap/>
            <w:vAlign w:val="bottom"/>
            <w:hideMark/>
          </w:tcPr>
          <w:p w14:paraId="76D3E9A4" w14:textId="77777777" w:rsidR="00BB14DA" w:rsidRPr="00367992" w:rsidRDefault="00BB14DA" w:rsidP="00BB14DA">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Remove observations without a monthly pre-use value (for LDV analysis)</w:t>
            </w:r>
          </w:p>
        </w:tc>
        <w:tc>
          <w:tcPr>
            <w:tcW w:w="1017" w:type="dxa"/>
            <w:tcBorders>
              <w:top w:val="single" w:sz="4" w:space="0" w:color="DCDDDE"/>
              <w:left w:val="nil"/>
              <w:bottom w:val="single" w:sz="4" w:space="0" w:color="auto"/>
              <w:right w:val="nil"/>
            </w:tcBorders>
            <w:shd w:val="clear" w:color="000000" w:fill="FFFFFF"/>
            <w:noWrap/>
            <w:vAlign w:val="bottom"/>
            <w:hideMark/>
          </w:tcPr>
          <w:p w14:paraId="3AB7364F" w14:textId="5E9F16BD"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130,440 </w:t>
            </w:r>
          </w:p>
        </w:tc>
        <w:tc>
          <w:tcPr>
            <w:tcW w:w="810" w:type="dxa"/>
            <w:tcBorders>
              <w:top w:val="single" w:sz="4" w:space="0" w:color="DCDDDE"/>
              <w:left w:val="nil"/>
              <w:bottom w:val="single" w:sz="4" w:space="0" w:color="auto"/>
              <w:right w:val="nil"/>
            </w:tcBorders>
            <w:shd w:val="clear" w:color="000000" w:fill="FFFFFF"/>
            <w:noWrap/>
            <w:vAlign w:val="bottom"/>
            <w:hideMark/>
          </w:tcPr>
          <w:p w14:paraId="21AB46BF" w14:textId="3EFF73F2"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33,959 </w:t>
            </w:r>
          </w:p>
        </w:tc>
        <w:tc>
          <w:tcPr>
            <w:tcW w:w="1037" w:type="dxa"/>
            <w:tcBorders>
              <w:top w:val="single" w:sz="4" w:space="0" w:color="DCDDDE"/>
              <w:left w:val="nil"/>
              <w:bottom w:val="single" w:sz="4" w:space="0" w:color="auto"/>
              <w:right w:val="nil"/>
            </w:tcBorders>
            <w:shd w:val="clear" w:color="000000" w:fill="FFFFFF"/>
            <w:noWrap/>
            <w:vAlign w:val="bottom"/>
            <w:hideMark/>
          </w:tcPr>
          <w:p w14:paraId="42C5E341" w14:textId="22C48668"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1,443,413 </w:t>
            </w:r>
          </w:p>
        </w:tc>
        <w:tc>
          <w:tcPr>
            <w:tcW w:w="996" w:type="dxa"/>
            <w:tcBorders>
              <w:top w:val="single" w:sz="4" w:space="0" w:color="DCDDDE"/>
              <w:left w:val="nil"/>
              <w:bottom w:val="single" w:sz="4" w:space="0" w:color="auto"/>
              <w:right w:val="nil"/>
            </w:tcBorders>
            <w:shd w:val="clear" w:color="000000" w:fill="FFFFFF"/>
            <w:noWrap/>
            <w:vAlign w:val="bottom"/>
            <w:hideMark/>
          </w:tcPr>
          <w:p w14:paraId="3CAC1499" w14:textId="07820D38"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 xml:space="preserve"> 375,565 </w:t>
            </w:r>
          </w:p>
        </w:tc>
        <w:tc>
          <w:tcPr>
            <w:tcW w:w="981" w:type="dxa"/>
            <w:tcBorders>
              <w:top w:val="single" w:sz="4" w:space="0" w:color="DCDDDE"/>
              <w:left w:val="nil"/>
              <w:bottom w:val="single" w:sz="4" w:space="0" w:color="auto"/>
              <w:right w:val="nil"/>
            </w:tcBorders>
            <w:shd w:val="clear" w:color="000000" w:fill="FFFFFF"/>
            <w:noWrap/>
            <w:vAlign w:val="bottom"/>
            <w:hideMark/>
          </w:tcPr>
          <w:p w14:paraId="309EFF36" w14:textId="6896F7ED"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799" w:type="dxa"/>
            <w:tcBorders>
              <w:top w:val="single" w:sz="4" w:space="0" w:color="DCDDDE"/>
              <w:left w:val="nil"/>
              <w:bottom w:val="single" w:sz="4" w:space="0" w:color="auto"/>
              <w:right w:val="nil"/>
            </w:tcBorders>
            <w:shd w:val="clear" w:color="000000" w:fill="FFFFFF"/>
            <w:noWrap/>
            <w:vAlign w:val="bottom"/>
            <w:hideMark/>
          </w:tcPr>
          <w:p w14:paraId="5EB174FC" w14:textId="0A58C87A"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0%</w:t>
            </w:r>
          </w:p>
        </w:tc>
        <w:tc>
          <w:tcPr>
            <w:tcW w:w="1212" w:type="dxa"/>
            <w:tcBorders>
              <w:top w:val="single" w:sz="4" w:space="0" w:color="DCDDDE"/>
              <w:left w:val="nil"/>
              <w:bottom w:val="single" w:sz="4" w:space="0" w:color="auto"/>
              <w:right w:val="nil"/>
            </w:tcBorders>
            <w:shd w:val="clear" w:color="000000" w:fill="FFFFFF"/>
            <w:noWrap/>
            <w:vAlign w:val="bottom"/>
            <w:hideMark/>
          </w:tcPr>
          <w:p w14:paraId="58E1D47E" w14:textId="72EBE7AF"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w:t>
            </w:r>
          </w:p>
        </w:tc>
        <w:tc>
          <w:tcPr>
            <w:tcW w:w="745" w:type="dxa"/>
            <w:tcBorders>
              <w:top w:val="single" w:sz="4" w:space="0" w:color="DCDDDE"/>
              <w:left w:val="nil"/>
              <w:bottom w:val="single" w:sz="4" w:space="0" w:color="auto"/>
              <w:right w:val="nil"/>
            </w:tcBorders>
            <w:shd w:val="clear" w:color="000000" w:fill="FFFFFF"/>
            <w:noWrap/>
            <w:vAlign w:val="bottom"/>
            <w:hideMark/>
          </w:tcPr>
          <w:p w14:paraId="6AA1C3A8" w14:textId="087F6DB0" w:rsidR="00BB14DA" w:rsidRPr="00367992" w:rsidRDefault="00BB14DA" w:rsidP="00BB14DA">
            <w:pPr>
              <w:keepNext/>
              <w:keepLines/>
              <w:contextualSpacing w:val="0"/>
              <w:jc w:val="right"/>
              <w:rPr>
                <w:rFonts w:ascii="Arial Narrow" w:eastAsia="Times New Roman" w:hAnsi="Arial Narrow" w:cs="Arial"/>
                <w:szCs w:val="20"/>
              </w:rPr>
            </w:pPr>
            <w:r w:rsidRPr="00BB14DA">
              <w:rPr>
                <w:rFonts w:ascii="Arial Narrow" w:eastAsia="Times New Roman" w:hAnsi="Arial Narrow" w:cs="Arial"/>
                <w:szCs w:val="20"/>
              </w:rPr>
              <w:t>3%</w:t>
            </w:r>
          </w:p>
        </w:tc>
      </w:tr>
    </w:tbl>
    <w:p w14:paraId="4BEB97F4" w14:textId="32EA401C" w:rsidR="001A4439" w:rsidRDefault="001560BF" w:rsidP="003206D7">
      <w:pPr>
        <w:pStyle w:val="Source"/>
        <w:keepNext/>
        <w:keepLines/>
      </w:pPr>
      <w:r>
        <w:t>Source: Navigant analysis</w:t>
      </w:r>
    </w:p>
    <w:p w14:paraId="796DDA1E" w14:textId="77777777" w:rsidR="00367992" w:rsidRDefault="00367992" w:rsidP="004D1882"/>
    <w:p w14:paraId="7D7C427C" w14:textId="2445C932" w:rsidR="00367992" w:rsidRDefault="006B1101" w:rsidP="00391806">
      <w:pPr>
        <w:pStyle w:val="Caption"/>
        <w:keepLines/>
      </w:pPr>
      <w:bookmarkStart w:id="76" w:name="_Ref520449405"/>
      <w:bookmarkStart w:id="77" w:name="_Toc525646509"/>
      <w:r>
        <w:t xml:space="preserve">Table </w:t>
      </w:r>
      <w:fldSimple w:instr=" STYLEREF 1 \s ">
        <w:r w:rsidR="006E4D05">
          <w:rPr>
            <w:noProof/>
          </w:rPr>
          <w:t>7</w:t>
        </w:r>
      </w:fldSimple>
      <w:r>
        <w:noBreakHyphen/>
      </w:r>
      <w:fldSimple w:instr=" SEQ Table \* ARABIC \s 1 ">
        <w:r w:rsidR="006E4D05">
          <w:rPr>
            <w:noProof/>
          </w:rPr>
          <w:t>3</w:t>
        </w:r>
      </w:fldSimple>
      <w:bookmarkEnd w:id="76"/>
      <w:r>
        <w:t>. Customers and Observations Removed by Data Cleaning Step (Wave 5)</w:t>
      </w:r>
      <w:bookmarkEnd w:id="77"/>
    </w:p>
    <w:tbl>
      <w:tblPr>
        <w:tblW w:w="9360" w:type="dxa"/>
        <w:tblLook w:val="04A0" w:firstRow="1" w:lastRow="0" w:firstColumn="1" w:lastColumn="0" w:noHBand="0" w:noVBand="1"/>
      </w:tblPr>
      <w:tblGrid>
        <w:gridCol w:w="1765"/>
        <w:gridCol w:w="1013"/>
        <w:gridCol w:w="820"/>
        <w:gridCol w:w="1028"/>
        <w:gridCol w:w="1091"/>
        <w:gridCol w:w="972"/>
        <w:gridCol w:w="800"/>
        <w:gridCol w:w="1126"/>
        <w:gridCol w:w="745"/>
      </w:tblGrid>
      <w:tr w:rsidR="001A4439" w:rsidRPr="00367992" w14:paraId="1AD5B95A" w14:textId="77777777" w:rsidTr="001560BF">
        <w:trPr>
          <w:cantSplit/>
          <w:trHeight w:val="287"/>
        </w:trPr>
        <w:tc>
          <w:tcPr>
            <w:tcW w:w="1765" w:type="dxa"/>
            <w:vMerge w:val="restart"/>
            <w:tcBorders>
              <w:top w:val="single" w:sz="4" w:space="0" w:color="DCDDDE"/>
              <w:left w:val="nil"/>
              <w:bottom w:val="single" w:sz="4" w:space="0" w:color="DCDDDE"/>
              <w:right w:val="nil"/>
            </w:tcBorders>
            <w:shd w:val="clear" w:color="000000" w:fill="555759"/>
            <w:vAlign w:val="bottom"/>
            <w:hideMark/>
          </w:tcPr>
          <w:p w14:paraId="24F3320F" w14:textId="77777777" w:rsidR="00367992" w:rsidRPr="00367992" w:rsidRDefault="00367992" w:rsidP="00391806">
            <w:pPr>
              <w:keepNext/>
              <w:keepLines/>
              <w:contextualSpacing w:val="0"/>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Data Cleaning Step</w:t>
            </w:r>
            <w:r w:rsidRPr="00367992">
              <w:rPr>
                <w:rFonts w:ascii="Arial Narrow" w:eastAsia="Times New Roman" w:hAnsi="Arial Narrow" w:cs="Arial"/>
                <w:b/>
                <w:bCs/>
                <w:color w:val="FFFFFF"/>
                <w:szCs w:val="20"/>
              </w:rPr>
              <w:br/>
              <w:t>Wave 5</w:t>
            </w:r>
          </w:p>
        </w:tc>
        <w:tc>
          <w:tcPr>
            <w:tcW w:w="1833" w:type="dxa"/>
            <w:gridSpan w:val="2"/>
            <w:tcBorders>
              <w:top w:val="single" w:sz="4" w:space="0" w:color="DCDDDE"/>
              <w:left w:val="nil"/>
              <w:bottom w:val="single" w:sz="8" w:space="0" w:color="95D600"/>
              <w:right w:val="nil"/>
            </w:tcBorders>
            <w:shd w:val="clear" w:color="000000" w:fill="555759"/>
            <w:noWrap/>
            <w:vAlign w:val="bottom"/>
            <w:hideMark/>
          </w:tcPr>
          <w:p w14:paraId="20D42445" w14:textId="77777777" w:rsidR="00367992" w:rsidRPr="00367992" w:rsidRDefault="00367992" w:rsidP="00391806">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Customers</w:t>
            </w:r>
          </w:p>
        </w:tc>
        <w:tc>
          <w:tcPr>
            <w:tcW w:w="2119" w:type="dxa"/>
            <w:gridSpan w:val="2"/>
            <w:tcBorders>
              <w:top w:val="single" w:sz="4" w:space="0" w:color="DCDDDE"/>
              <w:left w:val="nil"/>
              <w:bottom w:val="single" w:sz="8" w:space="0" w:color="95D600"/>
              <w:right w:val="nil"/>
            </w:tcBorders>
            <w:shd w:val="clear" w:color="000000" w:fill="555759"/>
            <w:noWrap/>
            <w:vAlign w:val="bottom"/>
            <w:hideMark/>
          </w:tcPr>
          <w:p w14:paraId="05803519" w14:textId="77777777" w:rsidR="00367992" w:rsidRPr="00367992" w:rsidRDefault="00367992" w:rsidP="00391806">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Observations</w:t>
            </w:r>
          </w:p>
        </w:tc>
        <w:tc>
          <w:tcPr>
            <w:tcW w:w="1772" w:type="dxa"/>
            <w:gridSpan w:val="2"/>
            <w:tcBorders>
              <w:top w:val="single" w:sz="4" w:space="0" w:color="DCDDDE"/>
              <w:left w:val="nil"/>
              <w:bottom w:val="single" w:sz="8" w:space="0" w:color="95D600"/>
              <w:right w:val="nil"/>
            </w:tcBorders>
            <w:shd w:val="clear" w:color="000000" w:fill="555759"/>
            <w:noWrap/>
            <w:vAlign w:val="bottom"/>
            <w:hideMark/>
          </w:tcPr>
          <w:p w14:paraId="2281C53E" w14:textId="77777777" w:rsidR="00367992" w:rsidRPr="00367992" w:rsidRDefault="00367992" w:rsidP="00391806">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Customer % Change</w:t>
            </w:r>
          </w:p>
        </w:tc>
        <w:tc>
          <w:tcPr>
            <w:tcW w:w="1871" w:type="dxa"/>
            <w:gridSpan w:val="2"/>
            <w:tcBorders>
              <w:top w:val="single" w:sz="4" w:space="0" w:color="DCDDDE"/>
              <w:left w:val="nil"/>
              <w:bottom w:val="single" w:sz="8" w:space="0" w:color="95D600"/>
              <w:right w:val="nil"/>
            </w:tcBorders>
            <w:shd w:val="clear" w:color="000000" w:fill="555759"/>
            <w:noWrap/>
            <w:vAlign w:val="bottom"/>
            <w:hideMark/>
          </w:tcPr>
          <w:p w14:paraId="6778A819" w14:textId="77777777" w:rsidR="00367992" w:rsidRPr="00367992" w:rsidRDefault="00367992" w:rsidP="00391806">
            <w:pPr>
              <w:keepNext/>
              <w:keepLines/>
              <w:contextualSpacing w:val="0"/>
              <w:jc w:val="center"/>
              <w:rPr>
                <w:rFonts w:ascii="Arial Narrow" w:eastAsia="Times New Roman" w:hAnsi="Arial Narrow" w:cs="Arial"/>
                <w:b/>
                <w:bCs/>
                <w:color w:val="FFFFFF"/>
                <w:szCs w:val="20"/>
              </w:rPr>
            </w:pPr>
            <w:r w:rsidRPr="00367992">
              <w:rPr>
                <w:rFonts w:ascii="Arial Narrow" w:eastAsia="Times New Roman" w:hAnsi="Arial Narrow" w:cs="Arial"/>
                <w:b/>
                <w:bCs/>
                <w:color w:val="FFFFFF"/>
                <w:szCs w:val="20"/>
              </w:rPr>
              <w:t>Observation % Change</w:t>
            </w:r>
          </w:p>
        </w:tc>
      </w:tr>
      <w:tr w:rsidR="001A4439" w:rsidRPr="00367992" w14:paraId="5185A7A3" w14:textId="77777777" w:rsidTr="001560BF">
        <w:trPr>
          <w:cantSplit/>
          <w:trHeight w:val="256"/>
        </w:trPr>
        <w:tc>
          <w:tcPr>
            <w:tcW w:w="1765" w:type="dxa"/>
            <w:vMerge/>
            <w:tcBorders>
              <w:top w:val="single" w:sz="4" w:space="0" w:color="DCDDDE"/>
              <w:left w:val="nil"/>
              <w:bottom w:val="single" w:sz="4" w:space="0" w:color="DCDDDE"/>
              <w:right w:val="nil"/>
            </w:tcBorders>
            <w:vAlign w:val="center"/>
            <w:hideMark/>
          </w:tcPr>
          <w:p w14:paraId="14346540" w14:textId="77777777" w:rsidR="00367992" w:rsidRPr="00367992" w:rsidRDefault="00367992" w:rsidP="00391806">
            <w:pPr>
              <w:keepNext/>
              <w:keepLines/>
              <w:contextualSpacing w:val="0"/>
              <w:rPr>
                <w:rFonts w:ascii="Arial Narrow" w:eastAsia="Times New Roman" w:hAnsi="Arial Narrow" w:cs="Arial"/>
                <w:b/>
                <w:bCs/>
                <w:color w:val="FFFFFF"/>
                <w:szCs w:val="20"/>
              </w:rPr>
            </w:pPr>
          </w:p>
        </w:tc>
        <w:tc>
          <w:tcPr>
            <w:tcW w:w="1013" w:type="dxa"/>
            <w:tcBorders>
              <w:top w:val="nil"/>
              <w:left w:val="nil"/>
              <w:bottom w:val="nil"/>
              <w:right w:val="nil"/>
            </w:tcBorders>
            <w:shd w:val="clear" w:color="000000" w:fill="555759"/>
            <w:noWrap/>
            <w:vAlign w:val="bottom"/>
            <w:hideMark/>
          </w:tcPr>
          <w:p w14:paraId="391CFA87"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820" w:type="dxa"/>
            <w:tcBorders>
              <w:top w:val="nil"/>
              <w:left w:val="nil"/>
              <w:bottom w:val="nil"/>
              <w:right w:val="nil"/>
            </w:tcBorders>
            <w:shd w:val="clear" w:color="000000" w:fill="555759"/>
            <w:noWrap/>
            <w:vAlign w:val="bottom"/>
            <w:hideMark/>
          </w:tcPr>
          <w:p w14:paraId="27C3E250"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c>
          <w:tcPr>
            <w:tcW w:w="1028" w:type="dxa"/>
            <w:tcBorders>
              <w:top w:val="nil"/>
              <w:left w:val="nil"/>
              <w:bottom w:val="nil"/>
              <w:right w:val="nil"/>
            </w:tcBorders>
            <w:shd w:val="clear" w:color="000000" w:fill="555759"/>
            <w:noWrap/>
            <w:vAlign w:val="bottom"/>
            <w:hideMark/>
          </w:tcPr>
          <w:p w14:paraId="20CDE5AA"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1091" w:type="dxa"/>
            <w:tcBorders>
              <w:top w:val="nil"/>
              <w:left w:val="nil"/>
              <w:bottom w:val="nil"/>
              <w:right w:val="nil"/>
            </w:tcBorders>
            <w:shd w:val="clear" w:color="000000" w:fill="555759"/>
            <w:noWrap/>
            <w:vAlign w:val="bottom"/>
            <w:hideMark/>
          </w:tcPr>
          <w:p w14:paraId="15F072FE"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c>
          <w:tcPr>
            <w:tcW w:w="972" w:type="dxa"/>
            <w:tcBorders>
              <w:top w:val="nil"/>
              <w:left w:val="nil"/>
              <w:bottom w:val="nil"/>
              <w:right w:val="nil"/>
            </w:tcBorders>
            <w:shd w:val="clear" w:color="000000" w:fill="555759"/>
            <w:noWrap/>
            <w:vAlign w:val="bottom"/>
            <w:hideMark/>
          </w:tcPr>
          <w:p w14:paraId="447831A5"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800" w:type="dxa"/>
            <w:tcBorders>
              <w:top w:val="nil"/>
              <w:left w:val="nil"/>
              <w:bottom w:val="nil"/>
              <w:right w:val="nil"/>
            </w:tcBorders>
            <w:shd w:val="clear" w:color="000000" w:fill="555759"/>
            <w:noWrap/>
            <w:vAlign w:val="bottom"/>
            <w:hideMark/>
          </w:tcPr>
          <w:p w14:paraId="521569B2"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c>
          <w:tcPr>
            <w:tcW w:w="1126" w:type="dxa"/>
            <w:tcBorders>
              <w:top w:val="nil"/>
              <w:left w:val="nil"/>
              <w:bottom w:val="nil"/>
              <w:right w:val="nil"/>
            </w:tcBorders>
            <w:shd w:val="clear" w:color="000000" w:fill="555759"/>
            <w:noWrap/>
            <w:vAlign w:val="bottom"/>
            <w:hideMark/>
          </w:tcPr>
          <w:p w14:paraId="1A84BAF1"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Treatment</w:t>
            </w:r>
          </w:p>
        </w:tc>
        <w:tc>
          <w:tcPr>
            <w:tcW w:w="745" w:type="dxa"/>
            <w:tcBorders>
              <w:top w:val="nil"/>
              <w:left w:val="nil"/>
              <w:bottom w:val="nil"/>
              <w:right w:val="nil"/>
            </w:tcBorders>
            <w:shd w:val="clear" w:color="000000" w:fill="555759"/>
            <w:noWrap/>
            <w:vAlign w:val="bottom"/>
            <w:hideMark/>
          </w:tcPr>
          <w:p w14:paraId="71046AE4" w14:textId="77777777" w:rsidR="00367992" w:rsidRPr="00367992" w:rsidRDefault="00367992" w:rsidP="00391806">
            <w:pPr>
              <w:keepNext/>
              <w:keepLines/>
              <w:contextualSpacing w:val="0"/>
              <w:jc w:val="right"/>
              <w:rPr>
                <w:rFonts w:ascii="Arial Narrow" w:eastAsia="Times New Roman" w:hAnsi="Arial Narrow" w:cs="Arial"/>
                <w:color w:val="FFFFFF"/>
                <w:szCs w:val="20"/>
              </w:rPr>
            </w:pPr>
            <w:r w:rsidRPr="00367992">
              <w:rPr>
                <w:rFonts w:ascii="Arial Narrow" w:eastAsia="Times New Roman" w:hAnsi="Arial Narrow" w:cs="Arial"/>
                <w:color w:val="FFFFFF"/>
                <w:szCs w:val="20"/>
              </w:rPr>
              <w:t>Control</w:t>
            </w:r>
          </w:p>
        </w:tc>
      </w:tr>
      <w:tr w:rsidR="009120D6" w:rsidRPr="00367992" w14:paraId="3667AD46" w14:textId="77777777" w:rsidTr="00271F76">
        <w:trPr>
          <w:cantSplit/>
          <w:trHeight w:val="256"/>
        </w:trPr>
        <w:tc>
          <w:tcPr>
            <w:tcW w:w="1765" w:type="dxa"/>
            <w:tcBorders>
              <w:top w:val="nil"/>
              <w:left w:val="nil"/>
              <w:bottom w:val="nil"/>
              <w:right w:val="nil"/>
            </w:tcBorders>
            <w:shd w:val="clear" w:color="000000" w:fill="FFFFFF"/>
            <w:noWrap/>
            <w:vAlign w:val="bottom"/>
            <w:hideMark/>
          </w:tcPr>
          <w:p w14:paraId="0F7CE6F8" w14:textId="77777777" w:rsidR="009120D6" w:rsidRPr="00367992" w:rsidRDefault="009120D6" w:rsidP="009120D6">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Raw Data</w:t>
            </w:r>
          </w:p>
        </w:tc>
        <w:tc>
          <w:tcPr>
            <w:tcW w:w="1013" w:type="dxa"/>
            <w:tcBorders>
              <w:top w:val="single" w:sz="4" w:space="0" w:color="DCDDDE"/>
              <w:left w:val="nil"/>
              <w:bottom w:val="nil"/>
              <w:right w:val="nil"/>
            </w:tcBorders>
            <w:shd w:val="clear" w:color="000000" w:fill="FFFFFF"/>
            <w:noWrap/>
            <w:hideMark/>
          </w:tcPr>
          <w:p w14:paraId="45B567E6" w14:textId="7B620E45"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19,886 </w:t>
            </w:r>
          </w:p>
        </w:tc>
        <w:tc>
          <w:tcPr>
            <w:tcW w:w="820" w:type="dxa"/>
            <w:tcBorders>
              <w:top w:val="single" w:sz="4" w:space="0" w:color="DCDDDE"/>
              <w:left w:val="nil"/>
              <w:bottom w:val="nil"/>
              <w:right w:val="nil"/>
            </w:tcBorders>
            <w:shd w:val="clear" w:color="000000" w:fill="FFFFFF"/>
            <w:noWrap/>
            <w:hideMark/>
          </w:tcPr>
          <w:p w14:paraId="5B5FB80C" w14:textId="7A97FD7B"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12,756 </w:t>
            </w:r>
          </w:p>
        </w:tc>
        <w:tc>
          <w:tcPr>
            <w:tcW w:w="1028" w:type="dxa"/>
            <w:tcBorders>
              <w:top w:val="single" w:sz="4" w:space="0" w:color="DCDDDE"/>
              <w:left w:val="nil"/>
              <w:bottom w:val="nil"/>
              <w:right w:val="nil"/>
            </w:tcBorders>
            <w:shd w:val="clear" w:color="000000" w:fill="FFFFFF"/>
            <w:noWrap/>
            <w:hideMark/>
          </w:tcPr>
          <w:p w14:paraId="022487DE" w14:textId="33E43EB6"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1,183,630 </w:t>
            </w:r>
          </w:p>
        </w:tc>
        <w:tc>
          <w:tcPr>
            <w:tcW w:w="1091" w:type="dxa"/>
            <w:tcBorders>
              <w:top w:val="single" w:sz="4" w:space="0" w:color="DCDDDE"/>
              <w:left w:val="nil"/>
              <w:bottom w:val="nil"/>
              <w:right w:val="nil"/>
            </w:tcBorders>
            <w:shd w:val="clear" w:color="000000" w:fill="FFFFFF"/>
            <w:noWrap/>
            <w:hideMark/>
          </w:tcPr>
          <w:p w14:paraId="4E7D0B84" w14:textId="739D7A0E"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758,298 </w:t>
            </w:r>
          </w:p>
        </w:tc>
        <w:tc>
          <w:tcPr>
            <w:tcW w:w="972" w:type="dxa"/>
            <w:tcBorders>
              <w:top w:val="single" w:sz="4" w:space="0" w:color="DCDDDE"/>
              <w:left w:val="nil"/>
              <w:bottom w:val="nil"/>
              <w:right w:val="nil"/>
            </w:tcBorders>
            <w:shd w:val="clear" w:color="000000" w:fill="FFFFFF"/>
            <w:noWrap/>
            <w:vAlign w:val="bottom"/>
            <w:hideMark/>
          </w:tcPr>
          <w:p w14:paraId="2E2FA5D1" w14:textId="77777777" w:rsidR="009120D6" w:rsidRPr="00367992" w:rsidRDefault="009120D6" w:rsidP="009120D6">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c>
          <w:tcPr>
            <w:tcW w:w="800" w:type="dxa"/>
            <w:tcBorders>
              <w:top w:val="single" w:sz="4" w:space="0" w:color="DCDDDE"/>
              <w:left w:val="nil"/>
              <w:bottom w:val="nil"/>
              <w:right w:val="nil"/>
            </w:tcBorders>
            <w:shd w:val="clear" w:color="000000" w:fill="FFFFFF"/>
            <w:noWrap/>
            <w:vAlign w:val="bottom"/>
            <w:hideMark/>
          </w:tcPr>
          <w:p w14:paraId="74F90BC1" w14:textId="77777777" w:rsidR="009120D6" w:rsidRPr="00367992" w:rsidRDefault="009120D6" w:rsidP="009120D6">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c>
          <w:tcPr>
            <w:tcW w:w="1126" w:type="dxa"/>
            <w:tcBorders>
              <w:top w:val="single" w:sz="4" w:space="0" w:color="DCDDDE"/>
              <w:left w:val="nil"/>
              <w:bottom w:val="nil"/>
              <w:right w:val="nil"/>
            </w:tcBorders>
            <w:shd w:val="clear" w:color="000000" w:fill="FFFFFF"/>
            <w:noWrap/>
            <w:vAlign w:val="bottom"/>
            <w:hideMark/>
          </w:tcPr>
          <w:p w14:paraId="1144DA3C" w14:textId="77777777" w:rsidR="009120D6" w:rsidRPr="00367992" w:rsidRDefault="009120D6" w:rsidP="009120D6">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c>
          <w:tcPr>
            <w:tcW w:w="745" w:type="dxa"/>
            <w:tcBorders>
              <w:top w:val="single" w:sz="4" w:space="0" w:color="DCDDDE"/>
              <w:left w:val="nil"/>
              <w:bottom w:val="nil"/>
              <w:right w:val="nil"/>
            </w:tcBorders>
            <w:shd w:val="clear" w:color="000000" w:fill="FFFFFF"/>
            <w:noWrap/>
            <w:vAlign w:val="bottom"/>
            <w:hideMark/>
          </w:tcPr>
          <w:p w14:paraId="1974F1A9" w14:textId="77777777" w:rsidR="009120D6" w:rsidRPr="00367992" w:rsidRDefault="009120D6" w:rsidP="009120D6">
            <w:pPr>
              <w:keepNext/>
              <w:keepLines/>
              <w:contextualSpacing w:val="0"/>
              <w:jc w:val="right"/>
              <w:rPr>
                <w:rFonts w:ascii="Arial Narrow" w:eastAsia="Times New Roman" w:hAnsi="Arial Narrow" w:cs="Arial"/>
                <w:szCs w:val="20"/>
              </w:rPr>
            </w:pPr>
            <w:r w:rsidRPr="00367992">
              <w:rPr>
                <w:rFonts w:ascii="Arial Narrow" w:eastAsia="Times New Roman" w:hAnsi="Arial Narrow" w:cs="Arial"/>
                <w:szCs w:val="20"/>
              </w:rPr>
              <w:t>-</w:t>
            </w:r>
          </w:p>
        </w:tc>
      </w:tr>
      <w:tr w:rsidR="009120D6" w:rsidRPr="00367992" w14:paraId="1CE27B63" w14:textId="77777777" w:rsidTr="009120D6">
        <w:trPr>
          <w:cantSplit/>
          <w:trHeight w:val="256"/>
        </w:trPr>
        <w:tc>
          <w:tcPr>
            <w:tcW w:w="1765" w:type="dxa"/>
            <w:tcBorders>
              <w:top w:val="single" w:sz="4" w:space="0" w:color="DCDDDE"/>
              <w:left w:val="nil"/>
              <w:bottom w:val="nil"/>
              <w:right w:val="nil"/>
            </w:tcBorders>
            <w:shd w:val="clear" w:color="000000" w:fill="FFFFFF"/>
            <w:noWrap/>
            <w:vAlign w:val="bottom"/>
            <w:hideMark/>
          </w:tcPr>
          <w:p w14:paraId="426F17D8" w14:textId="77777777" w:rsidR="009120D6" w:rsidRPr="00367992" w:rsidRDefault="009120D6" w:rsidP="009120D6">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Subset to pre/post periods and desired customers</w:t>
            </w:r>
          </w:p>
        </w:tc>
        <w:tc>
          <w:tcPr>
            <w:tcW w:w="1013" w:type="dxa"/>
            <w:tcBorders>
              <w:top w:val="single" w:sz="4" w:space="0" w:color="DCDDDE"/>
              <w:left w:val="nil"/>
              <w:bottom w:val="nil"/>
              <w:right w:val="nil"/>
            </w:tcBorders>
            <w:shd w:val="clear" w:color="000000" w:fill="FFFFFF"/>
            <w:noWrap/>
            <w:vAlign w:val="bottom"/>
            <w:hideMark/>
          </w:tcPr>
          <w:p w14:paraId="3AF282E6" w14:textId="3D684E83"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9,290 </w:t>
            </w:r>
          </w:p>
        </w:tc>
        <w:tc>
          <w:tcPr>
            <w:tcW w:w="820" w:type="dxa"/>
            <w:tcBorders>
              <w:top w:val="single" w:sz="4" w:space="0" w:color="DCDDDE"/>
              <w:left w:val="nil"/>
              <w:bottom w:val="nil"/>
              <w:right w:val="nil"/>
            </w:tcBorders>
            <w:shd w:val="clear" w:color="000000" w:fill="FFFFFF"/>
            <w:noWrap/>
            <w:vAlign w:val="bottom"/>
            <w:hideMark/>
          </w:tcPr>
          <w:p w14:paraId="04948BB3" w14:textId="343F6845"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6,045 </w:t>
            </w:r>
          </w:p>
        </w:tc>
        <w:tc>
          <w:tcPr>
            <w:tcW w:w="1028" w:type="dxa"/>
            <w:tcBorders>
              <w:top w:val="single" w:sz="4" w:space="0" w:color="DCDDDE"/>
              <w:left w:val="nil"/>
              <w:bottom w:val="nil"/>
              <w:right w:val="nil"/>
            </w:tcBorders>
            <w:shd w:val="clear" w:color="000000" w:fill="FFFFFF"/>
            <w:noWrap/>
            <w:vAlign w:val="bottom"/>
            <w:hideMark/>
          </w:tcPr>
          <w:p w14:paraId="51BFF2D8" w14:textId="4FC5BF8A"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213,797 </w:t>
            </w:r>
          </w:p>
        </w:tc>
        <w:tc>
          <w:tcPr>
            <w:tcW w:w="1091" w:type="dxa"/>
            <w:tcBorders>
              <w:top w:val="single" w:sz="4" w:space="0" w:color="DCDDDE"/>
              <w:left w:val="nil"/>
              <w:bottom w:val="nil"/>
              <w:right w:val="nil"/>
            </w:tcBorders>
            <w:shd w:val="clear" w:color="000000" w:fill="FFFFFF"/>
            <w:noWrap/>
            <w:vAlign w:val="bottom"/>
            <w:hideMark/>
          </w:tcPr>
          <w:p w14:paraId="4BD437BD" w14:textId="15257C4D"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139,091 </w:t>
            </w:r>
          </w:p>
        </w:tc>
        <w:tc>
          <w:tcPr>
            <w:tcW w:w="972" w:type="dxa"/>
            <w:tcBorders>
              <w:top w:val="single" w:sz="4" w:space="0" w:color="DCDDDE"/>
              <w:left w:val="nil"/>
              <w:bottom w:val="nil"/>
              <w:right w:val="nil"/>
            </w:tcBorders>
            <w:shd w:val="clear" w:color="000000" w:fill="FFFFFF"/>
            <w:noWrap/>
            <w:vAlign w:val="bottom"/>
            <w:hideMark/>
          </w:tcPr>
          <w:p w14:paraId="276B1D63" w14:textId="16F90F23"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53%</w:t>
            </w:r>
          </w:p>
        </w:tc>
        <w:tc>
          <w:tcPr>
            <w:tcW w:w="800" w:type="dxa"/>
            <w:tcBorders>
              <w:top w:val="single" w:sz="4" w:space="0" w:color="DCDDDE"/>
              <w:left w:val="nil"/>
              <w:bottom w:val="nil"/>
              <w:right w:val="nil"/>
            </w:tcBorders>
            <w:shd w:val="clear" w:color="000000" w:fill="FFFFFF"/>
            <w:noWrap/>
            <w:vAlign w:val="bottom"/>
            <w:hideMark/>
          </w:tcPr>
          <w:p w14:paraId="53531CA1" w14:textId="34D45E18"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53%</w:t>
            </w:r>
          </w:p>
        </w:tc>
        <w:tc>
          <w:tcPr>
            <w:tcW w:w="1126" w:type="dxa"/>
            <w:tcBorders>
              <w:top w:val="single" w:sz="4" w:space="0" w:color="DCDDDE"/>
              <w:left w:val="nil"/>
              <w:bottom w:val="nil"/>
              <w:right w:val="nil"/>
            </w:tcBorders>
            <w:shd w:val="clear" w:color="000000" w:fill="FFFFFF"/>
            <w:noWrap/>
            <w:vAlign w:val="bottom"/>
            <w:hideMark/>
          </w:tcPr>
          <w:p w14:paraId="367E3923" w14:textId="472B779F"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82%</w:t>
            </w:r>
          </w:p>
        </w:tc>
        <w:tc>
          <w:tcPr>
            <w:tcW w:w="745" w:type="dxa"/>
            <w:tcBorders>
              <w:top w:val="single" w:sz="4" w:space="0" w:color="DCDDDE"/>
              <w:left w:val="nil"/>
              <w:bottom w:val="nil"/>
              <w:right w:val="nil"/>
            </w:tcBorders>
            <w:shd w:val="clear" w:color="000000" w:fill="FFFFFF"/>
            <w:noWrap/>
            <w:vAlign w:val="bottom"/>
            <w:hideMark/>
          </w:tcPr>
          <w:p w14:paraId="2362B5BB" w14:textId="2A0EEE65"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82%</w:t>
            </w:r>
          </w:p>
        </w:tc>
      </w:tr>
      <w:tr w:rsidR="009120D6" w:rsidRPr="00367992" w14:paraId="714B1021" w14:textId="77777777" w:rsidTr="009120D6">
        <w:trPr>
          <w:cantSplit/>
          <w:trHeight w:val="256"/>
        </w:trPr>
        <w:tc>
          <w:tcPr>
            <w:tcW w:w="1765" w:type="dxa"/>
            <w:tcBorders>
              <w:top w:val="single" w:sz="4" w:space="0" w:color="DCDDDE"/>
              <w:left w:val="nil"/>
              <w:bottom w:val="nil"/>
              <w:right w:val="nil"/>
            </w:tcBorders>
            <w:shd w:val="clear" w:color="000000" w:fill="FFFFFF"/>
            <w:noWrap/>
            <w:vAlign w:val="bottom"/>
            <w:hideMark/>
          </w:tcPr>
          <w:p w14:paraId="37A43E23" w14:textId="77777777" w:rsidR="009120D6" w:rsidRPr="00367992" w:rsidRDefault="009120D6" w:rsidP="009120D6">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Remove exact duplicate observations</w:t>
            </w:r>
          </w:p>
        </w:tc>
        <w:tc>
          <w:tcPr>
            <w:tcW w:w="1013" w:type="dxa"/>
            <w:tcBorders>
              <w:top w:val="single" w:sz="4" w:space="0" w:color="DCDDDE"/>
              <w:left w:val="nil"/>
              <w:bottom w:val="nil"/>
              <w:right w:val="nil"/>
            </w:tcBorders>
            <w:shd w:val="clear" w:color="000000" w:fill="FFFFFF"/>
            <w:noWrap/>
            <w:vAlign w:val="bottom"/>
            <w:hideMark/>
          </w:tcPr>
          <w:p w14:paraId="32F08EE5" w14:textId="566A98A8"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9,290 </w:t>
            </w:r>
          </w:p>
        </w:tc>
        <w:tc>
          <w:tcPr>
            <w:tcW w:w="820" w:type="dxa"/>
            <w:tcBorders>
              <w:top w:val="single" w:sz="4" w:space="0" w:color="DCDDDE"/>
              <w:left w:val="nil"/>
              <w:bottom w:val="nil"/>
              <w:right w:val="nil"/>
            </w:tcBorders>
            <w:shd w:val="clear" w:color="000000" w:fill="FFFFFF"/>
            <w:noWrap/>
            <w:vAlign w:val="bottom"/>
            <w:hideMark/>
          </w:tcPr>
          <w:p w14:paraId="51A6BA49" w14:textId="11A0791E"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6,045 </w:t>
            </w:r>
          </w:p>
        </w:tc>
        <w:tc>
          <w:tcPr>
            <w:tcW w:w="1028" w:type="dxa"/>
            <w:tcBorders>
              <w:top w:val="single" w:sz="4" w:space="0" w:color="DCDDDE"/>
              <w:left w:val="nil"/>
              <w:bottom w:val="nil"/>
              <w:right w:val="nil"/>
            </w:tcBorders>
            <w:shd w:val="clear" w:color="000000" w:fill="FFFFFF"/>
            <w:noWrap/>
            <w:vAlign w:val="bottom"/>
            <w:hideMark/>
          </w:tcPr>
          <w:p w14:paraId="04456D39" w14:textId="1553DCF7"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213,797 </w:t>
            </w:r>
          </w:p>
        </w:tc>
        <w:tc>
          <w:tcPr>
            <w:tcW w:w="1091" w:type="dxa"/>
            <w:tcBorders>
              <w:top w:val="single" w:sz="4" w:space="0" w:color="DCDDDE"/>
              <w:left w:val="nil"/>
              <w:bottom w:val="nil"/>
              <w:right w:val="nil"/>
            </w:tcBorders>
            <w:shd w:val="clear" w:color="000000" w:fill="FFFFFF"/>
            <w:noWrap/>
            <w:vAlign w:val="bottom"/>
            <w:hideMark/>
          </w:tcPr>
          <w:p w14:paraId="767BC9FE" w14:textId="28A64488"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139,091 </w:t>
            </w:r>
          </w:p>
        </w:tc>
        <w:tc>
          <w:tcPr>
            <w:tcW w:w="972" w:type="dxa"/>
            <w:tcBorders>
              <w:top w:val="single" w:sz="4" w:space="0" w:color="DCDDDE"/>
              <w:left w:val="nil"/>
              <w:bottom w:val="nil"/>
              <w:right w:val="nil"/>
            </w:tcBorders>
            <w:shd w:val="clear" w:color="000000" w:fill="FFFFFF"/>
            <w:noWrap/>
            <w:vAlign w:val="bottom"/>
            <w:hideMark/>
          </w:tcPr>
          <w:p w14:paraId="06010E83" w14:textId="37063564"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800" w:type="dxa"/>
            <w:tcBorders>
              <w:top w:val="single" w:sz="4" w:space="0" w:color="DCDDDE"/>
              <w:left w:val="nil"/>
              <w:bottom w:val="nil"/>
              <w:right w:val="nil"/>
            </w:tcBorders>
            <w:shd w:val="clear" w:color="000000" w:fill="FFFFFF"/>
            <w:noWrap/>
            <w:vAlign w:val="bottom"/>
            <w:hideMark/>
          </w:tcPr>
          <w:p w14:paraId="7196672B" w14:textId="6B02D222"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1126" w:type="dxa"/>
            <w:tcBorders>
              <w:top w:val="single" w:sz="4" w:space="0" w:color="DCDDDE"/>
              <w:left w:val="nil"/>
              <w:bottom w:val="nil"/>
              <w:right w:val="nil"/>
            </w:tcBorders>
            <w:shd w:val="clear" w:color="000000" w:fill="FFFFFF"/>
            <w:noWrap/>
            <w:vAlign w:val="bottom"/>
            <w:hideMark/>
          </w:tcPr>
          <w:p w14:paraId="3200C393" w14:textId="67E4BA93"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745" w:type="dxa"/>
            <w:tcBorders>
              <w:top w:val="single" w:sz="4" w:space="0" w:color="DCDDDE"/>
              <w:left w:val="nil"/>
              <w:bottom w:val="nil"/>
              <w:right w:val="nil"/>
            </w:tcBorders>
            <w:shd w:val="clear" w:color="000000" w:fill="FFFFFF"/>
            <w:noWrap/>
            <w:vAlign w:val="bottom"/>
            <w:hideMark/>
          </w:tcPr>
          <w:p w14:paraId="625BA80E" w14:textId="5B20F6E8"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r>
      <w:tr w:rsidR="009120D6" w:rsidRPr="00367992" w14:paraId="566E5773" w14:textId="77777777" w:rsidTr="009120D6">
        <w:trPr>
          <w:cantSplit/>
          <w:trHeight w:val="256"/>
        </w:trPr>
        <w:tc>
          <w:tcPr>
            <w:tcW w:w="1765" w:type="dxa"/>
            <w:tcBorders>
              <w:top w:val="single" w:sz="4" w:space="0" w:color="DCDDDE"/>
              <w:left w:val="nil"/>
              <w:bottom w:val="nil"/>
              <w:right w:val="nil"/>
            </w:tcBorders>
            <w:shd w:val="clear" w:color="000000" w:fill="FFFFFF"/>
            <w:noWrap/>
            <w:vAlign w:val="bottom"/>
            <w:hideMark/>
          </w:tcPr>
          <w:p w14:paraId="67B6A32B" w14:textId="77777777" w:rsidR="009120D6" w:rsidRPr="00367992" w:rsidRDefault="009120D6" w:rsidP="009120D6">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Bill Flattening</w:t>
            </w:r>
          </w:p>
        </w:tc>
        <w:tc>
          <w:tcPr>
            <w:tcW w:w="1013" w:type="dxa"/>
            <w:tcBorders>
              <w:top w:val="single" w:sz="4" w:space="0" w:color="DCDDDE"/>
              <w:left w:val="nil"/>
              <w:bottom w:val="nil"/>
              <w:right w:val="nil"/>
            </w:tcBorders>
            <w:shd w:val="clear" w:color="000000" w:fill="FFFFFF"/>
            <w:noWrap/>
            <w:vAlign w:val="bottom"/>
            <w:hideMark/>
          </w:tcPr>
          <w:p w14:paraId="649E9916" w14:textId="4A7F2302"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9,290 </w:t>
            </w:r>
          </w:p>
        </w:tc>
        <w:tc>
          <w:tcPr>
            <w:tcW w:w="820" w:type="dxa"/>
            <w:tcBorders>
              <w:top w:val="single" w:sz="4" w:space="0" w:color="DCDDDE"/>
              <w:left w:val="nil"/>
              <w:bottom w:val="nil"/>
              <w:right w:val="nil"/>
            </w:tcBorders>
            <w:shd w:val="clear" w:color="000000" w:fill="FFFFFF"/>
            <w:noWrap/>
            <w:vAlign w:val="bottom"/>
            <w:hideMark/>
          </w:tcPr>
          <w:p w14:paraId="3363D37C" w14:textId="5B228ABE"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6,045 </w:t>
            </w:r>
          </w:p>
        </w:tc>
        <w:tc>
          <w:tcPr>
            <w:tcW w:w="1028" w:type="dxa"/>
            <w:tcBorders>
              <w:top w:val="single" w:sz="4" w:space="0" w:color="DCDDDE"/>
              <w:left w:val="nil"/>
              <w:bottom w:val="nil"/>
              <w:right w:val="nil"/>
            </w:tcBorders>
            <w:shd w:val="clear" w:color="000000" w:fill="FFFFFF"/>
            <w:noWrap/>
            <w:vAlign w:val="bottom"/>
            <w:hideMark/>
          </w:tcPr>
          <w:p w14:paraId="17B50481" w14:textId="20658810"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208,468 </w:t>
            </w:r>
          </w:p>
        </w:tc>
        <w:tc>
          <w:tcPr>
            <w:tcW w:w="1091" w:type="dxa"/>
            <w:tcBorders>
              <w:top w:val="single" w:sz="4" w:space="0" w:color="DCDDDE"/>
              <w:left w:val="nil"/>
              <w:bottom w:val="nil"/>
              <w:right w:val="nil"/>
            </w:tcBorders>
            <w:shd w:val="clear" w:color="000000" w:fill="FFFFFF"/>
            <w:noWrap/>
            <w:vAlign w:val="bottom"/>
            <w:hideMark/>
          </w:tcPr>
          <w:p w14:paraId="167A9525" w14:textId="0B04FE93"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135,626 </w:t>
            </w:r>
          </w:p>
        </w:tc>
        <w:tc>
          <w:tcPr>
            <w:tcW w:w="972" w:type="dxa"/>
            <w:tcBorders>
              <w:top w:val="single" w:sz="4" w:space="0" w:color="DCDDDE"/>
              <w:left w:val="nil"/>
              <w:bottom w:val="nil"/>
              <w:right w:val="nil"/>
            </w:tcBorders>
            <w:shd w:val="clear" w:color="000000" w:fill="FFFFFF"/>
            <w:noWrap/>
            <w:vAlign w:val="bottom"/>
            <w:hideMark/>
          </w:tcPr>
          <w:p w14:paraId="77B85C78" w14:textId="7DD1AF12"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800" w:type="dxa"/>
            <w:tcBorders>
              <w:top w:val="single" w:sz="4" w:space="0" w:color="DCDDDE"/>
              <w:left w:val="nil"/>
              <w:bottom w:val="nil"/>
              <w:right w:val="nil"/>
            </w:tcBorders>
            <w:shd w:val="clear" w:color="000000" w:fill="FFFFFF"/>
            <w:noWrap/>
            <w:vAlign w:val="bottom"/>
            <w:hideMark/>
          </w:tcPr>
          <w:p w14:paraId="76C051FD" w14:textId="6C9D01AA"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1126" w:type="dxa"/>
            <w:tcBorders>
              <w:top w:val="single" w:sz="4" w:space="0" w:color="DCDDDE"/>
              <w:left w:val="nil"/>
              <w:bottom w:val="nil"/>
              <w:right w:val="nil"/>
            </w:tcBorders>
            <w:shd w:val="clear" w:color="000000" w:fill="FFFFFF"/>
            <w:noWrap/>
            <w:vAlign w:val="bottom"/>
            <w:hideMark/>
          </w:tcPr>
          <w:p w14:paraId="4B16546A" w14:textId="1978A2EB"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2%</w:t>
            </w:r>
          </w:p>
        </w:tc>
        <w:tc>
          <w:tcPr>
            <w:tcW w:w="745" w:type="dxa"/>
            <w:tcBorders>
              <w:top w:val="single" w:sz="4" w:space="0" w:color="DCDDDE"/>
              <w:left w:val="nil"/>
              <w:bottom w:val="nil"/>
              <w:right w:val="nil"/>
            </w:tcBorders>
            <w:shd w:val="clear" w:color="000000" w:fill="FFFFFF"/>
            <w:noWrap/>
            <w:vAlign w:val="bottom"/>
            <w:hideMark/>
          </w:tcPr>
          <w:p w14:paraId="32B149F0" w14:textId="04D0B3F3"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2%</w:t>
            </w:r>
          </w:p>
        </w:tc>
      </w:tr>
      <w:tr w:rsidR="009120D6" w:rsidRPr="00367992" w14:paraId="1025AB32" w14:textId="77777777" w:rsidTr="009120D6">
        <w:trPr>
          <w:cantSplit/>
          <w:trHeight w:val="256"/>
        </w:trPr>
        <w:tc>
          <w:tcPr>
            <w:tcW w:w="1765" w:type="dxa"/>
            <w:tcBorders>
              <w:top w:val="single" w:sz="4" w:space="0" w:color="DCDDDE"/>
              <w:left w:val="nil"/>
              <w:bottom w:val="nil"/>
              <w:right w:val="nil"/>
            </w:tcBorders>
            <w:shd w:val="clear" w:color="000000" w:fill="FFFFFF"/>
            <w:noWrap/>
            <w:vAlign w:val="bottom"/>
            <w:hideMark/>
          </w:tcPr>
          <w:p w14:paraId="621DB9C2" w14:textId="77777777" w:rsidR="009120D6" w:rsidRPr="00367992" w:rsidRDefault="009120D6" w:rsidP="009120D6">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Exclude outliers</w:t>
            </w:r>
          </w:p>
        </w:tc>
        <w:tc>
          <w:tcPr>
            <w:tcW w:w="1013" w:type="dxa"/>
            <w:tcBorders>
              <w:top w:val="single" w:sz="4" w:space="0" w:color="DCDDDE"/>
              <w:left w:val="nil"/>
              <w:bottom w:val="nil"/>
              <w:right w:val="nil"/>
            </w:tcBorders>
            <w:shd w:val="clear" w:color="000000" w:fill="FFFFFF"/>
            <w:noWrap/>
            <w:vAlign w:val="bottom"/>
            <w:hideMark/>
          </w:tcPr>
          <w:p w14:paraId="296C1F4B" w14:textId="77ED7CFE"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9,290 </w:t>
            </w:r>
          </w:p>
        </w:tc>
        <w:tc>
          <w:tcPr>
            <w:tcW w:w="820" w:type="dxa"/>
            <w:tcBorders>
              <w:top w:val="single" w:sz="4" w:space="0" w:color="DCDDDE"/>
              <w:left w:val="nil"/>
              <w:bottom w:val="nil"/>
              <w:right w:val="nil"/>
            </w:tcBorders>
            <w:shd w:val="clear" w:color="000000" w:fill="FFFFFF"/>
            <w:noWrap/>
            <w:vAlign w:val="bottom"/>
            <w:hideMark/>
          </w:tcPr>
          <w:p w14:paraId="33F95597" w14:textId="11311B8A"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6,045 </w:t>
            </w:r>
          </w:p>
        </w:tc>
        <w:tc>
          <w:tcPr>
            <w:tcW w:w="1028" w:type="dxa"/>
            <w:tcBorders>
              <w:top w:val="single" w:sz="4" w:space="0" w:color="DCDDDE"/>
              <w:left w:val="nil"/>
              <w:bottom w:val="nil"/>
              <w:right w:val="nil"/>
            </w:tcBorders>
            <w:shd w:val="clear" w:color="000000" w:fill="FFFFFF"/>
            <w:noWrap/>
            <w:vAlign w:val="bottom"/>
            <w:hideMark/>
          </w:tcPr>
          <w:p w14:paraId="7F55576C" w14:textId="502D6216"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208,418 </w:t>
            </w:r>
          </w:p>
        </w:tc>
        <w:tc>
          <w:tcPr>
            <w:tcW w:w="1091" w:type="dxa"/>
            <w:tcBorders>
              <w:top w:val="single" w:sz="4" w:space="0" w:color="DCDDDE"/>
              <w:left w:val="nil"/>
              <w:bottom w:val="nil"/>
              <w:right w:val="nil"/>
            </w:tcBorders>
            <w:shd w:val="clear" w:color="000000" w:fill="FFFFFF"/>
            <w:noWrap/>
            <w:vAlign w:val="bottom"/>
            <w:hideMark/>
          </w:tcPr>
          <w:p w14:paraId="0807B4B6" w14:textId="6736AF0D"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135,577 </w:t>
            </w:r>
          </w:p>
        </w:tc>
        <w:tc>
          <w:tcPr>
            <w:tcW w:w="972" w:type="dxa"/>
            <w:tcBorders>
              <w:top w:val="single" w:sz="4" w:space="0" w:color="DCDDDE"/>
              <w:left w:val="nil"/>
              <w:bottom w:val="nil"/>
              <w:right w:val="nil"/>
            </w:tcBorders>
            <w:shd w:val="clear" w:color="000000" w:fill="FFFFFF"/>
            <w:noWrap/>
            <w:vAlign w:val="bottom"/>
            <w:hideMark/>
          </w:tcPr>
          <w:p w14:paraId="2AAC61F1" w14:textId="2E58BD0A"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800" w:type="dxa"/>
            <w:tcBorders>
              <w:top w:val="single" w:sz="4" w:space="0" w:color="DCDDDE"/>
              <w:left w:val="nil"/>
              <w:bottom w:val="nil"/>
              <w:right w:val="nil"/>
            </w:tcBorders>
            <w:shd w:val="clear" w:color="000000" w:fill="FFFFFF"/>
            <w:noWrap/>
            <w:vAlign w:val="bottom"/>
            <w:hideMark/>
          </w:tcPr>
          <w:p w14:paraId="32361A64" w14:textId="76EC79BA"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1126" w:type="dxa"/>
            <w:tcBorders>
              <w:top w:val="single" w:sz="4" w:space="0" w:color="DCDDDE"/>
              <w:left w:val="nil"/>
              <w:bottom w:val="nil"/>
              <w:right w:val="nil"/>
            </w:tcBorders>
            <w:shd w:val="clear" w:color="000000" w:fill="FFFFFF"/>
            <w:noWrap/>
            <w:vAlign w:val="bottom"/>
            <w:hideMark/>
          </w:tcPr>
          <w:p w14:paraId="609F3EE0" w14:textId="43ECFAD2"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745" w:type="dxa"/>
            <w:tcBorders>
              <w:top w:val="single" w:sz="4" w:space="0" w:color="DCDDDE"/>
              <w:left w:val="nil"/>
              <w:bottom w:val="nil"/>
              <w:right w:val="nil"/>
            </w:tcBorders>
            <w:shd w:val="clear" w:color="000000" w:fill="FFFFFF"/>
            <w:noWrap/>
            <w:vAlign w:val="bottom"/>
            <w:hideMark/>
          </w:tcPr>
          <w:p w14:paraId="583BFB54" w14:textId="5D9AFBED"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r>
      <w:tr w:rsidR="009120D6" w:rsidRPr="00367992" w14:paraId="0F0DF722" w14:textId="77777777" w:rsidTr="009120D6">
        <w:trPr>
          <w:cantSplit/>
          <w:trHeight w:val="256"/>
        </w:trPr>
        <w:tc>
          <w:tcPr>
            <w:tcW w:w="1765" w:type="dxa"/>
            <w:tcBorders>
              <w:top w:val="single" w:sz="4" w:space="0" w:color="DCDDDE"/>
              <w:left w:val="nil"/>
              <w:bottom w:val="nil"/>
              <w:right w:val="nil"/>
            </w:tcBorders>
            <w:shd w:val="clear" w:color="000000" w:fill="FFFFFF"/>
            <w:noWrap/>
            <w:vAlign w:val="bottom"/>
            <w:hideMark/>
          </w:tcPr>
          <w:p w14:paraId="1025634D" w14:textId="77777777" w:rsidR="009120D6" w:rsidRPr="00367992" w:rsidRDefault="009120D6" w:rsidP="009120D6">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Remove pre-period data (for LDV analysis)</w:t>
            </w:r>
          </w:p>
        </w:tc>
        <w:tc>
          <w:tcPr>
            <w:tcW w:w="1013" w:type="dxa"/>
            <w:tcBorders>
              <w:top w:val="single" w:sz="4" w:space="0" w:color="DCDDDE"/>
              <w:left w:val="nil"/>
              <w:bottom w:val="nil"/>
              <w:right w:val="nil"/>
            </w:tcBorders>
            <w:shd w:val="clear" w:color="000000" w:fill="FFFFFF"/>
            <w:noWrap/>
            <w:vAlign w:val="bottom"/>
            <w:hideMark/>
          </w:tcPr>
          <w:p w14:paraId="055F350D" w14:textId="1E87CAFC"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9,283 </w:t>
            </w:r>
          </w:p>
        </w:tc>
        <w:tc>
          <w:tcPr>
            <w:tcW w:w="820" w:type="dxa"/>
            <w:tcBorders>
              <w:top w:val="single" w:sz="4" w:space="0" w:color="DCDDDE"/>
              <w:left w:val="nil"/>
              <w:bottom w:val="nil"/>
              <w:right w:val="nil"/>
            </w:tcBorders>
            <w:shd w:val="clear" w:color="000000" w:fill="FFFFFF"/>
            <w:noWrap/>
            <w:vAlign w:val="bottom"/>
            <w:hideMark/>
          </w:tcPr>
          <w:p w14:paraId="3082F06A" w14:textId="692E4874"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6,041 </w:t>
            </w:r>
          </w:p>
        </w:tc>
        <w:tc>
          <w:tcPr>
            <w:tcW w:w="1028" w:type="dxa"/>
            <w:tcBorders>
              <w:top w:val="single" w:sz="4" w:space="0" w:color="DCDDDE"/>
              <w:left w:val="nil"/>
              <w:bottom w:val="nil"/>
              <w:right w:val="nil"/>
            </w:tcBorders>
            <w:shd w:val="clear" w:color="000000" w:fill="FFFFFF"/>
            <w:noWrap/>
            <w:vAlign w:val="bottom"/>
            <w:hideMark/>
          </w:tcPr>
          <w:p w14:paraId="2A4DF14B" w14:textId="6C5CCF9C"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104,681 </w:t>
            </w:r>
          </w:p>
        </w:tc>
        <w:tc>
          <w:tcPr>
            <w:tcW w:w="1091" w:type="dxa"/>
            <w:tcBorders>
              <w:top w:val="single" w:sz="4" w:space="0" w:color="DCDDDE"/>
              <w:left w:val="nil"/>
              <w:bottom w:val="nil"/>
              <w:right w:val="nil"/>
            </w:tcBorders>
            <w:shd w:val="clear" w:color="000000" w:fill="FFFFFF"/>
            <w:noWrap/>
            <w:vAlign w:val="bottom"/>
            <w:hideMark/>
          </w:tcPr>
          <w:p w14:paraId="0B2E9B79" w14:textId="65882A74"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68,263 </w:t>
            </w:r>
          </w:p>
        </w:tc>
        <w:tc>
          <w:tcPr>
            <w:tcW w:w="972" w:type="dxa"/>
            <w:tcBorders>
              <w:top w:val="single" w:sz="4" w:space="0" w:color="DCDDDE"/>
              <w:left w:val="nil"/>
              <w:bottom w:val="nil"/>
              <w:right w:val="nil"/>
            </w:tcBorders>
            <w:shd w:val="clear" w:color="000000" w:fill="FFFFFF"/>
            <w:noWrap/>
            <w:vAlign w:val="bottom"/>
            <w:hideMark/>
          </w:tcPr>
          <w:p w14:paraId="160F208A" w14:textId="5BA2416C"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800" w:type="dxa"/>
            <w:tcBorders>
              <w:top w:val="single" w:sz="4" w:space="0" w:color="DCDDDE"/>
              <w:left w:val="nil"/>
              <w:bottom w:val="nil"/>
              <w:right w:val="nil"/>
            </w:tcBorders>
            <w:shd w:val="clear" w:color="000000" w:fill="FFFFFF"/>
            <w:noWrap/>
            <w:vAlign w:val="bottom"/>
            <w:hideMark/>
          </w:tcPr>
          <w:p w14:paraId="5D600EB8" w14:textId="028453DA"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1126" w:type="dxa"/>
            <w:tcBorders>
              <w:top w:val="single" w:sz="4" w:space="0" w:color="DCDDDE"/>
              <w:left w:val="nil"/>
              <w:bottom w:val="nil"/>
              <w:right w:val="nil"/>
            </w:tcBorders>
            <w:shd w:val="clear" w:color="000000" w:fill="FFFFFF"/>
            <w:noWrap/>
            <w:vAlign w:val="bottom"/>
            <w:hideMark/>
          </w:tcPr>
          <w:p w14:paraId="492198B6" w14:textId="4BCB0B4D"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50%</w:t>
            </w:r>
          </w:p>
        </w:tc>
        <w:tc>
          <w:tcPr>
            <w:tcW w:w="745" w:type="dxa"/>
            <w:tcBorders>
              <w:top w:val="single" w:sz="4" w:space="0" w:color="DCDDDE"/>
              <w:left w:val="nil"/>
              <w:bottom w:val="nil"/>
              <w:right w:val="nil"/>
            </w:tcBorders>
            <w:shd w:val="clear" w:color="000000" w:fill="FFFFFF"/>
            <w:noWrap/>
            <w:vAlign w:val="bottom"/>
            <w:hideMark/>
          </w:tcPr>
          <w:p w14:paraId="28EC5F3A" w14:textId="2FF6FABA"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50%</w:t>
            </w:r>
          </w:p>
        </w:tc>
      </w:tr>
      <w:tr w:rsidR="009120D6" w:rsidRPr="00367992" w14:paraId="779BB4CF" w14:textId="77777777" w:rsidTr="009120D6">
        <w:trPr>
          <w:cantSplit/>
          <w:trHeight w:val="256"/>
        </w:trPr>
        <w:tc>
          <w:tcPr>
            <w:tcW w:w="1765" w:type="dxa"/>
            <w:tcBorders>
              <w:top w:val="single" w:sz="4" w:space="0" w:color="DCDDDE"/>
              <w:left w:val="nil"/>
              <w:bottom w:val="single" w:sz="4" w:space="0" w:color="auto"/>
              <w:right w:val="nil"/>
            </w:tcBorders>
            <w:shd w:val="clear" w:color="000000" w:fill="FFFFFF"/>
            <w:noWrap/>
            <w:vAlign w:val="bottom"/>
            <w:hideMark/>
          </w:tcPr>
          <w:p w14:paraId="25CE9CA2" w14:textId="77777777" w:rsidR="009120D6" w:rsidRPr="00367992" w:rsidRDefault="009120D6" w:rsidP="009120D6">
            <w:pPr>
              <w:keepNext/>
              <w:keepLines/>
              <w:contextualSpacing w:val="0"/>
              <w:rPr>
                <w:rFonts w:ascii="Arial Narrow" w:eastAsia="Times New Roman" w:hAnsi="Arial Narrow" w:cs="Arial"/>
                <w:szCs w:val="20"/>
              </w:rPr>
            </w:pPr>
            <w:r w:rsidRPr="00367992">
              <w:rPr>
                <w:rFonts w:ascii="Arial Narrow" w:eastAsia="Times New Roman" w:hAnsi="Arial Narrow" w:cs="Arial"/>
                <w:szCs w:val="20"/>
              </w:rPr>
              <w:t>Remove observations without a monthly pre-use value (for LDV analysis)</w:t>
            </w:r>
          </w:p>
        </w:tc>
        <w:tc>
          <w:tcPr>
            <w:tcW w:w="1013" w:type="dxa"/>
            <w:tcBorders>
              <w:top w:val="single" w:sz="4" w:space="0" w:color="DCDDDE"/>
              <w:left w:val="nil"/>
              <w:bottom w:val="single" w:sz="4" w:space="0" w:color="auto"/>
              <w:right w:val="nil"/>
            </w:tcBorders>
            <w:shd w:val="clear" w:color="000000" w:fill="FFFFFF"/>
            <w:noWrap/>
            <w:vAlign w:val="bottom"/>
            <w:hideMark/>
          </w:tcPr>
          <w:p w14:paraId="025BBF0F" w14:textId="0700362E"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9,271 </w:t>
            </w:r>
          </w:p>
        </w:tc>
        <w:tc>
          <w:tcPr>
            <w:tcW w:w="820" w:type="dxa"/>
            <w:tcBorders>
              <w:top w:val="single" w:sz="4" w:space="0" w:color="DCDDDE"/>
              <w:left w:val="nil"/>
              <w:bottom w:val="single" w:sz="4" w:space="0" w:color="auto"/>
              <w:right w:val="nil"/>
            </w:tcBorders>
            <w:shd w:val="clear" w:color="000000" w:fill="FFFFFF"/>
            <w:noWrap/>
            <w:vAlign w:val="bottom"/>
            <w:hideMark/>
          </w:tcPr>
          <w:p w14:paraId="14BD4B83" w14:textId="4871DC23"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6,036 </w:t>
            </w:r>
          </w:p>
        </w:tc>
        <w:tc>
          <w:tcPr>
            <w:tcW w:w="1028" w:type="dxa"/>
            <w:tcBorders>
              <w:top w:val="single" w:sz="4" w:space="0" w:color="DCDDDE"/>
              <w:left w:val="nil"/>
              <w:bottom w:val="single" w:sz="4" w:space="0" w:color="auto"/>
              <w:right w:val="nil"/>
            </w:tcBorders>
            <w:shd w:val="clear" w:color="000000" w:fill="FFFFFF"/>
            <w:noWrap/>
            <w:vAlign w:val="bottom"/>
            <w:hideMark/>
          </w:tcPr>
          <w:p w14:paraId="3D06A8C0" w14:textId="379D5029"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97,655 </w:t>
            </w:r>
          </w:p>
        </w:tc>
        <w:tc>
          <w:tcPr>
            <w:tcW w:w="1091" w:type="dxa"/>
            <w:tcBorders>
              <w:top w:val="single" w:sz="4" w:space="0" w:color="DCDDDE"/>
              <w:left w:val="nil"/>
              <w:bottom w:val="single" w:sz="4" w:space="0" w:color="auto"/>
              <w:right w:val="nil"/>
            </w:tcBorders>
            <w:shd w:val="clear" w:color="000000" w:fill="FFFFFF"/>
            <w:noWrap/>
            <w:vAlign w:val="bottom"/>
            <w:hideMark/>
          </w:tcPr>
          <w:p w14:paraId="43849528" w14:textId="404BBFFF"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 xml:space="preserve"> 63,491 </w:t>
            </w:r>
          </w:p>
        </w:tc>
        <w:tc>
          <w:tcPr>
            <w:tcW w:w="972" w:type="dxa"/>
            <w:tcBorders>
              <w:top w:val="single" w:sz="4" w:space="0" w:color="DCDDDE"/>
              <w:left w:val="nil"/>
              <w:bottom w:val="single" w:sz="4" w:space="0" w:color="auto"/>
              <w:right w:val="nil"/>
            </w:tcBorders>
            <w:shd w:val="clear" w:color="000000" w:fill="FFFFFF"/>
            <w:noWrap/>
            <w:vAlign w:val="bottom"/>
            <w:hideMark/>
          </w:tcPr>
          <w:p w14:paraId="505AFD57" w14:textId="09363431"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800" w:type="dxa"/>
            <w:tcBorders>
              <w:top w:val="single" w:sz="4" w:space="0" w:color="DCDDDE"/>
              <w:left w:val="nil"/>
              <w:bottom w:val="single" w:sz="4" w:space="0" w:color="auto"/>
              <w:right w:val="nil"/>
            </w:tcBorders>
            <w:shd w:val="clear" w:color="000000" w:fill="FFFFFF"/>
            <w:noWrap/>
            <w:vAlign w:val="bottom"/>
            <w:hideMark/>
          </w:tcPr>
          <w:p w14:paraId="4DB5DC54" w14:textId="77982117"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0%</w:t>
            </w:r>
          </w:p>
        </w:tc>
        <w:tc>
          <w:tcPr>
            <w:tcW w:w="1126" w:type="dxa"/>
            <w:tcBorders>
              <w:top w:val="single" w:sz="4" w:space="0" w:color="DCDDDE"/>
              <w:left w:val="nil"/>
              <w:bottom w:val="single" w:sz="4" w:space="0" w:color="auto"/>
              <w:right w:val="nil"/>
            </w:tcBorders>
            <w:shd w:val="clear" w:color="000000" w:fill="FFFFFF"/>
            <w:noWrap/>
            <w:vAlign w:val="bottom"/>
            <w:hideMark/>
          </w:tcPr>
          <w:p w14:paraId="54D267AB" w14:textId="36131B7E"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7%</w:t>
            </w:r>
          </w:p>
        </w:tc>
        <w:tc>
          <w:tcPr>
            <w:tcW w:w="745" w:type="dxa"/>
            <w:tcBorders>
              <w:top w:val="single" w:sz="4" w:space="0" w:color="DCDDDE"/>
              <w:left w:val="nil"/>
              <w:bottom w:val="single" w:sz="4" w:space="0" w:color="auto"/>
              <w:right w:val="nil"/>
            </w:tcBorders>
            <w:shd w:val="clear" w:color="000000" w:fill="FFFFFF"/>
            <w:noWrap/>
            <w:vAlign w:val="bottom"/>
            <w:hideMark/>
          </w:tcPr>
          <w:p w14:paraId="26DFED34" w14:textId="5D573D7F" w:rsidR="009120D6" w:rsidRPr="00367992" w:rsidRDefault="009120D6" w:rsidP="009120D6">
            <w:pPr>
              <w:keepNext/>
              <w:keepLines/>
              <w:contextualSpacing w:val="0"/>
              <w:jc w:val="right"/>
              <w:rPr>
                <w:rFonts w:ascii="Arial Narrow" w:eastAsia="Times New Roman" w:hAnsi="Arial Narrow" w:cs="Arial"/>
                <w:szCs w:val="20"/>
              </w:rPr>
            </w:pPr>
            <w:r w:rsidRPr="009120D6">
              <w:rPr>
                <w:rFonts w:ascii="Arial Narrow" w:eastAsia="Times New Roman" w:hAnsi="Arial Narrow" w:cs="Arial"/>
                <w:szCs w:val="20"/>
              </w:rPr>
              <w:t>7%</w:t>
            </w:r>
          </w:p>
        </w:tc>
      </w:tr>
    </w:tbl>
    <w:p w14:paraId="5D7499F0" w14:textId="2473CBFF" w:rsidR="003567EF" w:rsidRDefault="001560BF" w:rsidP="00391806">
      <w:pPr>
        <w:pStyle w:val="Source"/>
      </w:pPr>
      <w:r>
        <w:t>Source: Navigant analysis</w:t>
      </w:r>
    </w:p>
    <w:sectPr w:rsidR="003567EF" w:rsidSect="00A83863">
      <w:footerReference w:type="default" r:id="rId3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2E05" w14:textId="77777777" w:rsidR="00B63F5A" w:rsidRDefault="00B63F5A" w:rsidP="00183005">
      <w:r>
        <w:separator/>
      </w:r>
    </w:p>
  </w:endnote>
  <w:endnote w:type="continuationSeparator" w:id="0">
    <w:p w14:paraId="2D11FC32" w14:textId="77777777" w:rsidR="00B63F5A" w:rsidRDefault="00B63F5A" w:rsidP="0018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C2FF" w14:textId="77777777" w:rsidR="00B63F5A" w:rsidRDefault="00B63F5A"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15E5E46" w14:textId="77777777" w:rsidR="00B63F5A" w:rsidRDefault="00B63F5A"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D2C" w14:textId="75D7AF99" w:rsidR="00B63F5A" w:rsidRPr="00CA09A7" w:rsidRDefault="00B63F5A" w:rsidP="006F5275">
    <w:pPr>
      <w:pStyle w:val="Footer"/>
      <w:tabs>
        <w:tab w:val="right" w:pos="9270"/>
      </w:tabs>
      <w:ind w:right="18"/>
      <w:rPr>
        <w:rFonts w:cs="Arial"/>
        <w:color w:val="555759" w:themeColor="text2"/>
        <w:sz w:val="16"/>
      </w:rPr>
    </w:pPr>
    <w:r>
      <w:rPr>
        <w:rFonts w:cs="Arial"/>
        <w:color w:val="555759" w:themeColor="text2"/>
        <w:sz w:val="16"/>
      </w:rPr>
      <w:t>©2019</w:t>
    </w:r>
    <w:r w:rsidRPr="00CA09A7">
      <w:rPr>
        <w:rFonts w:cs="Arial"/>
        <w:color w:val="555759" w:themeColor="text2"/>
        <w:sz w:val="16"/>
      </w:rPr>
      <w:t xml:space="preserve"> </w:t>
    </w:r>
    <w:r>
      <w:rPr>
        <w:rFonts w:cs="Arial"/>
        <w:color w:val="555759" w:themeColor="text2"/>
        <w:sz w:val="16"/>
      </w:rPr>
      <w:t xml:space="preserve">Guidehouse </w:t>
    </w:r>
    <w:r w:rsidRPr="00CA09A7">
      <w:rPr>
        <w:rFonts w:cs="Arial"/>
        <w:color w:val="555759" w:themeColor="text2"/>
        <w:sz w:val="16"/>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F21A" w14:textId="77777777" w:rsidR="00B63F5A" w:rsidRPr="00153E03" w:rsidRDefault="00B63F5A" w:rsidP="00153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6994" w14:textId="3BEAC3B1" w:rsidR="00B63F5A" w:rsidRDefault="00B63F5A" w:rsidP="00657376">
    <w:pPr>
      <w:pStyle w:val="Footer"/>
      <w:tabs>
        <w:tab w:val="clear" w:pos="4320"/>
        <w:tab w:val="clear" w:pos="8640"/>
        <w:tab w:val="center" w:pos="4680"/>
        <w:tab w:val="right" w:pos="936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EAE8" w14:textId="7C28C07A" w:rsidR="00B63F5A" w:rsidRDefault="00B63F5A" w:rsidP="00E223BB">
    <w:pPr>
      <w:pStyle w:val="Footer"/>
      <w:tabs>
        <w:tab w:val="clear" w:pos="4320"/>
        <w:tab w:val="clear" w:pos="8640"/>
        <w:tab w:val="center" w:pos="4680"/>
        <w:tab w:val="right" w:pos="9360"/>
      </w:tabs>
    </w:pPr>
    <w:r>
      <w:tab/>
    </w:r>
    <w:r>
      <w:tab/>
      <w:t>Page-</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9A831" w14:textId="77777777" w:rsidR="00B63F5A" w:rsidRDefault="00B63F5A" w:rsidP="00183005">
      <w:r>
        <w:separator/>
      </w:r>
    </w:p>
  </w:footnote>
  <w:footnote w:type="continuationSeparator" w:id="0">
    <w:p w14:paraId="396AA30B" w14:textId="77777777" w:rsidR="00B63F5A" w:rsidRDefault="00B63F5A" w:rsidP="00183005">
      <w:r>
        <w:continuationSeparator/>
      </w:r>
    </w:p>
  </w:footnote>
  <w:footnote w:id="1">
    <w:p w14:paraId="0B65105A" w14:textId="77777777" w:rsidR="00B63F5A" w:rsidRDefault="00B63F5A" w:rsidP="00874520">
      <w:pPr>
        <w:pStyle w:val="FootnoteText"/>
      </w:pPr>
      <w:r>
        <w:rPr>
          <w:rStyle w:val="FootnoteReference"/>
        </w:rPr>
        <w:footnoteRef/>
      </w:r>
      <w:r>
        <w:t xml:space="preserve"> O</w:t>
      </w:r>
      <w:r w:rsidRPr="00134F86">
        <w:rPr>
          <w:bCs/>
        </w:rPr>
        <w:t>n October 11, 2019, Guidehouse LLP completed its previously announced acquisition of Navigant Consulting Inc. In the months ahead, we will be working to integrate the Guidehouse and Navigant businesses.  In furtherance of that effort, we recently renamed Navigant Consulting Inc. as Guidehouse Inc. </w:t>
      </w:r>
    </w:p>
  </w:footnote>
  <w:footnote w:id="2">
    <w:p w14:paraId="67A694F5" w14:textId="5450BF90" w:rsidR="00B63F5A" w:rsidRDefault="00B63F5A" w:rsidP="0018585E">
      <w:pPr>
        <w:pStyle w:val="FootnoteText"/>
      </w:pPr>
      <w:r>
        <w:rPr>
          <w:rStyle w:val="FootnoteReference"/>
        </w:rPr>
        <w:footnoteRef/>
      </w:r>
      <w:r>
        <w:t xml:space="preserve"> </w:t>
      </w:r>
      <w:r w:rsidRPr="006F1F5A">
        <w:rPr>
          <w:szCs w:val="18"/>
        </w:rPr>
        <w:t>Navigant. 2016</w:t>
      </w:r>
      <w:r>
        <w:rPr>
          <w:szCs w:val="18"/>
        </w:rPr>
        <w:t>a</w:t>
      </w:r>
      <w:r w:rsidRPr="006F1F5A">
        <w:rPr>
          <w:szCs w:val="18"/>
        </w:rPr>
        <w:t xml:space="preserve">. </w:t>
      </w:r>
      <w:r w:rsidRPr="006F1F5A">
        <w:rPr>
          <w:i/>
          <w:szCs w:val="18"/>
        </w:rPr>
        <w:t>Home Energy Report Opower Program Decay Rate and Persistence Study</w:t>
      </w:r>
      <w:r w:rsidRPr="006F1F5A">
        <w:rPr>
          <w:szCs w:val="18"/>
        </w:rPr>
        <w:t xml:space="preserve">. Presented to Commonwealth Edison Company. </w:t>
      </w:r>
    </w:p>
  </w:footnote>
  <w:footnote w:id="3">
    <w:p w14:paraId="7CAD61A7" w14:textId="419C0F37" w:rsidR="00B63F5A" w:rsidRPr="006F1F5A" w:rsidRDefault="00B63F5A" w:rsidP="0018585E">
      <w:pPr>
        <w:pStyle w:val="FootnoteText"/>
        <w:rPr>
          <w:szCs w:val="18"/>
        </w:rPr>
      </w:pPr>
      <w:r w:rsidRPr="006F1F5A">
        <w:rPr>
          <w:rStyle w:val="FootnoteReference"/>
          <w:szCs w:val="18"/>
        </w:rPr>
        <w:footnoteRef/>
      </w:r>
      <w:r w:rsidRPr="006F1F5A">
        <w:rPr>
          <w:szCs w:val="18"/>
        </w:rPr>
        <w:t xml:space="preserve"> Navigant. 2016</w:t>
      </w:r>
      <w:r>
        <w:rPr>
          <w:szCs w:val="18"/>
        </w:rPr>
        <w:t>b</w:t>
      </w:r>
      <w:r w:rsidRPr="006F1F5A">
        <w:rPr>
          <w:szCs w:val="18"/>
        </w:rPr>
        <w:t xml:space="preserve">. </w:t>
      </w:r>
      <w:r w:rsidRPr="006F1F5A">
        <w:rPr>
          <w:i/>
          <w:szCs w:val="18"/>
        </w:rPr>
        <w:t>Home Energy Report Opower Program Decay Rate and Persistence Study</w:t>
      </w:r>
      <w:r>
        <w:rPr>
          <w:i/>
          <w:szCs w:val="18"/>
        </w:rPr>
        <w:t xml:space="preserve"> – Year Two</w:t>
      </w:r>
      <w:r w:rsidRPr="006F1F5A">
        <w:rPr>
          <w:szCs w:val="18"/>
        </w:rPr>
        <w:t xml:space="preserve">. Presented to Commonwealth Edison Company. </w:t>
      </w:r>
    </w:p>
  </w:footnote>
  <w:footnote w:id="4">
    <w:p w14:paraId="7F239BDF" w14:textId="6F08DBFB" w:rsidR="00B63F5A" w:rsidRDefault="00B63F5A">
      <w:pPr>
        <w:pStyle w:val="FootnoteText"/>
      </w:pPr>
      <w:r w:rsidRPr="006F1F5A">
        <w:rPr>
          <w:rStyle w:val="FootnoteReference"/>
          <w:szCs w:val="18"/>
        </w:rPr>
        <w:footnoteRef/>
      </w:r>
      <w:r w:rsidRPr="006F1F5A">
        <w:rPr>
          <w:szCs w:val="18"/>
        </w:rPr>
        <w:t xml:space="preserve"> Navigant. </w:t>
      </w:r>
      <w:r w:rsidRPr="001178AA">
        <w:rPr>
          <w:szCs w:val="18"/>
        </w:rPr>
        <w:t>2017</w:t>
      </w:r>
      <w:r w:rsidRPr="006F1F5A">
        <w:rPr>
          <w:szCs w:val="18"/>
        </w:rPr>
        <w:t xml:space="preserve">. </w:t>
      </w:r>
      <w:r w:rsidRPr="006F1F5A">
        <w:rPr>
          <w:i/>
          <w:szCs w:val="18"/>
        </w:rPr>
        <w:t>Home Energy Report Opower Program Decay Rate and Persistence Study</w:t>
      </w:r>
      <w:r>
        <w:rPr>
          <w:i/>
          <w:szCs w:val="18"/>
        </w:rPr>
        <w:t xml:space="preserve"> – Year Three</w:t>
      </w:r>
      <w:r w:rsidRPr="006F1F5A">
        <w:rPr>
          <w:szCs w:val="18"/>
        </w:rPr>
        <w:t>. Presented to Commonwealth Edison Company.</w:t>
      </w:r>
    </w:p>
  </w:footnote>
  <w:footnote w:id="5">
    <w:p w14:paraId="34BD8866" w14:textId="55B7B65F" w:rsidR="00B63F5A" w:rsidRDefault="00B63F5A">
      <w:pPr>
        <w:pStyle w:val="FootnoteText"/>
      </w:pPr>
      <w:r>
        <w:rPr>
          <w:rStyle w:val="FootnoteReference"/>
        </w:rPr>
        <w:footnoteRef/>
      </w:r>
      <w:r>
        <w:t xml:space="preserve"> </w:t>
      </w:r>
      <w:r w:rsidRPr="006F1F5A">
        <w:rPr>
          <w:szCs w:val="18"/>
        </w:rPr>
        <w:t xml:space="preserve">Navigant. </w:t>
      </w:r>
      <w:r w:rsidRPr="001178AA">
        <w:rPr>
          <w:szCs w:val="18"/>
        </w:rPr>
        <w:t>201</w:t>
      </w:r>
      <w:r>
        <w:rPr>
          <w:szCs w:val="18"/>
        </w:rPr>
        <w:t>8</w:t>
      </w:r>
      <w:r w:rsidRPr="006F1F5A">
        <w:rPr>
          <w:szCs w:val="18"/>
        </w:rPr>
        <w:t xml:space="preserve">. </w:t>
      </w:r>
      <w:r w:rsidRPr="00763661">
        <w:rPr>
          <w:i/>
        </w:rPr>
        <w:t>ComEd Home Energy Report Program Decay Rate and Persistence Study – Year Five Research Report</w:t>
      </w:r>
      <w:r w:rsidRPr="006F1F5A">
        <w:rPr>
          <w:szCs w:val="18"/>
        </w:rPr>
        <w:t>. Presented to Commonwealth Edison Company.</w:t>
      </w:r>
    </w:p>
  </w:footnote>
  <w:footnote w:id="6">
    <w:p w14:paraId="22883E07" w14:textId="508F94AA" w:rsidR="00B63F5A" w:rsidRPr="006F1F5A" w:rsidRDefault="00B63F5A" w:rsidP="0018585E">
      <w:pPr>
        <w:pStyle w:val="FootnoteText"/>
        <w:rPr>
          <w:szCs w:val="18"/>
        </w:rPr>
      </w:pPr>
      <w:r w:rsidRPr="006F1F5A">
        <w:rPr>
          <w:rStyle w:val="FootnoteReference"/>
          <w:szCs w:val="18"/>
        </w:rPr>
        <w:footnoteRef/>
      </w:r>
      <w:r w:rsidRPr="006F1F5A">
        <w:rPr>
          <w:szCs w:val="18"/>
        </w:rPr>
        <w:t xml:space="preserve"> The relevant measure is “Adjustments to Behavior Savings to Account for Persistence” which is measure 6.1.1 in Volume 4 of Version </w:t>
      </w:r>
      <w:r>
        <w:rPr>
          <w:szCs w:val="18"/>
        </w:rPr>
        <w:t>8</w:t>
      </w:r>
      <w:r w:rsidRPr="006F1F5A">
        <w:rPr>
          <w:szCs w:val="18"/>
        </w:rPr>
        <w:t xml:space="preserve"> of the IL TRM. </w:t>
      </w:r>
    </w:p>
  </w:footnote>
  <w:footnote w:id="7">
    <w:p w14:paraId="4EF3435B" w14:textId="5C527954" w:rsidR="00B63F5A" w:rsidRDefault="00B63F5A">
      <w:pPr>
        <w:pStyle w:val="FootnoteText"/>
      </w:pPr>
      <w:r>
        <w:rPr>
          <w:rStyle w:val="FootnoteReference"/>
        </w:rPr>
        <w:footnoteRef/>
      </w:r>
      <w:r>
        <w:t xml:space="preserve"> The persistence factor is equal to one minus the decay rate. </w:t>
      </w:r>
    </w:p>
  </w:footnote>
  <w:footnote w:id="8">
    <w:p w14:paraId="199E8923" w14:textId="11B30E4C" w:rsidR="00B63F5A" w:rsidRPr="006F1F5A" w:rsidRDefault="00B63F5A" w:rsidP="00675569">
      <w:pPr>
        <w:pStyle w:val="FootnoteText"/>
        <w:rPr>
          <w:szCs w:val="18"/>
        </w:rPr>
      </w:pPr>
      <w:r w:rsidRPr="006F1F5A">
        <w:rPr>
          <w:rStyle w:val="FootnoteReference"/>
          <w:szCs w:val="18"/>
        </w:rPr>
        <w:footnoteRef/>
      </w:r>
      <w:r w:rsidRPr="006F1F5A">
        <w:rPr>
          <w:szCs w:val="18"/>
        </w:rPr>
        <w:t xml:space="preserve"> These estimates assume a residen</w:t>
      </w:r>
      <w:r>
        <w:rPr>
          <w:szCs w:val="18"/>
        </w:rPr>
        <w:t>t move-out-rate</w:t>
      </w:r>
      <w:r w:rsidRPr="006F1F5A">
        <w:rPr>
          <w:szCs w:val="18"/>
        </w:rPr>
        <w:t xml:space="preserve"> of </w:t>
      </w:r>
      <w:r>
        <w:rPr>
          <w:szCs w:val="18"/>
        </w:rPr>
        <w:t>6</w:t>
      </w:r>
      <w:r w:rsidRPr="006F1F5A">
        <w:rPr>
          <w:szCs w:val="18"/>
        </w:rPr>
        <w:t xml:space="preserve"> percent</w:t>
      </w:r>
      <w:r>
        <w:rPr>
          <w:szCs w:val="18"/>
        </w:rPr>
        <w:t xml:space="preserve"> for years one through four and 10.1 percent for year five. The year five move out rate was updated to 10.1 percent to match the move-out rate calculated for ComEd’s CY2018 HER Program evaluation.</w:t>
      </w:r>
      <w:r w:rsidRPr="006F1F5A">
        <w:rPr>
          <w:szCs w:val="18"/>
        </w:rPr>
        <w:t xml:space="preserve"> </w:t>
      </w:r>
    </w:p>
  </w:footnote>
  <w:footnote w:id="9">
    <w:p w14:paraId="77670F31" w14:textId="13D20F97" w:rsidR="00B63F5A" w:rsidRPr="006F1F5A" w:rsidRDefault="00B63F5A" w:rsidP="004D242F">
      <w:pPr>
        <w:pStyle w:val="FootnoteText"/>
        <w:rPr>
          <w:szCs w:val="18"/>
        </w:rPr>
      </w:pPr>
      <w:r w:rsidRPr="006F1F5A">
        <w:rPr>
          <w:rStyle w:val="FootnoteReference"/>
          <w:szCs w:val="18"/>
        </w:rPr>
        <w:footnoteRef/>
      </w:r>
      <w:r w:rsidRPr="006F1F5A">
        <w:rPr>
          <w:szCs w:val="18"/>
        </w:rPr>
        <w:t xml:space="preserve"> </w:t>
      </w:r>
      <w:r w:rsidRPr="00593F9E">
        <w:rPr>
          <w:szCs w:val="18"/>
        </w:rPr>
        <w:t xml:space="preserve">See </w:t>
      </w:r>
      <w:r w:rsidRPr="00593F9E">
        <w:rPr>
          <w:szCs w:val="18"/>
        </w:rPr>
        <w:fldChar w:fldCharType="begin"/>
      </w:r>
      <w:r w:rsidRPr="00593F9E">
        <w:rPr>
          <w:szCs w:val="18"/>
        </w:rPr>
        <w:instrText xml:space="preserve"> REF _Ref520447193 \h  \* MERGEFORMAT </w:instrText>
      </w:r>
      <w:r w:rsidRPr="00593F9E">
        <w:rPr>
          <w:szCs w:val="18"/>
        </w:rPr>
      </w:r>
      <w:r w:rsidRPr="00593F9E">
        <w:rPr>
          <w:szCs w:val="18"/>
        </w:rPr>
        <w:fldChar w:fldCharType="separate"/>
      </w:r>
      <w:r>
        <w:t>Appendix 1. Impact Analysis Methodology</w:t>
      </w:r>
      <w:r w:rsidRPr="00593F9E">
        <w:rPr>
          <w:szCs w:val="18"/>
        </w:rPr>
        <w:fldChar w:fldCharType="end"/>
      </w:r>
      <w:r w:rsidRPr="00593F9E">
        <w:rPr>
          <w:szCs w:val="18"/>
        </w:rPr>
        <w:t xml:space="preserve"> for a more detailed examination of how these calculations were conducted.</w:t>
      </w:r>
    </w:p>
  </w:footnote>
  <w:footnote w:id="10">
    <w:p w14:paraId="1EC5B544" w14:textId="77777777" w:rsidR="00B63F5A" w:rsidRPr="006F1F5A" w:rsidRDefault="00B63F5A" w:rsidP="004D242F">
      <w:pPr>
        <w:pStyle w:val="FootnoteText"/>
        <w:rPr>
          <w:szCs w:val="18"/>
        </w:rPr>
      </w:pPr>
      <w:r w:rsidRPr="006F1F5A">
        <w:rPr>
          <w:rStyle w:val="FootnoteReference"/>
          <w:szCs w:val="18"/>
        </w:rPr>
        <w:footnoteRef/>
      </w:r>
      <w:r w:rsidRPr="006F1F5A">
        <w:rPr>
          <w:szCs w:val="18"/>
        </w:rPr>
        <w:t xml:space="preserve"> Future analysis will </w:t>
      </w:r>
      <w:r>
        <w:rPr>
          <w:szCs w:val="18"/>
        </w:rPr>
        <w:t>provide additional decay rate estimates</w:t>
      </w:r>
      <w:r w:rsidRPr="006F1F5A">
        <w:rPr>
          <w:szCs w:val="18"/>
        </w:rPr>
        <w:t xml:space="preserve"> and </w:t>
      </w:r>
      <w:r>
        <w:rPr>
          <w:szCs w:val="18"/>
        </w:rPr>
        <w:t xml:space="preserve">suggest </w:t>
      </w:r>
      <w:r w:rsidRPr="006F1F5A">
        <w:rPr>
          <w:szCs w:val="18"/>
        </w:rPr>
        <w:t>the point in time at which savings diminish to zero.</w:t>
      </w:r>
    </w:p>
  </w:footnote>
  <w:footnote w:id="11">
    <w:p w14:paraId="613C444F" w14:textId="3BF31F43" w:rsidR="00B63F5A" w:rsidRDefault="00B63F5A" w:rsidP="00E51D6B">
      <w:pPr>
        <w:rPr>
          <w:rFonts w:cs="Arial"/>
          <w:sz w:val="18"/>
          <w:szCs w:val="18"/>
        </w:rPr>
      </w:pPr>
      <w:r>
        <w:rPr>
          <w:rStyle w:val="FootnoteReference"/>
          <w:sz w:val="18"/>
          <w:szCs w:val="18"/>
        </w:rPr>
        <w:footnoteRef/>
      </w:r>
      <w:r>
        <w:rPr>
          <w:sz w:val="16"/>
          <w:szCs w:val="16"/>
        </w:rPr>
        <w:t xml:space="preserve"> </w:t>
      </w:r>
      <w:r>
        <w:rPr>
          <w:sz w:val="18"/>
          <w:szCs w:val="18"/>
        </w:rPr>
        <w:t>When legacy uplift was included in Navigant’s first-year persistence study, the difference in total savings made a negligible impact on the decay rate and measure life, so the legacy adjustment was not included in this analysis.</w:t>
      </w:r>
    </w:p>
  </w:footnote>
  <w:footnote w:id="12">
    <w:p w14:paraId="62789DBC" w14:textId="2A1D3D34" w:rsidR="00B63F5A" w:rsidRDefault="00B63F5A">
      <w:pPr>
        <w:pStyle w:val="FootnoteText"/>
      </w:pPr>
      <w:r>
        <w:rPr>
          <w:rStyle w:val="FootnoteReference"/>
        </w:rPr>
        <w:footnoteRef/>
      </w:r>
      <w:r>
        <w:t xml:space="preserve"> See Measure 6.1.1, </w:t>
      </w:r>
      <w:r w:rsidRPr="00D11882">
        <w:t>Volume 4</w:t>
      </w:r>
      <w:r>
        <w:t>.</w:t>
      </w:r>
    </w:p>
  </w:footnote>
  <w:footnote w:id="13">
    <w:p w14:paraId="54D4773C" w14:textId="77777777" w:rsidR="00B63F5A" w:rsidRDefault="00B63F5A" w:rsidP="00B13CDB">
      <w:pPr>
        <w:pStyle w:val="FootnoteText"/>
      </w:pPr>
      <w:r>
        <w:rPr>
          <w:rStyle w:val="FootnoteReference"/>
        </w:rPr>
        <w:footnoteRef/>
      </w:r>
      <w:r>
        <w:t xml:space="preserve"> For example, DNV-GL 2014, Home Energy Report Program 2013 Impact Evaluation. Presented to Puget Sound Energy.</w:t>
      </w:r>
    </w:p>
  </w:footnote>
  <w:footnote w:id="14">
    <w:p w14:paraId="4416AE97" w14:textId="34E59C39" w:rsidR="00B63F5A" w:rsidRDefault="00B63F5A" w:rsidP="00ED20CB">
      <w:pPr>
        <w:pStyle w:val="FootnoteText"/>
      </w:pPr>
      <w:r>
        <w:rPr>
          <w:rStyle w:val="FootnoteReference"/>
        </w:rPr>
        <w:footnoteRef/>
      </w:r>
      <w:r>
        <w:t xml:space="preserve"> See for example: </w:t>
      </w:r>
      <w:r>
        <w:rPr>
          <w:szCs w:val="18"/>
        </w:rPr>
        <w:t xml:space="preserve">Navigant Consulting Inc. 2016. “Home Energy Report Opower Program PY8 Evaluation Report.” Presented to Commonwealth Edison Company. </w:t>
      </w:r>
    </w:p>
  </w:footnote>
  <w:footnote w:id="15">
    <w:p w14:paraId="3534A515" w14:textId="77777777" w:rsidR="00B63F5A" w:rsidRDefault="00B63F5A" w:rsidP="00ED20CB">
      <w:pPr>
        <w:pStyle w:val="FootnoteText"/>
      </w:pPr>
      <w:r>
        <w:rPr>
          <w:rStyle w:val="FootnoteReference"/>
        </w:rPr>
        <w:footnoteRef/>
      </w:r>
      <w:r>
        <w:t xml:space="preserve"> The model is identical to the post-program regression (PPR) model used in previous evaluations. We have changed the nomenclature to better align with academic research and because LDV is more descriptive of the model structure than PPR.</w:t>
      </w:r>
    </w:p>
  </w:footnote>
  <w:footnote w:id="16">
    <w:p w14:paraId="3BA5DE22" w14:textId="77777777" w:rsidR="00B63F5A" w:rsidRDefault="00B63F5A" w:rsidP="00393A9D">
      <w:pPr>
        <w:pStyle w:val="FootnoteText"/>
        <w:rPr>
          <w:szCs w:val="18"/>
        </w:rPr>
      </w:pPr>
      <w:r>
        <w:rPr>
          <w:rStyle w:val="FootnoteReference"/>
          <w:szCs w:val="18"/>
        </w:rPr>
        <w:footnoteRef/>
      </w:r>
      <w:r>
        <w:rPr>
          <w:szCs w:val="18"/>
        </w:rPr>
        <w:t xml:space="preserve"> In other words, if there are </w:t>
      </w:r>
      <w:r>
        <w:rPr>
          <w:i/>
          <w:szCs w:val="18"/>
        </w:rPr>
        <w:t>T</w:t>
      </w:r>
      <w:r>
        <w:rPr>
          <w:szCs w:val="18"/>
        </w:rPr>
        <w:t xml:space="preserve"> post-program months, there are </w:t>
      </w:r>
      <w:r>
        <w:rPr>
          <w:i/>
          <w:szCs w:val="18"/>
        </w:rPr>
        <w:t>T</w:t>
      </w:r>
      <w:r>
        <w:rPr>
          <w:szCs w:val="18"/>
        </w:rPr>
        <w:t xml:space="preserve"> monthly dummy variables in the model, with the dummy variable </w:t>
      </w:r>
      <w:r>
        <w:rPr>
          <w:i/>
          <w:szCs w:val="18"/>
        </w:rPr>
        <w:t>Month</w:t>
      </w:r>
      <w:r>
        <w:rPr>
          <w:i/>
          <w:szCs w:val="18"/>
          <w:vertAlign w:val="subscript"/>
        </w:rPr>
        <w:t>t</w:t>
      </w:r>
      <w:r>
        <w:rPr>
          <w:szCs w:val="18"/>
        </w:rPr>
        <w:t xml:space="preserve"> to take a value of 1 at time t. These are, in other words, monthly fixed effects.</w:t>
      </w:r>
    </w:p>
  </w:footnote>
  <w:footnote w:id="17">
    <w:p w14:paraId="65479411" w14:textId="77777777" w:rsidR="00B63F5A" w:rsidRDefault="00B63F5A" w:rsidP="00393A9D">
      <w:pPr>
        <w:pStyle w:val="FootnoteText"/>
        <w:rPr>
          <w:szCs w:val="18"/>
        </w:rPr>
      </w:pPr>
      <w:r>
        <w:rPr>
          <w:rStyle w:val="FootnoteReference"/>
          <w:szCs w:val="18"/>
        </w:rPr>
        <w:footnoteRef/>
      </w:r>
      <w:r>
        <w:rPr>
          <w:szCs w:val="18"/>
        </w:rPr>
        <w:t xml:space="preserve"> Ordinary Least Squares (OLS) regression models assume that the data are homoscedastic and not autocorrelated. If either of these assumptions are violated, the resulting standard errors of the parameter estimates are incorrect (usually downward biased). A random variable is heteroscedastic when its variance is not constant over the variable’s entire distribution. A random variable exhibits autocorrelation when its error term in one period is correlated with the error terms in at least some of the previous periods.</w:t>
      </w:r>
    </w:p>
  </w:footnote>
  <w:footnote w:id="18">
    <w:p w14:paraId="69231A68" w14:textId="77777777" w:rsidR="00B63F5A" w:rsidRDefault="00B63F5A" w:rsidP="002B1721">
      <w:pPr>
        <w:pStyle w:val="FootnoteText"/>
        <w:rPr>
          <w:szCs w:val="18"/>
        </w:rPr>
      </w:pPr>
      <w:r>
        <w:rPr>
          <w:rStyle w:val="FootnoteReference"/>
          <w:szCs w:val="18"/>
        </w:rPr>
        <w:footnoteRef/>
      </w:r>
      <w:r>
        <w:rPr>
          <w:szCs w:val="18"/>
        </w:rPr>
        <w:t xml:space="preserve"> The Cadmus Group, Inc. 2014. “Long-Run Savings and Cost-Effectiveness of Home Energy Report Programs.” Prepared by M. Sami Khawaja, PhD. And James Stewart, PhD.</w:t>
      </w:r>
    </w:p>
  </w:footnote>
  <w:footnote w:id="19">
    <w:p w14:paraId="02B8F541" w14:textId="77777777" w:rsidR="00B63F5A" w:rsidRDefault="00B63F5A" w:rsidP="002B1721">
      <w:pPr>
        <w:pStyle w:val="FootnoteText"/>
        <w:rPr>
          <w:szCs w:val="18"/>
        </w:rPr>
      </w:pPr>
      <w:r>
        <w:rPr>
          <w:rStyle w:val="FootnoteReference"/>
          <w:szCs w:val="18"/>
        </w:rPr>
        <w:footnoteRef/>
      </w:r>
      <w:r>
        <w:rPr>
          <w:szCs w:val="18"/>
        </w:rPr>
        <w:t xml:space="preserve"> The convergence assumes that savings decay infinitely at a constant annual rate of </w:t>
      </w:r>
      <w:r>
        <w:rPr>
          <w:i/>
          <w:szCs w:val="18"/>
        </w:rPr>
        <w:t>(1-δ)(1-α)</w:t>
      </w:r>
      <w:r>
        <w:rPr>
          <w:szCs w:val="18"/>
        </w:rPr>
        <w:t>.</w:t>
      </w:r>
    </w:p>
  </w:footnote>
  <w:footnote w:id="20">
    <w:p w14:paraId="47C0FDB1" w14:textId="77777777" w:rsidR="00B63F5A" w:rsidRDefault="00B63F5A" w:rsidP="00334E07">
      <w:pPr>
        <w:pStyle w:val="FootnoteText"/>
        <w:rPr>
          <w:szCs w:val="18"/>
        </w:rPr>
      </w:pPr>
      <w:r>
        <w:rPr>
          <w:rStyle w:val="FootnoteReference"/>
          <w:szCs w:val="18"/>
        </w:rPr>
        <w:footnoteRef/>
      </w:r>
      <w:r>
        <w:rPr>
          <w:szCs w:val="18"/>
        </w:rPr>
        <w:t xml:space="preserve"> It is not possible to avoid double counting of savings generated by programs for which tracking data are not available, such as upstream compact fluorescent lamp (CFL) programs.</w:t>
      </w:r>
    </w:p>
  </w:footnote>
  <w:footnote w:id="21">
    <w:p w14:paraId="75CF70C8" w14:textId="77777777" w:rsidR="00B63F5A" w:rsidRDefault="00B63F5A" w:rsidP="00EE7539">
      <w:pPr>
        <w:pStyle w:val="FootnoteText"/>
        <w:rPr>
          <w:szCs w:val="18"/>
        </w:rPr>
      </w:pPr>
      <w:r>
        <w:rPr>
          <w:rStyle w:val="FootnoteReference"/>
          <w:szCs w:val="18"/>
        </w:rPr>
        <w:footnoteRef/>
      </w:r>
      <w:r>
        <w:rPr>
          <w:szCs w:val="18"/>
        </w:rPr>
        <w:t xml:space="preserve"> These are the names used for these programs in CY2018.</w:t>
      </w:r>
    </w:p>
  </w:footnote>
  <w:footnote w:id="22">
    <w:p w14:paraId="32268EC9" w14:textId="77777777" w:rsidR="00B63F5A" w:rsidRPr="006A3165" w:rsidRDefault="00B63F5A" w:rsidP="00EE7539">
      <w:pPr>
        <w:pStyle w:val="FootnoteText"/>
        <w:rPr>
          <w:szCs w:val="18"/>
        </w:rPr>
      </w:pPr>
      <w:r w:rsidRPr="006A3165">
        <w:rPr>
          <w:rStyle w:val="FootnoteReference"/>
          <w:szCs w:val="18"/>
        </w:rPr>
        <w:footnoteRef/>
      </w:r>
      <w:r w:rsidRPr="006A3165">
        <w:rPr>
          <w:szCs w:val="18"/>
        </w:rPr>
        <w:t xml:space="preserve"> ComEd has other residential programs that were not included in the analysis. The </w:t>
      </w:r>
      <w:r>
        <w:rPr>
          <w:szCs w:val="18"/>
        </w:rPr>
        <w:t xml:space="preserve">Appliance Rebate, </w:t>
      </w:r>
      <w:r w:rsidRPr="006A3165">
        <w:rPr>
          <w:szCs w:val="18"/>
        </w:rPr>
        <w:t>Elementary Education</w:t>
      </w:r>
      <w:r>
        <w:rPr>
          <w:szCs w:val="18"/>
        </w:rPr>
        <w:t>, Lighting Discounts, Middle School Take-Home Kits, Food Bank LED Distribution, and Low Income Kits</w:t>
      </w:r>
      <w:r w:rsidRPr="006A3165">
        <w:rPr>
          <w:szCs w:val="18"/>
        </w:rPr>
        <w:t xml:space="preserve"> programs do not track participation at the customer level, and so do not have the data necessary for the uplift analysis. Double counting between the Residential New Construction</w:t>
      </w:r>
      <w:r>
        <w:rPr>
          <w:szCs w:val="18"/>
        </w:rPr>
        <w:t xml:space="preserve"> and Affordable Housing New Construction Programs</w:t>
      </w:r>
      <w:r w:rsidRPr="006A3165">
        <w:rPr>
          <w:szCs w:val="18"/>
        </w:rPr>
        <w:t xml:space="preserve"> </w:t>
      </w:r>
      <w:r>
        <w:rPr>
          <w:szCs w:val="18"/>
        </w:rPr>
        <w:t>and</w:t>
      </w:r>
      <w:r w:rsidRPr="006A3165">
        <w:rPr>
          <w:szCs w:val="18"/>
        </w:rPr>
        <w:t xml:space="preserve"> HER is not possible due to the requirement that HER participants have sufficient historical usage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C8BF" w14:textId="31FD0199" w:rsidR="00B63F5A" w:rsidRDefault="00B63F5A" w:rsidP="00327C4E">
    <w:pPr>
      <w:pStyle w:val="Header"/>
      <w:tabs>
        <w:tab w:val="clear" w:pos="4320"/>
        <w:tab w:val="clear" w:pos="8640"/>
        <w:tab w:val="left" w:pos="3255"/>
      </w:tabs>
    </w:pPr>
    <w:r>
      <w:rPr>
        <w:noProof/>
      </w:rPr>
      <w:drawing>
        <wp:anchor distT="0" distB="0" distL="114300" distR="114300" simplePos="0" relativeHeight="251663872" behindDoc="1" locked="0" layoutInCell="1" allowOverlap="1" wp14:anchorId="4AC18673" wp14:editId="7D4FD299">
          <wp:simplePos x="0" y="0"/>
          <wp:positionH relativeFrom="page">
            <wp:posOffset>352425</wp:posOffset>
          </wp:positionH>
          <wp:positionV relativeFrom="page">
            <wp:align>bottom</wp:align>
          </wp:positionV>
          <wp:extent cx="7886915" cy="102776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a:blip r:embed="rId1">
                    <a:extLst>
                      <a:ext uri="{28A0092B-C50C-407E-A947-70E740481C1C}">
                        <a14:useLocalDpi xmlns:a14="http://schemas.microsoft.com/office/drawing/2010/main" val="0"/>
                      </a:ext>
                    </a:extLst>
                  </a:blip>
                  <a:stretch>
                    <a:fillRect/>
                  </a:stretch>
                </pic:blipFill>
                <pic:spPr>
                  <a:xfrm>
                    <a:off x="0" y="0"/>
                    <a:ext cx="7886915" cy="1027762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F67D1CF" wp14:editId="7CE8F7F1">
          <wp:extent cx="1784105" cy="605641"/>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6901" cy="6201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324"/>
    </w:tblGrid>
    <w:tr w:rsidR="00B63F5A" w14:paraId="213FB549" w14:textId="77777777" w:rsidTr="009E0BB4">
      <w:tc>
        <w:tcPr>
          <w:tcW w:w="2700" w:type="dxa"/>
          <w:vAlign w:val="center"/>
        </w:tcPr>
        <w:p w14:paraId="7F8352B3" w14:textId="353EED06" w:rsidR="00B63F5A" w:rsidRPr="00CA09A7" w:rsidRDefault="00B63F5A" w:rsidP="00722F7D">
          <w:pPr>
            <w:pStyle w:val="Header"/>
            <w:rPr>
              <w:color w:val="FFFFFF" w:themeColor="background1"/>
            </w:rPr>
          </w:pPr>
          <w:r>
            <w:rPr>
              <w:noProof/>
            </w:rPr>
            <w:drawing>
              <wp:inline distT="0" distB="0" distL="0" distR="0" wp14:anchorId="4A17D75F" wp14:editId="0FAE2956">
                <wp:extent cx="1784105" cy="605641"/>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901" cy="620169"/>
                        </a:xfrm>
                        <a:prstGeom prst="rect">
                          <a:avLst/>
                        </a:prstGeom>
                        <a:noFill/>
                        <a:ln>
                          <a:noFill/>
                        </a:ln>
                      </pic:spPr>
                    </pic:pic>
                  </a:graphicData>
                </a:graphic>
              </wp:inline>
            </w:drawing>
          </w:r>
        </w:p>
      </w:tc>
      <w:tc>
        <w:tcPr>
          <w:tcW w:w="6650" w:type="dxa"/>
          <w:shd w:val="clear" w:color="auto" w:fill="555759"/>
          <w:vAlign w:val="center"/>
        </w:tcPr>
        <w:p w14:paraId="6C089B6E" w14:textId="3775F526" w:rsidR="00B63F5A" w:rsidRPr="007B4044" w:rsidRDefault="00B63F5A" w:rsidP="00722F7D">
          <w:pPr>
            <w:pStyle w:val="ProposalTitleGreen"/>
            <w:rPr>
              <w:color w:val="FFFFFF" w:themeColor="background1"/>
            </w:rPr>
          </w:pPr>
          <w:r>
            <w:rPr>
              <w:color w:val="FFFFFF" w:themeColor="background1"/>
            </w:rPr>
            <w:t>ComEd Home Energy Report Program Decay Rate and Persistence Study – Year Five Research Report</w:t>
          </w:r>
        </w:p>
      </w:tc>
    </w:tr>
  </w:tbl>
  <w:p w14:paraId="241A81C5" w14:textId="77777777" w:rsidR="00B63F5A" w:rsidRPr="00722F7D" w:rsidRDefault="00B63F5A" w:rsidP="0072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9FF"/>
    <w:multiLevelType w:val="multilevel"/>
    <w:tmpl w:val="51A48B52"/>
    <w:lvl w:ilvl="0">
      <w:start w:val="1"/>
      <w:numFmt w:val="decimal"/>
      <w:pStyle w:val="Heading1"/>
      <w:suff w:val="space"/>
      <w:lvlText w:val="%1."/>
      <w:lvlJc w:val="left"/>
      <w:pPr>
        <w:ind w:left="432" w:hanging="432"/>
      </w:pPr>
      <w:rPr>
        <w:rFonts w:ascii="Arial" w:hAnsi="Arial" w:cs="Arial" w:hint="default"/>
        <w:b/>
        <w:i w:val="0"/>
        <w:color w:val="95D600" w:themeColor="accent1"/>
        <w:sz w:val="28"/>
        <w:szCs w:val="26"/>
      </w:rPr>
    </w:lvl>
    <w:lvl w:ilvl="1">
      <w:start w:val="1"/>
      <w:numFmt w:val="decimal"/>
      <w:pStyle w:val="Heading2"/>
      <w:suff w:val="space"/>
      <w:lvlText w:val="%1.%2"/>
      <w:lvlJc w:val="left"/>
      <w:pPr>
        <w:ind w:left="720" w:hanging="720"/>
      </w:pPr>
      <w:rPr>
        <w:rFonts w:ascii="Arial" w:hAnsi="Arial" w:cs="Arial" w:hint="default"/>
        <w:b/>
        <w:i w:val="0"/>
        <w:color w:val="0093C9" w:themeColor="accent3"/>
        <w:sz w:val="26"/>
        <w:szCs w:val="26"/>
      </w:rPr>
    </w:lvl>
    <w:lvl w:ilvl="2">
      <w:start w:val="1"/>
      <w:numFmt w:val="decimal"/>
      <w:pStyle w:val="Heading3"/>
      <w:suff w:val="space"/>
      <w:lvlText w:val="%1.%2.%3"/>
      <w:lvlJc w:val="left"/>
      <w:pPr>
        <w:ind w:left="720" w:hanging="720"/>
      </w:pPr>
      <w:rPr>
        <w:rFonts w:ascii="Arial" w:hAnsi="Arial" w:cs="Arial" w:hint="default"/>
        <w:b/>
        <w:i/>
        <w:color w:val="F07B05" w:themeColor="accent5"/>
        <w:sz w:val="22"/>
      </w:rPr>
    </w:lvl>
    <w:lvl w:ilvl="3">
      <w:start w:val="1"/>
      <w:numFmt w:val="decimal"/>
      <w:pStyle w:val="Heading4"/>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1"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501DE"/>
    <w:multiLevelType w:val="hybridMultilevel"/>
    <w:tmpl w:val="FD16D45A"/>
    <w:lvl w:ilvl="0" w:tplc="FAECEBC0">
      <w:start w:val="1"/>
      <w:numFmt w:val="bullet"/>
      <w:pStyle w:val="Index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87340"/>
    <w:multiLevelType w:val="hybridMultilevel"/>
    <w:tmpl w:val="C3040830"/>
    <w:lvl w:ilvl="0" w:tplc="DC62415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707EA"/>
    <w:multiLevelType w:val="multilevel"/>
    <w:tmpl w:val="67F0C0C4"/>
    <w:styleLink w:val="CnAListBullets"/>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hint="default"/>
        <w:b/>
        <w:sz w:val="24"/>
      </w:rPr>
    </w:lvl>
    <w:lvl w:ilvl="2">
      <w:start w:val="1"/>
      <w:numFmt w:val="bullet"/>
      <w:lvlText w:val="-"/>
      <w:lvlJc w:val="left"/>
      <w:pPr>
        <w:ind w:left="1584" w:hanging="432"/>
      </w:pPr>
      <w:rPr>
        <w:rFonts w:ascii="Times New Roman" w:hAnsi="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10" w15:restartNumberingAfterBreak="0">
    <w:nsid w:val="35327013"/>
    <w:multiLevelType w:val="multilevel"/>
    <w:tmpl w:val="C0AC2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B7B5F"/>
    <w:multiLevelType w:val="singleLevel"/>
    <w:tmpl w:val="28FCC028"/>
    <w:lvl w:ilvl="0">
      <w:start w:val="1"/>
      <w:numFmt w:val="bullet"/>
      <w:pStyle w:val="ListBullet2"/>
      <w:lvlText w:val=""/>
      <w:lvlJc w:val="left"/>
      <w:pPr>
        <w:tabs>
          <w:tab w:val="num" w:pos="643"/>
        </w:tabs>
        <w:ind w:left="643" w:hanging="360"/>
      </w:pPr>
      <w:rPr>
        <w:rFonts w:ascii="Symbol" w:hAnsi="Symbol" w:hint="default"/>
      </w:rPr>
    </w:lvl>
  </w:abstractNum>
  <w:abstractNum w:abstractNumId="16"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C512FD"/>
    <w:multiLevelType w:val="singleLevel"/>
    <w:tmpl w:val="33AA58D0"/>
    <w:lvl w:ilvl="0">
      <w:start w:val="1"/>
      <w:numFmt w:val="bullet"/>
      <w:pStyle w:val="ListBullet4"/>
      <w:lvlText w:val="-"/>
      <w:lvlJc w:val="left"/>
      <w:pPr>
        <w:tabs>
          <w:tab w:val="num" w:pos="1209"/>
        </w:tabs>
        <w:ind w:left="1209" w:hanging="360"/>
      </w:pPr>
      <w:rPr>
        <w:rFonts w:ascii="Times New Roman" w:hAnsi="Times New Roman" w:hint="default"/>
      </w:rPr>
    </w:lvl>
  </w:abstractNum>
  <w:abstractNum w:abstractNumId="18"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650C5020"/>
    <w:multiLevelType w:val="hybridMultilevel"/>
    <w:tmpl w:val="2FE26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ascii="Times New Roman" w:hAnsi="Times New Roman" w:hint="default"/>
        <w:b/>
        <w:sz w:val="24"/>
      </w:rPr>
    </w:lvl>
    <w:lvl w:ilvl="2">
      <w:start w:val="1"/>
      <w:numFmt w:val="bullet"/>
      <w:lvlText w:val="-"/>
      <w:lvlJc w:val="left"/>
      <w:pPr>
        <w:ind w:left="2520" w:hanging="360"/>
      </w:pPr>
      <w:rPr>
        <w:rFonts w:ascii="Times New Roman" w:hAnsi="Times New Roman" w:hint="default"/>
        <w:sz w:val="24"/>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abstractNum w:abstractNumId="22" w15:restartNumberingAfterBreak="0">
    <w:nsid w:val="752424A6"/>
    <w:multiLevelType w:val="multilevel"/>
    <w:tmpl w:val="83747D7A"/>
    <w:styleLink w:val="StyleNumbered"/>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5D70FD7"/>
    <w:multiLevelType w:val="multilevel"/>
    <w:tmpl w:val="557282D0"/>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78A34F3F"/>
    <w:multiLevelType w:val="hybridMultilevel"/>
    <w:tmpl w:val="88C2E3E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B49D8"/>
    <w:multiLevelType w:val="multilevel"/>
    <w:tmpl w:val="B04E4DB8"/>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26" w15:restartNumberingAfterBreak="0">
    <w:nsid w:val="7B577937"/>
    <w:multiLevelType w:val="singleLevel"/>
    <w:tmpl w:val="4A843208"/>
    <w:lvl w:ilvl="0">
      <w:start w:val="1"/>
      <w:numFmt w:val="decimal"/>
      <w:pStyle w:val="Number"/>
      <w:lvlText w:val="%1."/>
      <w:lvlJc w:val="left"/>
      <w:pPr>
        <w:tabs>
          <w:tab w:val="num" w:pos="1080"/>
        </w:tabs>
        <w:ind w:left="1080" w:hanging="360"/>
      </w:pPr>
      <w:rPr>
        <w:rFonts w:cs="Times New Roman" w:hint="default"/>
      </w:rPr>
    </w:lvl>
  </w:abstractNum>
  <w:num w:numId="1">
    <w:abstractNumId w:val="21"/>
  </w:num>
  <w:num w:numId="2">
    <w:abstractNumId w:val="9"/>
  </w:num>
  <w:num w:numId="3">
    <w:abstractNumId w:val="25"/>
  </w:num>
  <w:num w:numId="4">
    <w:abstractNumId w:val="4"/>
  </w:num>
  <w:num w:numId="5">
    <w:abstractNumId w:val="16"/>
  </w:num>
  <w:num w:numId="6">
    <w:abstractNumId w:val="1"/>
  </w:num>
  <w:num w:numId="7">
    <w:abstractNumId w:val="14"/>
  </w:num>
  <w:num w:numId="8">
    <w:abstractNumId w:val="23"/>
  </w:num>
  <w:num w:numId="9">
    <w:abstractNumId w:val="15"/>
  </w:num>
  <w:num w:numId="10">
    <w:abstractNumId w:val="17"/>
  </w:num>
  <w:num w:numId="11">
    <w:abstractNumId w:val="26"/>
  </w:num>
  <w:num w:numId="12">
    <w:abstractNumId w:val="13"/>
  </w:num>
  <w:num w:numId="13">
    <w:abstractNumId w:val="22"/>
  </w:num>
  <w:num w:numId="14">
    <w:abstractNumId w:val="19"/>
  </w:num>
  <w:num w:numId="15">
    <w:abstractNumId w:val="18"/>
  </w:num>
  <w:num w:numId="16">
    <w:abstractNumId w:val="5"/>
  </w:num>
  <w:num w:numId="17">
    <w:abstractNumId w:val="7"/>
  </w:num>
  <w:num w:numId="18">
    <w:abstractNumId w:val="8"/>
  </w:num>
  <w:num w:numId="19">
    <w:abstractNumId w:val="12"/>
  </w:num>
  <w:num w:numId="20">
    <w:abstractNumId w:val="11"/>
  </w:num>
  <w:num w:numId="21">
    <w:abstractNumId w:val="2"/>
  </w:num>
  <w:num w:numId="22">
    <w:abstractNumId w:val="3"/>
  </w:num>
  <w:num w:numId="23">
    <w:abstractNumId w:val="24"/>
  </w:num>
  <w:num w:numId="24">
    <w:abstractNumId w:val="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BD7E21"/>
    <w:rsid w:val="000003FD"/>
    <w:rsid w:val="00000B20"/>
    <w:rsid w:val="00000D5D"/>
    <w:rsid w:val="00000E8E"/>
    <w:rsid w:val="00001472"/>
    <w:rsid w:val="00001545"/>
    <w:rsid w:val="000018DF"/>
    <w:rsid w:val="000030C8"/>
    <w:rsid w:val="0000320A"/>
    <w:rsid w:val="00003341"/>
    <w:rsid w:val="000036AE"/>
    <w:rsid w:val="00003A33"/>
    <w:rsid w:val="00003A59"/>
    <w:rsid w:val="00004723"/>
    <w:rsid w:val="00005891"/>
    <w:rsid w:val="00005DB4"/>
    <w:rsid w:val="00005E48"/>
    <w:rsid w:val="00006268"/>
    <w:rsid w:val="00006744"/>
    <w:rsid w:val="00006D7F"/>
    <w:rsid w:val="0000732D"/>
    <w:rsid w:val="00007639"/>
    <w:rsid w:val="00007C0D"/>
    <w:rsid w:val="00007EE5"/>
    <w:rsid w:val="000106EE"/>
    <w:rsid w:val="0001086C"/>
    <w:rsid w:val="00010CF1"/>
    <w:rsid w:val="00010EB5"/>
    <w:rsid w:val="0001123B"/>
    <w:rsid w:val="000116B2"/>
    <w:rsid w:val="00011A7A"/>
    <w:rsid w:val="00012020"/>
    <w:rsid w:val="00012344"/>
    <w:rsid w:val="000126F4"/>
    <w:rsid w:val="00012CA5"/>
    <w:rsid w:val="00012D2E"/>
    <w:rsid w:val="00012E47"/>
    <w:rsid w:val="00013033"/>
    <w:rsid w:val="00013376"/>
    <w:rsid w:val="00013A7D"/>
    <w:rsid w:val="00013ED7"/>
    <w:rsid w:val="000147F5"/>
    <w:rsid w:val="00014CD2"/>
    <w:rsid w:val="00016960"/>
    <w:rsid w:val="0001698A"/>
    <w:rsid w:val="00016D18"/>
    <w:rsid w:val="00016DB0"/>
    <w:rsid w:val="00016FC2"/>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0726"/>
    <w:rsid w:val="00031525"/>
    <w:rsid w:val="00032493"/>
    <w:rsid w:val="000329AA"/>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407AB"/>
    <w:rsid w:val="00040AE2"/>
    <w:rsid w:val="00041347"/>
    <w:rsid w:val="000414B6"/>
    <w:rsid w:val="00041E6D"/>
    <w:rsid w:val="000422A1"/>
    <w:rsid w:val="0004376E"/>
    <w:rsid w:val="000447CF"/>
    <w:rsid w:val="00045D1B"/>
    <w:rsid w:val="0004642C"/>
    <w:rsid w:val="000466A2"/>
    <w:rsid w:val="00046804"/>
    <w:rsid w:val="00047C36"/>
    <w:rsid w:val="00047C9E"/>
    <w:rsid w:val="00050B2E"/>
    <w:rsid w:val="00050EC6"/>
    <w:rsid w:val="000521F1"/>
    <w:rsid w:val="0005225A"/>
    <w:rsid w:val="0005287F"/>
    <w:rsid w:val="00052A82"/>
    <w:rsid w:val="000531E0"/>
    <w:rsid w:val="00054143"/>
    <w:rsid w:val="0005439A"/>
    <w:rsid w:val="0005540B"/>
    <w:rsid w:val="000554A9"/>
    <w:rsid w:val="00055CA1"/>
    <w:rsid w:val="00056651"/>
    <w:rsid w:val="00056713"/>
    <w:rsid w:val="00056C9E"/>
    <w:rsid w:val="0005707D"/>
    <w:rsid w:val="000575F6"/>
    <w:rsid w:val="00057625"/>
    <w:rsid w:val="00060120"/>
    <w:rsid w:val="00060889"/>
    <w:rsid w:val="00060E3D"/>
    <w:rsid w:val="000612B3"/>
    <w:rsid w:val="00061729"/>
    <w:rsid w:val="00061C05"/>
    <w:rsid w:val="0006306A"/>
    <w:rsid w:val="00063070"/>
    <w:rsid w:val="0006327C"/>
    <w:rsid w:val="00063428"/>
    <w:rsid w:val="0006396D"/>
    <w:rsid w:val="00063AEB"/>
    <w:rsid w:val="00063B8D"/>
    <w:rsid w:val="00063CA7"/>
    <w:rsid w:val="00064D0C"/>
    <w:rsid w:val="00065187"/>
    <w:rsid w:val="000655D2"/>
    <w:rsid w:val="000655E4"/>
    <w:rsid w:val="00065687"/>
    <w:rsid w:val="00065C48"/>
    <w:rsid w:val="00065D22"/>
    <w:rsid w:val="00066630"/>
    <w:rsid w:val="0007038A"/>
    <w:rsid w:val="000706A7"/>
    <w:rsid w:val="00070B0A"/>
    <w:rsid w:val="00070E7C"/>
    <w:rsid w:val="000719AE"/>
    <w:rsid w:val="000719C1"/>
    <w:rsid w:val="00071E98"/>
    <w:rsid w:val="00072B81"/>
    <w:rsid w:val="00072BEC"/>
    <w:rsid w:val="0007382D"/>
    <w:rsid w:val="00074737"/>
    <w:rsid w:val="00074A0A"/>
    <w:rsid w:val="00074A7E"/>
    <w:rsid w:val="000750C5"/>
    <w:rsid w:val="000752D9"/>
    <w:rsid w:val="000758A8"/>
    <w:rsid w:val="00075BCE"/>
    <w:rsid w:val="00076A0C"/>
    <w:rsid w:val="00076AA5"/>
    <w:rsid w:val="00077682"/>
    <w:rsid w:val="00077AB0"/>
    <w:rsid w:val="000801E7"/>
    <w:rsid w:val="0008063D"/>
    <w:rsid w:val="000809D9"/>
    <w:rsid w:val="00080EAD"/>
    <w:rsid w:val="00082F19"/>
    <w:rsid w:val="00083216"/>
    <w:rsid w:val="00083478"/>
    <w:rsid w:val="000838AE"/>
    <w:rsid w:val="00083C45"/>
    <w:rsid w:val="000840AD"/>
    <w:rsid w:val="000842E8"/>
    <w:rsid w:val="00085B5D"/>
    <w:rsid w:val="00086098"/>
    <w:rsid w:val="000868CB"/>
    <w:rsid w:val="000868F0"/>
    <w:rsid w:val="00087E45"/>
    <w:rsid w:val="00087FA6"/>
    <w:rsid w:val="0009061C"/>
    <w:rsid w:val="00091057"/>
    <w:rsid w:val="000917D7"/>
    <w:rsid w:val="000925BD"/>
    <w:rsid w:val="00092603"/>
    <w:rsid w:val="00093033"/>
    <w:rsid w:val="0009382D"/>
    <w:rsid w:val="00093918"/>
    <w:rsid w:val="0009401B"/>
    <w:rsid w:val="000943B3"/>
    <w:rsid w:val="000950A8"/>
    <w:rsid w:val="00096C8D"/>
    <w:rsid w:val="00097E45"/>
    <w:rsid w:val="00097E4B"/>
    <w:rsid w:val="000A04E5"/>
    <w:rsid w:val="000A1046"/>
    <w:rsid w:val="000A14C7"/>
    <w:rsid w:val="000A15EC"/>
    <w:rsid w:val="000A2306"/>
    <w:rsid w:val="000A2693"/>
    <w:rsid w:val="000A3D16"/>
    <w:rsid w:val="000A3D2B"/>
    <w:rsid w:val="000A526A"/>
    <w:rsid w:val="000A5A16"/>
    <w:rsid w:val="000A5E1B"/>
    <w:rsid w:val="000A6047"/>
    <w:rsid w:val="000A6B52"/>
    <w:rsid w:val="000A743A"/>
    <w:rsid w:val="000A75C9"/>
    <w:rsid w:val="000A77B8"/>
    <w:rsid w:val="000A7948"/>
    <w:rsid w:val="000A7DD9"/>
    <w:rsid w:val="000A7E04"/>
    <w:rsid w:val="000B002D"/>
    <w:rsid w:val="000B06DF"/>
    <w:rsid w:val="000B0E08"/>
    <w:rsid w:val="000B1278"/>
    <w:rsid w:val="000B1EA3"/>
    <w:rsid w:val="000B1FBA"/>
    <w:rsid w:val="000B21F5"/>
    <w:rsid w:val="000B353B"/>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45F"/>
    <w:rsid w:val="000C05B4"/>
    <w:rsid w:val="000C0AD5"/>
    <w:rsid w:val="000C0C4E"/>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27B"/>
    <w:rsid w:val="000C6AD9"/>
    <w:rsid w:val="000C73D0"/>
    <w:rsid w:val="000D0D9E"/>
    <w:rsid w:val="000D0EB1"/>
    <w:rsid w:val="000D0F15"/>
    <w:rsid w:val="000D172F"/>
    <w:rsid w:val="000D1F5C"/>
    <w:rsid w:val="000D234F"/>
    <w:rsid w:val="000D2378"/>
    <w:rsid w:val="000D255E"/>
    <w:rsid w:val="000D25D9"/>
    <w:rsid w:val="000D29A5"/>
    <w:rsid w:val="000D398C"/>
    <w:rsid w:val="000D3F97"/>
    <w:rsid w:val="000D4F17"/>
    <w:rsid w:val="000D5028"/>
    <w:rsid w:val="000D59AA"/>
    <w:rsid w:val="000D5A3D"/>
    <w:rsid w:val="000D6786"/>
    <w:rsid w:val="000D7C92"/>
    <w:rsid w:val="000E0AF4"/>
    <w:rsid w:val="000E0D25"/>
    <w:rsid w:val="000E142F"/>
    <w:rsid w:val="000E182F"/>
    <w:rsid w:val="000E1B85"/>
    <w:rsid w:val="000E1D93"/>
    <w:rsid w:val="000E2618"/>
    <w:rsid w:val="000E266A"/>
    <w:rsid w:val="000E2E27"/>
    <w:rsid w:val="000E37AE"/>
    <w:rsid w:val="000E43F2"/>
    <w:rsid w:val="000E477F"/>
    <w:rsid w:val="000E5D6C"/>
    <w:rsid w:val="000E5F14"/>
    <w:rsid w:val="000E6083"/>
    <w:rsid w:val="000E6933"/>
    <w:rsid w:val="000E6D16"/>
    <w:rsid w:val="000E6E8C"/>
    <w:rsid w:val="000F03B5"/>
    <w:rsid w:val="000F0557"/>
    <w:rsid w:val="000F12D3"/>
    <w:rsid w:val="000F1BEA"/>
    <w:rsid w:val="000F1CD7"/>
    <w:rsid w:val="000F2004"/>
    <w:rsid w:val="000F21C5"/>
    <w:rsid w:val="000F2FDF"/>
    <w:rsid w:val="000F3AB5"/>
    <w:rsid w:val="000F3C24"/>
    <w:rsid w:val="000F3DD8"/>
    <w:rsid w:val="000F490B"/>
    <w:rsid w:val="000F49A8"/>
    <w:rsid w:val="000F5556"/>
    <w:rsid w:val="000F6914"/>
    <w:rsid w:val="000F7449"/>
    <w:rsid w:val="000F7467"/>
    <w:rsid w:val="0010003A"/>
    <w:rsid w:val="001004E4"/>
    <w:rsid w:val="00100ED6"/>
    <w:rsid w:val="001022BD"/>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F66"/>
    <w:rsid w:val="00111256"/>
    <w:rsid w:val="001140FE"/>
    <w:rsid w:val="001142A7"/>
    <w:rsid w:val="00114AEA"/>
    <w:rsid w:val="0011517F"/>
    <w:rsid w:val="001153A6"/>
    <w:rsid w:val="00116254"/>
    <w:rsid w:val="001165C2"/>
    <w:rsid w:val="001165FC"/>
    <w:rsid w:val="001167ED"/>
    <w:rsid w:val="00116F47"/>
    <w:rsid w:val="001178AA"/>
    <w:rsid w:val="00117A54"/>
    <w:rsid w:val="001204B5"/>
    <w:rsid w:val="0012054F"/>
    <w:rsid w:val="00120ADC"/>
    <w:rsid w:val="00120CEE"/>
    <w:rsid w:val="00120CF3"/>
    <w:rsid w:val="00121438"/>
    <w:rsid w:val="00121677"/>
    <w:rsid w:val="001217D7"/>
    <w:rsid w:val="00121810"/>
    <w:rsid w:val="001219E4"/>
    <w:rsid w:val="00121A74"/>
    <w:rsid w:val="00121CBB"/>
    <w:rsid w:val="00122022"/>
    <w:rsid w:val="00122450"/>
    <w:rsid w:val="0012255F"/>
    <w:rsid w:val="001227B4"/>
    <w:rsid w:val="001229FD"/>
    <w:rsid w:val="00122B36"/>
    <w:rsid w:val="001234C6"/>
    <w:rsid w:val="00123F6F"/>
    <w:rsid w:val="001249C1"/>
    <w:rsid w:val="00124DC7"/>
    <w:rsid w:val="00124FEC"/>
    <w:rsid w:val="00125BFB"/>
    <w:rsid w:val="0012608C"/>
    <w:rsid w:val="0012621D"/>
    <w:rsid w:val="00126821"/>
    <w:rsid w:val="00127794"/>
    <w:rsid w:val="00127D26"/>
    <w:rsid w:val="00127EB8"/>
    <w:rsid w:val="00127F0A"/>
    <w:rsid w:val="00130045"/>
    <w:rsid w:val="001302BE"/>
    <w:rsid w:val="00130732"/>
    <w:rsid w:val="00130C71"/>
    <w:rsid w:val="00131005"/>
    <w:rsid w:val="0013128F"/>
    <w:rsid w:val="00131D2F"/>
    <w:rsid w:val="00132F0E"/>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50A26"/>
    <w:rsid w:val="0015182F"/>
    <w:rsid w:val="0015220A"/>
    <w:rsid w:val="001526D9"/>
    <w:rsid w:val="0015286C"/>
    <w:rsid w:val="00152B70"/>
    <w:rsid w:val="00152C1D"/>
    <w:rsid w:val="00152E05"/>
    <w:rsid w:val="00152F41"/>
    <w:rsid w:val="00153174"/>
    <w:rsid w:val="0015338F"/>
    <w:rsid w:val="001539F1"/>
    <w:rsid w:val="00153E03"/>
    <w:rsid w:val="00154456"/>
    <w:rsid w:val="001547F9"/>
    <w:rsid w:val="00154CB0"/>
    <w:rsid w:val="00155729"/>
    <w:rsid w:val="00155A12"/>
    <w:rsid w:val="00155B58"/>
    <w:rsid w:val="00155C4C"/>
    <w:rsid w:val="001560BF"/>
    <w:rsid w:val="00156BF0"/>
    <w:rsid w:val="00156C70"/>
    <w:rsid w:val="00156F49"/>
    <w:rsid w:val="001579F4"/>
    <w:rsid w:val="001600E4"/>
    <w:rsid w:val="001601AB"/>
    <w:rsid w:val="001609DE"/>
    <w:rsid w:val="00161FCE"/>
    <w:rsid w:val="0016255F"/>
    <w:rsid w:val="001628C5"/>
    <w:rsid w:val="001636C7"/>
    <w:rsid w:val="00163EB9"/>
    <w:rsid w:val="0016456A"/>
    <w:rsid w:val="00164A5F"/>
    <w:rsid w:val="00164CDE"/>
    <w:rsid w:val="0016589D"/>
    <w:rsid w:val="001665EC"/>
    <w:rsid w:val="00167008"/>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438"/>
    <w:rsid w:val="00175E9E"/>
    <w:rsid w:val="0017602F"/>
    <w:rsid w:val="0017685C"/>
    <w:rsid w:val="00176B0D"/>
    <w:rsid w:val="001773BF"/>
    <w:rsid w:val="001777B9"/>
    <w:rsid w:val="00177BE1"/>
    <w:rsid w:val="00180391"/>
    <w:rsid w:val="00180404"/>
    <w:rsid w:val="00180A88"/>
    <w:rsid w:val="00182083"/>
    <w:rsid w:val="001820B3"/>
    <w:rsid w:val="00182A7D"/>
    <w:rsid w:val="00183005"/>
    <w:rsid w:val="00183174"/>
    <w:rsid w:val="00183575"/>
    <w:rsid w:val="0018387D"/>
    <w:rsid w:val="001839BF"/>
    <w:rsid w:val="0018441B"/>
    <w:rsid w:val="0018585E"/>
    <w:rsid w:val="001858CE"/>
    <w:rsid w:val="00185F95"/>
    <w:rsid w:val="001873D0"/>
    <w:rsid w:val="00187797"/>
    <w:rsid w:val="0018785D"/>
    <w:rsid w:val="00187D23"/>
    <w:rsid w:val="0019032F"/>
    <w:rsid w:val="001903C6"/>
    <w:rsid w:val="00190CD5"/>
    <w:rsid w:val="00190DF3"/>
    <w:rsid w:val="00191AD0"/>
    <w:rsid w:val="00191AF5"/>
    <w:rsid w:val="00191B3D"/>
    <w:rsid w:val="00191C74"/>
    <w:rsid w:val="00191F34"/>
    <w:rsid w:val="0019220D"/>
    <w:rsid w:val="0019450B"/>
    <w:rsid w:val="001957CB"/>
    <w:rsid w:val="00195861"/>
    <w:rsid w:val="00195E4B"/>
    <w:rsid w:val="00196017"/>
    <w:rsid w:val="00197319"/>
    <w:rsid w:val="00197BDD"/>
    <w:rsid w:val="00197D5F"/>
    <w:rsid w:val="00197F86"/>
    <w:rsid w:val="001A016D"/>
    <w:rsid w:val="001A21E3"/>
    <w:rsid w:val="001A348C"/>
    <w:rsid w:val="001A36DB"/>
    <w:rsid w:val="001A373D"/>
    <w:rsid w:val="001A3741"/>
    <w:rsid w:val="001A383A"/>
    <w:rsid w:val="001A3FC6"/>
    <w:rsid w:val="001A4138"/>
    <w:rsid w:val="001A4284"/>
    <w:rsid w:val="001A4439"/>
    <w:rsid w:val="001A463E"/>
    <w:rsid w:val="001A4F7D"/>
    <w:rsid w:val="001A50A2"/>
    <w:rsid w:val="001A51A2"/>
    <w:rsid w:val="001A58B4"/>
    <w:rsid w:val="001A58FC"/>
    <w:rsid w:val="001A5B65"/>
    <w:rsid w:val="001A5F7B"/>
    <w:rsid w:val="001A600E"/>
    <w:rsid w:val="001A6385"/>
    <w:rsid w:val="001A6567"/>
    <w:rsid w:val="001A717E"/>
    <w:rsid w:val="001A72A1"/>
    <w:rsid w:val="001A730F"/>
    <w:rsid w:val="001B0C03"/>
    <w:rsid w:val="001B0CAE"/>
    <w:rsid w:val="001B1185"/>
    <w:rsid w:val="001B12C0"/>
    <w:rsid w:val="001B1412"/>
    <w:rsid w:val="001B1662"/>
    <w:rsid w:val="001B1B4A"/>
    <w:rsid w:val="001B1D47"/>
    <w:rsid w:val="001B3BC3"/>
    <w:rsid w:val="001B41A5"/>
    <w:rsid w:val="001B42D0"/>
    <w:rsid w:val="001B447E"/>
    <w:rsid w:val="001B4794"/>
    <w:rsid w:val="001B4807"/>
    <w:rsid w:val="001B4DE9"/>
    <w:rsid w:val="001B5E06"/>
    <w:rsid w:val="001B6F99"/>
    <w:rsid w:val="001B7466"/>
    <w:rsid w:val="001B74BE"/>
    <w:rsid w:val="001B76B1"/>
    <w:rsid w:val="001C1482"/>
    <w:rsid w:val="001C1526"/>
    <w:rsid w:val="001C1A4B"/>
    <w:rsid w:val="001C1E38"/>
    <w:rsid w:val="001C3A41"/>
    <w:rsid w:val="001C4C0D"/>
    <w:rsid w:val="001C62AF"/>
    <w:rsid w:val="001C6949"/>
    <w:rsid w:val="001C6D1D"/>
    <w:rsid w:val="001C6DED"/>
    <w:rsid w:val="001C7705"/>
    <w:rsid w:val="001C79FB"/>
    <w:rsid w:val="001D004C"/>
    <w:rsid w:val="001D0212"/>
    <w:rsid w:val="001D0513"/>
    <w:rsid w:val="001D05C6"/>
    <w:rsid w:val="001D06B4"/>
    <w:rsid w:val="001D0DAA"/>
    <w:rsid w:val="001D0F86"/>
    <w:rsid w:val="001D12FA"/>
    <w:rsid w:val="001D1B5C"/>
    <w:rsid w:val="001D224F"/>
    <w:rsid w:val="001D22B3"/>
    <w:rsid w:val="001D238C"/>
    <w:rsid w:val="001D2421"/>
    <w:rsid w:val="001D2729"/>
    <w:rsid w:val="001D2DD0"/>
    <w:rsid w:val="001D34F6"/>
    <w:rsid w:val="001D3762"/>
    <w:rsid w:val="001D3839"/>
    <w:rsid w:val="001D43B3"/>
    <w:rsid w:val="001D4B5B"/>
    <w:rsid w:val="001D4F0E"/>
    <w:rsid w:val="001D5205"/>
    <w:rsid w:val="001D5294"/>
    <w:rsid w:val="001D56E0"/>
    <w:rsid w:val="001D5870"/>
    <w:rsid w:val="001D6702"/>
    <w:rsid w:val="001D6D97"/>
    <w:rsid w:val="001D7346"/>
    <w:rsid w:val="001D7492"/>
    <w:rsid w:val="001E0156"/>
    <w:rsid w:val="001E0350"/>
    <w:rsid w:val="001E0A07"/>
    <w:rsid w:val="001E0CC0"/>
    <w:rsid w:val="001E0DA9"/>
    <w:rsid w:val="001E1962"/>
    <w:rsid w:val="001E29EB"/>
    <w:rsid w:val="001E44C6"/>
    <w:rsid w:val="001E57FC"/>
    <w:rsid w:val="001E6690"/>
    <w:rsid w:val="001E6BED"/>
    <w:rsid w:val="001E7238"/>
    <w:rsid w:val="001E7688"/>
    <w:rsid w:val="001E76D5"/>
    <w:rsid w:val="001E79DB"/>
    <w:rsid w:val="001F01E2"/>
    <w:rsid w:val="001F0906"/>
    <w:rsid w:val="001F09F4"/>
    <w:rsid w:val="001F0BD2"/>
    <w:rsid w:val="001F2314"/>
    <w:rsid w:val="001F25AE"/>
    <w:rsid w:val="001F2D70"/>
    <w:rsid w:val="001F2DF7"/>
    <w:rsid w:val="001F2FBE"/>
    <w:rsid w:val="001F3245"/>
    <w:rsid w:val="001F3296"/>
    <w:rsid w:val="001F3C5F"/>
    <w:rsid w:val="001F3CF2"/>
    <w:rsid w:val="001F40F0"/>
    <w:rsid w:val="001F42D9"/>
    <w:rsid w:val="001F4C75"/>
    <w:rsid w:val="001F5867"/>
    <w:rsid w:val="001F590A"/>
    <w:rsid w:val="001F62D7"/>
    <w:rsid w:val="001F631C"/>
    <w:rsid w:val="001F681B"/>
    <w:rsid w:val="001F6833"/>
    <w:rsid w:val="001F6D27"/>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379"/>
    <w:rsid w:val="00217442"/>
    <w:rsid w:val="0021757D"/>
    <w:rsid w:val="002175B2"/>
    <w:rsid w:val="00217943"/>
    <w:rsid w:val="002204D3"/>
    <w:rsid w:val="0022153A"/>
    <w:rsid w:val="002219FE"/>
    <w:rsid w:val="0022220A"/>
    <w:rsid w:val="00222329"/>
    <w:rsid w:val="002228D3"/>
    <w:rsid w:val="002246FB"/>
    <w:rsid w:val="00224B8D"/>
    <w:rsid w:val="00226AF0"/>
    <w:rsid w:val="00226EB1"/>
    <w:rsid w:val="00227B6D"/>
    <w:rsid w:val="00230030"/>
    <w:rsid w:val="002301F3"/>
    <w:rsid w:val="00230642"/>
    <w:rsid w:val="002318B0"/>
    <w:rsid w:val="0023364A"/>
    <w:rsid w:val="00233A89"/>
    <w:rsid w:val="00233FE5"/>
    <w:rsid w:val="002346A1"/>
    <w:rsid w:val="00234DCD"/>
    <w:rsid w:val="00235568"/>
    <w:rsid w:val="0023584A"/>
    <w:rsid w:val="0023625B"/>
    <w:rsid w:val="00236817"/>
    <w:rsid w:val="00236CB1"/>
    <w:rsid w:val="00236D35"/>
    <w:rsid w:val="00240190"/>
    <w:rsid w:val="002404B4"/>
    <w:rsid w:val="00240A29"/>
    <w:rsid w:val="00240E54"/>
    <w:rsid w:val="002414DD"/>
    <w:rsid w:val="00241791"/>
    <w:rsid w:val="00241B2D"/>
    <w:rsid w:val="00242BF9"/>
    <w:rsid w:val="00242D38"/>
    <w:rsid w:val="00243144"/>
    <w:rsid w:val="00243735"/>
    <w:rsid w:val="00244035"/>
    <w:rsid w:val="0024403B"/>
    <w:rsid w:val="00244B08"/>
    <w:rsid w:val="00245C60"/>
    <w:rsid w:val="00245EF3"/>
    <w:rsid w:val="00246063"/>
    <w:rsid w:val="002467A3"/>
    <w:rsid w:val="00247C2E"/>
    <w:rsid w:val="00247E62"/>
    <w:rsid w:val="00247FA6"/>
    <w:rsid w:val="00250820"/>
    <w:rsid w:val="0025183B"/>
    <w:rsid w:val="002521C6"/>
    <w:rsid w:val="0025331D"/>
    <w:rsid w:val="00253503"/>
    <w:rsid w:val="00253E6B"/>
    <w:rsid w:val="002548C1"/>
    <w:rsid w:val="00254F2E"/>
    <w:rsid w:val="002555BC"/>
    <w:rsid w:val="00255691"/>
    <w:rsid w:val="00255D6A"/>
    <w:rsid w:val="00255F20"/>
    <w:rsid w:val="00256675"/>
    <w:rsid w:val="0025682B"/>
    <w:rsid w:val="00257142"/>
    <w:rsid w:val="002571F0"/>
    <w:rsid w:val="002600BC"/>
    <w:rsid w:val="002606A3"/>
    <w:rsid w:val="00260A18"/>
    <w:rsid w:val="00261028"/>
    <w:rsid w:val="00261176"/>
    <w:rsid w:val="00261762"/>
    <w:rsid w:val="00261E65"/>
    <w:rsid w:val="002620F1"/>
    <w:rsid w:val="002621D2"/>
    <w:rsid w:val="00262392"/>
    <w:rsid w:val="0026318F"/>
    <w:rsid w:val="00263893"/>
    <w:rsid w:val="00263DE8"/>
    <w:rsid w:val="002644DB"/>
    <w:rsid w:val="002647CF"/>
    <w:rsid w:val="0026599D"/>
    <w:rsid w:val="00266629"/>
    <w:rsid w:val="00266D13"/>
    <w:rsid w:val="0027008E"/>
    <w:rsid w:val="002704F9"/>
    <w:rsid w:val="0027062F"/>
    <w:rsid w:val="0027068D"/>
    <w:rsid w:val="00270752"/>
    <w:rsid w:val="00270F6D"/>
    <w:rsid w:val="002710D7"/>
    <w:rsid w:val="00271F76"/>
    <w:rsid w:val="002721AA"/>
    <w:rsid w:val="00272AA1"/>
    <w:rsid w:val="00272AA6"/>
    <w:rsid w:val="00272FDF"/>
    <w:rsid w:val="00273045"/>
    <w:rsid w:val="002739CE"/>
    <w:rsid w:val="00273A60"/>
    <w:rsid w:val="00273BA5"/>
    <w:rsid w:val="00273D4A"/>
    <w:rsid w:val="00273FB1"/>
    <w:rsid w:val="00274118"/>
    <w:rsid w:val="002742A8"/>
    <w:rsid w:val="002747D2"/>
    <w:rsid w:val="00274B9F"/>
    <w:rsid w:val="0027520C"/>
    <w:rsid w:val="00275F29"/>
    <w:rsid w:val="00276242"/>
    <w:rsid w:val="0027681D"/>
    <w:rsid w:val="00276CC4"/>
    <w:rsid w:val="002772B7"/>
    <w:rsid w:val="002778BA"/>
    <w:rsid w:val="00277EDA"/>
    <w:rsid w:val="0028091E"/>
    <w:rsid w:val="00280C9A"/>
    <w:rsid w:val="00281308"/>
    <w:rsid w:val="0028156B"/>
    <w:rsid w:val="0028188A"/>
    <w:rsid w:val="002820E1"/>
    <w:rsid w:val="00282441"/>
    <w:rsid w:val="00282559"/>
    <w:rsid w:val="00282BD5"/>
    <w:rsid w:val="00284C0E"/>
    <w:rsid w:val="00284C4A"/>
    <w:rsid w:val="002858A5"/>
    <w:rsid w:val="00285A22"/>
    <w:rsid w:val="00285B2A"/>
    <w:rsid w:val="00285CCE"/>
    <w:rsid w:val="00285E58"/>
    <w:rsid w:val="00286081"/>
    <w:rsid w:val="00286903"/>
    <w:rsid w:val="00286FAD"/>
    <w:rsid w:val="002901C7"/>
    <w:rsid w:val="00290897"/>
    <w:rsid w:val="002909DF"/>
    <w:rsid w:val="00290ECB"/>
    <w:rsid w:val="00290F0B"/>
    <w:rsid w:val="00290FE2"/>
    <w:rsid w:val="002911B0"/>
    <w:rsid w:val="00291C34"/>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57C"/>
    <w:rsid w:val="002A0B40"/>
    <w:rsid w:val="002A0E6A"/>
    <w:rsid w:val="002A0ED5"/>
    <w:rsid w:val="002A1400"/>
    <w:rsid w:val="002A1BD2"/>
    <w:rsid w:val="002A1C49"/>
    <w:rsid w:val="002A1CF5"/>
    <w:rsid w:val="002A2E12"/>
    <w:rsid w:val="002A3128"/>
    <w:rsid w:val="002A325B"/>
    <w:rsid w:val="002A3A1D"/>
    <w:rsid w:val="002A3B86"/>
    <w:rsid w:val="002A3DE3"/>
    <w:rsid w:val="002A410F"/>
    <w:rsid w:val="002A413A"/>
    <w:rsid w:val="002A41A1"/>
    <w:rsid w:val="002A4679"/>
    <w:rsid w:val="002A4FE3"/>
    <w:rsid w:val="002A5B3D"/>
    <w:rsid w:val="002A6140"/>
    <w:rsid w:val="002A6329"/>
    <w:rsid w:val="002A68A6"/>
    <w:rsid w:val="002A6A98"/>
    <w:rsid w:val="002A72C7"/>
    <w:rsid w:val="002A744D"/>
    <w:rsid w:val="002A7709"/>
    <w:rsid w:val="002A77FD"/>
    <w:rsid w:val="002A7A88"/>
    <w:rsid w:val="002A7F3C"/>
    <w:rsid w:val="002B007A"/>
    <w:rsid w:val="002B0741"/>
    <w:rsid w:val="002B07CF"/>
    <w:rsid w:val="002B0B2F"/>
    <w:rsid w:val="002B1721"/>
    <w:rsid w:val="002B17E8"/>
    <w:rsid w:val="002B1D1D"/>
    <w:rsid w:val="002B1D51"/>
    <w:rsid w:val="002B1F0F"/>
    <w:rsid w:val="002B200E"/>
    <w:rsid w:val="002B2082"/>
    <w:rsid w:val="002B25E9"/>
    <w:rsid w:val="002B26B2"/>
    <w:rsid w:val="002B2856"/>
    <w:rsid w:val="002B2E9F"/>
    <w:rsid w:val="002B360B"/>
    <w:rsid w:val="002B4005"/>
    <w:rsid w:val="002B47E9"/>
    <w:rsid w:val="002B529A"/>
    <w:rsid w:val="002B52AF"/>
    <w:rsid w:val="002B5C54"/>
    <w:rsid w:val="002B5E34"/>
    <w:rsid w:val="002B5EC2"/>
    <w:rsid w:val="002B75DB"/>
    <w:rsid w:val="002B770C"/>
    <w:rsid w:val="002B7979"/>
    <w:rsid w:val="002B7DD8"/>
    <w:rsid w:val="002B7FA9"/>
    <w:rsid w:val="002C2DA1"/>
    <w:rsid w:val="002C3050"/>
    <w:rsid w:val="002C4533"/>
    <w:rsid w:val="002C4D9F"/>
    <w:rsid w:val="002C539E"/>
    <w:rsid w:val="002C5B78"/>
    <w:rsid w:val="002C5D2B"/>
    <w:rsid w:val="002C5FF1"/>
    <w:rsid w:val="002C61B8"/>
    <w:rsid w:val="002C6511"/>
    <w:rsid w:val="002C6C03"/>
    <w:rsid w:val="002C6FF8"/>
    <w:rsid w:val="002C70AE"/>
    <w:rsid w:val="002C713E"/>
    <w:rsid w:val="002C782A"/>
    <w:rsid w:val="002C788E"/>
    <w:rsid w:val="002C7C50"/>
    <w:rsid w:val="002D1033"/>
    <w:rsid w:val="002D150D"/>
    <w:rsid w:val="002D1939"/>
    <w:rsid w:val="002D2108"/>
    <w:rsid w:val="002D2492"/>
    <w:rsid w:val="002D2A10"/>
    <w:rsid w:val="002D2C0F"/>
    <w:rsid w:val="002D2D72"/>
    <w:rsid w:val="002D2FC8"/>
    <w:rsid w:val="002D3914"/>
    <w:rsid w:val="002D420B"/>
    <w:rsid w:val="002D4678"/>
    <w:rsid w:val="002D46AC"/>
    <w:rsid w:val="002D523A"/>
    <w:rsid w:val="002D59F2"/>
    <w:rsid w:val="002D59FD"/>
    <w:rsid w:val="002D6495"/>
    <w:rsid w:val="002D65F1"/>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1E8"/>
    <w:rsid w:val="002E521B"/>
    <w:rsid w:val="002E5436"/>
    <w:rsid w:val="002E552A"/>
    <w:rsid w:val="002E558A"/>
    <w:rsid w:val="002E55AE"/>
    <w:rsid w:val="002E5888"/>
    <w:rsid w:val="002E5D38"/>
    <w:rsid w:val="002E5FF2"/>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145"/>
    <w:rsid w:val="00302AF7"/>
    <w:rsid w:val="00302F67"/>
    <w:rsid w:val="0030341D"/>
    <w:rsid w:val="0030343E"/>
    <w:rsid w:val="00303D7E"/>
    <w:rsid w:val="0030739D"/>
    <w:rsid w:val="003074ED"/>
    <w:rsid w:val="003075CB"/>
    <w:rsid w:val="00307980"/>
    <w:rsid w:val="00307E27"/>
    <w:rsid w:val="00307E5C"/>
    <w:rsid w:val="0031046E"/>
    <w:rsid w:val="0031058B"/>
    <w:rsid w:val="00311204"/>
    <w:rsid w:val="00311435"/>
    <w:rsid w:val="003114EE"/>
    <w:rsid w:val="00312159"/>
    <w:rsid w:val="00312231"/>
    <w:rsid w:val="00313317"/>
    <w:rsid w:val="00313866"/>
    <w:rsid w:val="0031409E"/>
    <w:rsid w:val="00314724"/>
    <w:rsid w:val="0031554E"/>
    <w:rsid w:val="00315678"/>
    <w:rsid w:val="00315985"/>
    <w:rsid w:val="0031627F"/>
    <w:rsid w:val="003165DE"/>
    <w:rsid w:val="00317131"/>
    <w:rsid w:val="00320124"/>
    <w:rsid w:val="003206D7"/>
    <w:rsid w:val="0032140A"/>
    <w:rsid w:val="00321A0A"/>
    <w:rsid w:val="00321B9E"/>
    <w:rsid w:val="00321FB0"/>
    <w:rsid w:val="003221EF"/>
    <w:rsid w:val="0032299D"/>
    <w:rsid w:val="003234F0"/>
    <w:rsid w:val="00323C03"/>
    <w:rsid w:val="00323CFC"/>
    <w:rsid w:val="00323FF6"/>
    <w:rsid w:val="00325307"/>
    <w:rsid w:val="00325AAA"/>
    <w:rsid w:val="003265FE"/>
    <w:rsid w:val="00326CD8"/>
    <w:rsid w:val="00327024"/>
    <w:rsid w:val="00327C04"/>
    <w:rsid w:val="00327C4E"/>
    <w:rsid w:val="00330AB6"/>
    <w:rsid w:val="00331511"/>
    <w:rsid w:val="003316A6"/>
    <w:rsid w:val="00331F7B"/>
    <w:rsid w:val="00334E07"/>
    <w:rsid w:val="00335514"/>
    <w:rsid w:val="00335964"/>
    <w:rsid w:val="00336233"/>
    <w:rsid w:val="00336A1F"/>
    <w:rsid w:val="003401D9"/>
    <w:rsid w:val="00340B9C"/>
    <w:rsid w:val="00340D6B"/>
    <w:rsid w:val="00341103"/>
    <w:rsid w:val="0034203B"/>
    <w:rsid w:val="003438C4"/>
    <w:rsid w:val="003439BB"/>
    <w:rsid w:val="00343F15"/>
    <w:rsid w:val="00344671"/>
    <w:rsid w:val="003447F8"/>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52A7"/>
    <w:rsid w:val="00356242"/>
    <w:rsid w:val="003567EF"/>
    <w:rsid w:val="00357052"/>
    <w:rsid w:val="003570E2"/>
    <w:rsid w:val="003573A3"/>
    <w:rsid w:val="00357F0D"/>
    <w:rsid w:val="003605D2"/>
    <w:rsid w:val="0036165E"/>
    <w:rsid w:val="00362D12"/>
    <w:rsid w:val="00362DCF"/>
    <w:rsid w:val="003632A3"/>
    <w:rsid w:val="00363AB8"/>
    <w:rsid w:val="00364AA6"/>
    <w:rsid w:val="00365402"/>
    <w:rsid w:val="003665AD"/>
    <w:rsid w:val="003668E8"/>
    <w:rsid w:val="00367434"/>
    <w:rsid w:val="00367491"/>
    <w:rsid w:val="003677D2"/>
    <w:rsid w:val="00367992"/>
    <w:rsid w:val="003705D0"/>
    <w:rsid w:val="00370D98"/>
    <w:rsid w:val="00371001"/>
    <w:rsid w:val="00371F32"/>
    <w:rsid w:val="003720BD"/>
    <w:rsid w:val="003725A9"/>
    <w:rsid w:val="00372683"/>
    <w:rsid w:val="003739F9"/>
    <w:rsid w:val="003746BC"/>
    <w:rsid w:val="0037492E"/>
    <w:rsid w:val="00374B7B"/>
    <w:rsid w:val="00374BD7"/>
    <w:rsid w:val="003752F4"/>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C46"/>
    <w:rsid w:val="00391806"/>
    <w:rsid w:val="0039254D"/>
    <w:rsid w:val="0039340F"/>
    <w:rsid w:val="00393A9D"/>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2D10"/>
    <w:rsid w:val="003A2FEB"/>
    <w:rsid w:val="003A3596"/>
    <w:rsid w:val="003A3D0E"/>
    <w:rsid w:val="003A45EF"/>
    <w:rsid w:val="003A4B04"/>
    <w:rsid w:val="003A4B3B"/>
    <w:rsid w:val="003A5FC9"/>
    <w:rsid w:val="003A6085"/>
    <w:rsid w:val="003A67E4"/>
    <w:rsid w:val="003A685F"/>
    <w:rsid w:val="003A6A2E"/>
    <w:rsid w:val="003A6FAE"/>
    <w:rsid w:val="003A72A9"/>
    <w:rsid w:val="003A7BF4"/>
    <w:rsid w:val="003B08C8"/>
    <w:rsid w:val="003B0B2A"/>
    <w:rsid w:val="003B18BD"/>
    <w:rsid w:val="003B1AA3"/>
    <w:rsid w:val="003B1B20"/>
    <w:rsid w:val="003B1B62"/>
    <w:rsid w:val="003B2B5E"/>
    <w:rsid w:val="003B2F45"/>
    <w:rsid w:val="003B3117"/>
    <w:rsid w:val="003B39D3"/>
    <w:rsid w:val="003B3A3B"/>
    <w:rsid w:val="003B3B25"/>
    <w:rsid w:val="003B3E2E"/>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D02BE"/>
    <w:rsid w:val="003D0436"/>
    <w:rsid w:val="003D0838"/>
    <w:rsid w:val="003D16E2"/>
    <w:rsid w:val="003D1745"/>
    <w:rsid w:val="003D29B7"/>
    <w:rsid w:val="003D3263"/>
    <w:rsid w:val="003D35F7"/>
    <w:rsid w:val="003D361C"/>
    <w:rsid w:val="003D3880"/>
    <w:rsid w:val="003D38D6"/>
    <w:rsid w:val="003D4022"/>
    <w:rsid w:val="003D4173"/>
    <w:rsid w:val="003D428A"/>
    <w:rsid w:val="003D457E"/>
    <w:rsid w:val="003D4F7B"/>
    <w:rsid w:val="003D54B0"/>
    <w:rsid w:val="003D7FD3"/>
    <w:rsid w:val="003E0AD1"/>
    <w:rsid w:val="003E0C4A"/>
    <w:rsid w:val="003E0E6C"/>
    <w:rsid w:val="003E0EF6"/>
    <w:rsid w:val="003E11A9"/>
    <w:rsid w:val="003E1585"/>
    <w:rsid w:val="003E161B"/>
    <w:rsid w:val="003E1AA9"/>
    <w:rsid w:val="003E1F6C"/>
    <w:rsid w:val="003E28D9"/>
    <w:rsid w:val="003E3196"/>
    <w:rsid w:val="003E3A58"/>
    <w:rsid w:val="003E3CAF"/>
    <w:rsid w:val="003E3CDB"/>
    <w:rsid w:val="003E4439"/>
    <w:rsid w:val="003E44C4"/>
    <w:rsid w:val="003E4710"/>
    <w:rsid w:val="003E4777"/>
    <w:rsid w:val="003E4859"/>
    <w:rsid w:val="003E48C5"/>
    <w:rsid w:val="003E4909"/>
    <w:rsid w:val="003E5159"/>
    <w:rsid w:val="003E57B0"/>
    <w:rsid w:val="003E57DA"/>
    <w:rsid w:val="003E5B46"/>
    <w:rsid w:val="003E65D5"/>
    <w:rsid w:val="003E698C"/>
    <w:rsid w:val="003E6C0C"/>
    <w:rsid w:val="003E70A0"/>
    <w:rsid w:val="003E77D3"/>
    <w:rsid w:val="003F07EB"/>
    <w:rsid w:val="003F0DE5"/>
    <w:rsid w:val="003F19A6"/>
    <w:rsid w:val="003F19B9"/>
    <w:rsid w:val="003F2694"/>
    <w:rsid w:val="003F2BDA"/>
    <w:rsid w:val="003F2F80"/>
    <w:rsid w:val="003F2FB8"/>
    <w:rsid w:val="003F38B3"/>
    <w:rsid w:val="003F3D98"/>
    <w:rsid w:val="003F505E"/>
    <w:rsid w:val="003F557B"/>
    <w:rsid w:val="003F5700"/>
    <w:rsid w:val="003F5E48"/>
    <w:rsid w:val="003F6214"/>
    <w:rsid w:val="003F6BD6"/>
    <w:rsid w:val="003F71DA"/>
    <w:rsid w:val="003F769B"/>
    <w:rsid w:val="00400989"/>
    <w:rsid w:val="00401444"/>
    <w:rsid w:val="00401D3E"/>
    <w:rsid w:val="00401F8F"/>
    <w:rsid w:val="00402837"/>
    <w:rsid w:val="0040420D"/>
    <w:rsid w:val="004047A7"/>
    <w:rsid w:val="0040536B"/>
    <w:rsid w:val="004054C0"/>
    <w:rsid w:val="00405823"/>
    <w:rsid w:val="004061FD"/>
    <w:rsid w:val="00410E15"/>
    <w:rsid w:val="004113F3"/>
    <w:rsid w:val="004120D6"/>
    <w:rsid w:val="0041251F"/>
    <w:rsid w:val="00412BC7"/>
    <w:rsid w:val="004130F1"/>
    <w:rsid w:val="00413B96"/>
    <w:rsid w:val="00414124"/>
    <w:rsid w:val="00414D82"/>
    <w:rsid w:val="0041527B"/>
    <w:rsid w:val="004152C0"/>
    <w:rsid w:val="0041534A"/>
    <w:rsid w:val="00415C54"/>
    <w:rsid w:val="00415E7C"/>
    <w:rsid w:val="004161F3"/>
    <w:rsid w:val="004162D7"/>
    <w:rsid w:val="004169AC"/>
    <w:rsid w:val="00416FD9"/>
    <w:rsid w:val="00417708"/>
    <w:rsid w:val="00417ADC"/>
    <w:rsid w:val="00417AF8"/>
    <w:rsid w:val="00421961"/>
    <w:rsid w:val="00421B08"/>
    <w:rsid w:val="00422D66"/>
    <w:rsid w:val="004231F5"/>
    <w:rsid w:val="004237DE"/>
    <w:rsid w:val="00423A37"/>
    <w:rsid w:val="004246BC"/>
    <w:rsid w:val="00424857"/>
    <w:rsid w:val="00424FB9"/>
    <w:rsid w:val="00425375"/>
    <w:rsid w:val="0042546B"/>
    <w:rsid w:val="004258FC"/>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910"/>
    <w:rsid w:val="00433E18"/>
    <w:rsid w:val="004341D1"/>
    <w:rsid w:val="00436DF6"/>
    <w:rsid w:val="00436FEE"/>
    <w:rsid w:val="00437132"/>
    <w:rsid w:val="00437615"/>
    <w:rsid w:val="00437667"/>
    <w:rsid w:val="00437786"/>
    <w:rsid w:val="00437B0B"/>
    <w:rsid w:val="00437D93"/>
    <w:rsid w:val="004409B1"/>
    <w:rsid w:val="00440C52"/>
    <w:rsid w:val="00440C8A"/>
    <w:rsid w:val="004410E1"/>
    <w:rsid w:val="0044132E"/>
    <w:rsid w:val="00441ACE"/>
    <w:rsid w:val="00443539"/>
    <w:rsid w:val="00444236"/>
    <w:rsid w:val="00444568"/>
    <w:rsid w:val="00444DFF"/>
    <w:rsid w:val="00444E36"/>
    <w:rsid w:val="00445252"/>
    <w:rsid w:val="004455FE"/>
    <w:rsid w:val="00446539"/>
    <w:rsid w:val="0044731A"/>
    <w:rsid w:val="00447E84"/>
    <w:rsid w:val="00450789"/>
    <w:rsid w:val="00451AC1"/>
    <w:rsid w:val="00452223"/>
    <w:rsid w:val="00452854"/>
    <w:rsid w:val="00452CD2"/>
    <w:rsid w:val="00453017"/>
    <w:rsid w:val="004534D3"/>
    <w:rsid w:val="0045379B"/>
    <w:rsid w:val="004537E6"/>
    <w:rsid w:val="0045456A"/>
    <w:rsid w:val="00454E4E"/>
    <w:rsid w:val="004558AA"/>
    <w:rsid w:val="00456540"/>
    <w:rsid w:val="0045654C"/>
    <w:rsid w:val="00456A47"/>
    <w:rsid w:val="00456A67"/>
    <w:rsid w:val="00456BEF"/>
    <w:rsid w:val="00457159"/>
    <w:rsid w:val="004573FE"/>
    <w:rsid w:val="004606CC"/>
    <w:rsid w:val="00461138"/>
    <w:rsid w:val="00461548"/>
    <w:rsid w:val="00461971"/>
    <w:rsid w:val="00461B47"/>
    <w:rsid w:val="00461D90"/>
    <w:rsid w:val="0046222D"/>
    <w:rsid w:val="00462957"/>
    <w:rsid w:val="00462B7A"/>
    <w:rsid w:val="00463077"/>
    <w:rsid w:val="004630BB"/>
    <w:rsid w:val="004640A5"/>
    <w:rsid w:val="00464353"/>
    <w:rsid w:val="00464F7A"/>
    <w:rsid w:val="004654FF"/>
    <w:rsid w:val="0046596A"/>
    <w:rsid w:val="0046597D"/>
    <w:rsid w:val="00465E30"/>
    <w:rsid w:val="004663B9"/>
    <w:rsid w:val="0046666E"/>
    <w:rsid w:val="00466D65"/>
    <w:rsid w:val="004673C9"/>
    <w:rsid w:val="004674FC"/>
    <w:rsid w:val="00467784"/>
    <w:rsid w:val="00467C98"/>
    <w:rsid w:val="00467D58"/>
    <w:rsid w:val="00470C2E"/>
    <w:rsid w:val="00470E4B"/>
    <w:rsid w:val="00471231"/>
    <w:rsid w:val="00471516"/>
    <w:rsid w:val="00471629"/>
    <w:rsid w:val="004717DB"/>
    <w:rsid w:val="004719C3"/>
    <w:rsid w:val="00471E6F"/>
    <w:rsid w:val="0047256C"/>
    <w:rsid w:val="004733F0"/>
    <w:rsid w:val="00473628"/>
    <w:rsid w:val="004736EA"/>
    <w:rsid w:val="00473805"/>
    <w:rsid w:val="00473927"/>
    <w:rsid w:val="00474C73"/>
    <w:rsid w:val="00474F87"/>
    <w:rsid w:val="00475422"/>
    <w:rsid w:val="00475478"/>
    <w:rsid w:val="00475AA9"/>
    <w:rsid w:val="00475CE6"/>
    <w:rsid w:val="00477031"/>
    <w:rsid w:val="00477668"/>
    <w:rsid w:val="00477E2A"/>
    <w:rsid w:val="00480771"/>
    <w:rsid w:val="0048083A"/>
    <w:rsid w:val="00481956"/>
    <w:rsid w:val="004832F8"/>
    <w:rsid w:val="004834DA"/>
    <w:rsid w:val="00483C63"/>
    <w:rsid w:val="00484A83"/>
    <w:rsid w:val="004851E5"/>
    <w:rsid w:val="004853F1"/>
    <w:rsid w:val="004854BD"/>
    <w:rsid w:val="004860C6"/>
    <w:rsid w:val="004867C8"/>
    <w:rsid w:val="00487B59"/>
    <w:rsid w:val="00487D94"/>
    <w:rsid w:val="00490074"/>
    <w:rsid w:val="0049028B"/>
    <w:rsid w:val="004903AA"/>
    <w:rsid w:val="00490729"/>
    <w:rsid w:val="00490B93"/>
    <w:rsid w:val="00490BDB"/>
    <w:rsid w:val="0049135C"/>
    <w:rsid w:val="004917AD"/>
    <w:rsid w:val="004928DF"/>
    <w:rsid w:val="00492B2E"/>
    <w:rsid w:val="00493256"/>
    <w:rsid w:val="00493E0B"/>
    <w:rsid w:val="0049401A"/>
    <w:rsid w:val="00494B31"/>
    <w:rsid w:val="00494CD6"/>
    <w:rsid w:val="004952DB"/>
    <w:rsid w:val="00495719"/>
    <w:rsid w:val="00495DEF"/>
    <w:rsid w:val="00496564"/>
    <w:rsid w:val="00497BEE"/>
    <w:rsid w:val="004A0EE0"/>
    <w:rsid w:val="004A1700"/>
    <w:rsid w:val="004A23FE"/>
    <w:rsid w:val="004A297C"/>
    <w:rsid w:val="004A2E8B"/>
    <w:rsid w:val="004A4045"/>
    <w:rsid w:val="004A4410"/>
    <w:rsid w:val="004A4B2F"/>
    <w:rsid w:val="004A5165"/>
    <w:rsid w:val="004A52E4"/>
    <w:rsid w:val="004A53EB"/>
    <w:rsid w:val="004A5A6B"/>
    <w:rsid w:val="004A5F50"/>
    <w:rsid w:val="004A6294"/>
    <w:rsid w:val="004A7055"/>
    <w:rsid w:val="004A778A"/>
    <w:rsid w:val="004A7ACB"/>
    <w:rsid w:val="004A7BDC"/>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602C"/>
    <w:rsid w:val="004B64E9"/>
    <w:rsid w:val="004B6917"/>
    <w:rsid w:val="004B6D28"/>
    <w:rsid w:val="004B6F7E"/>
    <w:rsid w:val="004B7A6D"/>
    <w:rsid w:val="004B7FC2"/>
    <w:rsid w:val="004C022F"/>
    <w:rsid w:val="004C07BB"/>
    <w:rsid w:val="004C162A"/>
    <w:rsid w:val="004C3945"/>
    <w:rsid w:val="004C4AE8"/>
    <w:rsid w:val="004C5264"/>
    <w:rsid w:val="004C6AA6"/>
    <w:rsid w:val="004C6B93"/>
    <w:rsid w:val="004C7DDC"/>
    <w:rsid w:val="004D03FA"/>
    <w:rsid w:val="004D042C"/>
    <w:rsid w:val="004D08B3"/>
    <w:rsid w:val="004D09D3"/>
    <w:rsid w:val="004D0F3B"/>
    <w:rsid w:val="004D11AE"/>
    <w:rsid w:val="004D16A1"/>
    <w:rsid w:val="004D1882"/>
    <w:rsid w:val="004D242F"/>
    <w:rsid w:val="004D2D3B"/>
    <w:rsid w:val="004D33D5"/>
    <w:rsid w:val="004D39AE"/>
    <w:rsid w:val="004D4989"/>
    <w:rsid w:val="004D505D"/>
    <w:rsid w:val="004D529C"/>
    <w:rsid w:val="004D54B0"/>
    <w:rsid w:val="004D5808"/>
    <w:rsid w:val="004D5CA8"/>
    <w:rsid w:val="004D70E0"/>
    <w:rsid w:val="004D756D"/>
    <w:rsid w:val="004D7B8C"/>
    <w:rsid w:val="004D7D03"/>
    <w:rsid w:val="004E0313"/>
    <w:rsid w:val="004E037D"/>
    <w:rsid w:val="004E03DD"/>
    <w:rsid w:val="004E05B5"/>
    <w:rsid w:val="004E05DF"/>
    <w:rsid w:val="004E0A53"/>
    <w:rsid w:val="004E12F4"/>
    <w:rsid w:val="004E1A26"/>
    <w:rsid w:val="004E209F"/>
    <w:rsid w:val="004E23D4"/>
    <w:rsid w:val="004E2556"/>
    <w:rsid w:val="004E2DD7"/>
    <w:rsid w:val="004E2F98"/>
    <w:rsid w:val="004E2FD0"/>
    <w:rsid w:val="004E3DBF"/>
    <w:rsid w:val="004E4BBB"/>
    <w:rsid w:val="004E508D"/>
    <w:rsid w:val="004E6139"/>
    <w:rsid w:val="004E701C"/>
    <w:rsid w:val="004E77AE"/>
    <w:rsid w:val="004E7C2F"/>
    <w:rsid w:val="004F015C"/>
    <w:rsid w:val="004F0661"/>
    <w:rsid w:val="004F0A30"/>
    <w:rsid w:val="004F10AC"/>
    <w:rsid w:val="004F10D1"/>
    <w:rsid w:val="004F1D0C"/>
    <w:rsid w:val="004F207A"/>
    <w:rsid w:val="004F2F09"/>
    <w:rsid w:val="004F3CDF"/>
    <w:rsid w:val="004F4189"/>
    <w:rsid w:val="004F46F2"/>
    <w:rsid w:val="004F4B32"/>
    <w:rsid w:val="004F4BD8"/>
    <w:rsid w:val="004F4D71"/>
    <w:rsid w:val="004F4DE5"/>
    <w:rsid w:val="004F4EC4"/>
    <w:rsid w:val="004F517F"/>
    <w:rsid w:val="004F5286"/>
    <w:rsid w:val="004F54D6"/>
    <w:rsid w:val="004F5812"/>
    <w:rsid w:val="004F5883"/>
    <w:rsid w:val="004F5B1C"/>
    <w:rsid w:val="004F6516"/>
    <w:rsid w:val="004F6672"/>
    <w:rsid w:val="004F6820"/>
    <w:rsid w:val="004F770C"/>
    <w:rsid w:val="005000C0"/>
    <w:rsid w:val="005000CF"/>
    <w:rsid w:val="005009FD"/>
    <w:rsid w:val="00500E03"/>
    <w:rsid w:val="005013B4"/>
    <w:rsid w:val="00501513"/>
    <w:rsid w:val="005019B2"/>
    <w:rsid w:val="005024AC"/>
    <w:rsid w:val="005032FC"/>
    <w:rsid w:val="00503D7E"/>
    <w:rsid w:val="005060C7"/>
    <w:rsid w:val="005060E1"/>
    <w:rsid w:val="005071E2"/>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EF"/>
    <w:rsid w:val="00522249"/>
    <w:rsid w:val="0052224A"/>
    <w:rsid w:val="005236A0"/>
    <w:rsid w:val="00523BC0"/>
    <w:rsid w:val="005252BC"/>
    <w:rsid w:val="00525A48"/>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089"/>
    <w:rsid w:val="00535AE5"/>
    <w:rsid w:val="00535D3F"/>
    <w:rsid w:val="00536053"/>
    <w:rsid w:val="005360F7"/>
    <w:rsid w:val="00536353"/>
    <w:rsid w:val="00536973"/>
    <w:rsid w:val="005400B6"/>
    <w:rsid w:val="005406A6"/>
    <w:rsid w:val="00540C70"/>
    <w:rsid w:val="005413B7"/>
    <w:rsid w:val="0054205E"/>
    <w:rsid w:val="00542260"/>
    <w:rsid w:val="005429D6"/>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809"/>
    <w:rsid w:val="00556E90"/>
    <w:rsid w:val="00557403"/>
    <w:rsid w:val="005576D0"/>
    <w:rsid w:val="00557E59"/>
    <w:rsid w:val="005608AF"/>
    <w:rsid w:val="00560F19"/>
    <w:rsid w:val="005614A1"/>
    <w:rsid w:val="005615FB"/>
    <w:rsid w:val="005619CC"/>
    <w:rsid w:val="005621C7"/>
    <w:rsid w:val="005622B9"/>
    <w:rsid w:val="0056241B"/>
    <w:rsid w:val="00562DA0"/>
    <w:rsid w:val="00562EE1"/>
    <w:rsid w:val="00563481"/>
    <w:rsid w:val="00563E89"/>
    <w:rsid w:val="0056445A"/>
    <w:rsid w:val="005652A6"/>
    <w:rsid w:val="005654AB"/>
    <w:rsid w:val="005671DE"/>
    <w:rsid w:val="0056780A"/>
    <w:rsid w:val="00567AEB"/>
    <w:rsid w:val="00567E86"/>
    <w:rsid w:val="005700D5"/>
    <w:rsid w:val="0057011B"/>
    <w:rsid w:val="005719E1"/>
    <w:rsid w:val="00571B0E"/>
    <w:rsid w:val="00571B93"/>
    <w:rsid w:val="0057209F"/>
    <w:rsid w:val="005722B1"/>
    <w:rsid w:val="005724A7"/>
    <w:rsid w:val="00572876"/>
    <w:rsid w:val="00572E1C"/>
    <w:rsid w:val="005732D4"/>
    <w:rsid w:val="0057350F"/>
    <w:rsid w:val="00573723"/>
    <w:rsid w:val="00573D54"/>
    <w:rsid w:val="00574199"/>
    <w:rsid w:val="005748DD"/>
    <w:rsid w:val="00574A82"/>
    <w:rsid w:val="00574AC1"/>
    <w:rsid w:val="00575213"/>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C9F"/>
    <w:rsid w:val="0058764D"/>
    <w:rsid w:val="0058778F"/>
    <w:rsid w:val="0058789D"/>
    <w:rsid w:val="005878F1"/>
    <w:rsid w:val="00587B5C"/>
    <w:rsid w:val="00590682"/>
    <w:rsid w:val="00590A32"/>
    <w:rsid w:val="005926CF"/>
    <w:rsid w:val="0059271B"/>
    <w:rsid w:val="005930DC"/>
    <w:rsid w:val="0059317B"/>
    <w:rsid w:val="0059324A"/>
    <w:rsid w:val="00593DF2"/>
    <w:rsid w:val="00593F9E"/>
    <w:rsid w:val="00594A83"/>
    <w:rsid w:val="00595F6B"/>
    <w:rsid w:val="00596135"/>
    <w:rsid w:val="005961EE"/>
    <w:rsid w:val="00596373"/>
    <w:rsid w:val="005967E1"/>
    <w:rsid w:val="00596985"/>
    <w:rsid w:val="00596AAD"/>
    <w:rsid w:val="0059705D"/>
    <w:rsid w:val="005975BE"/>
    <w:rsid w:val="005977CA"/>
    <w:rsid w:val="005A0858"/>
    <w:rsid w:val="005A20F0"/>
    <w:rsid w:val="005A3671"/>
    <w:rsid w:val="005A398B"/>
    <w:rsid w:val="005A3EB8"/>
    <w:rsid w:val="005A42CD"/>
    <w:rsid w:val="005A46CE"/>
    <w:rsid w:val="005A474A"/>
    <w:rsid w:val="005A499F"/>
    <w:rsid w:val="005A4EBE"/>
    <w:rsid w:val="005A5191"/>
    <w:rsid w:val="005A537B"/>
    <w:rsid w:val="005A5AE1"/>
    <w:rsid w:val="005A68D8"/>
    <w:rsid w:val="005A708A"/>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67C"/>
    <w:rsid w:val="005B4DA0"/>
    <w:rsid w:val="005B4FC9"/>
    <w:rsid w:val="005B5035"/>
    <w:rsid w:val="005B52B9"/>
    <w:rsid w:val="005B58AF"/>
    <w:rsid w:val="005B656C"/>
    <w:rsid w:val="005B67A5"/>
    <w:rsid w:val="005B77C2"/>
    <w:rsid w:val="005B7FA5"/>
    <w:rsid w:val="005C0171"/>
    <w:rsid w:val="005C0326"/>
    <w:rsid w:val="005C0ABA"/>
    <w:rsid w:val="005C1561"/>
    <w:rsid w:val="005C2247"/>
    <w:rsid w:val="005C2473"/>
    <w:rsid w:val="005C2DCD"/>
    <w:rsid w:val="005C330B"/>
    <w:rsid w:val="005C3A4F"/>
    <w:rsid w:val="005C474A"/>
    <w:rsid w:val="005C4867"/>
    <w:rsid w:val="005C4949"/>
    <w:rsid w:val="005C4ED1"/>
    <w:rsid w:val="005C5D2C"/>
    <w:rsid w:val="005C6799"/>
    <w:rsid w:val="005C69A2"/>
    <w:rsid w:val="005C6E85"/>
    <w:rsid w:val="005C6F1F"/>
    <w:rsid w:val="005C71B0"/>
    <w:rsid w:val="005C7B9C"/>
    <w:rsid w:val="005D0220"/>
    <w:rsid w:val="005D02ED"/>
    <w:rsid w:val="005D08A9"/>
    <w:rsid w:val="005D0A10"/>
    <w:rsid w:val="005D0B34"/>
    <w:rsid w:val="005D0B4D"/>
    <w:rsid w:val="005D0CA8"/>
    <w:rsid w:val="005D1F82"/>
    <w:rsid w:val="005D447B"/>
    <w:rsid w:val="005D451C"/>
    <w:rsid w:val="005D49E4"/>
    <w:rsid w:val="005D4EF3"/>
    <w:rsid w:val="005D651C"/>
    <w:rsid w:val="005D7058"/>
    <w:rsid w:val="005D7889"/>
    <w:rsid w:val="005E019F"/>
    <w:rsid w:val="005E0424"/>
    <w:rsid w:val="005E0751"/>
    <w:rsid w:val="005E0C13"/>
    <w:rsid w:val="005E0F3A"/>
    <w:rsid w:val="005E1222"/>
    <w:rsid w:val="005E12A7"/>
    <w:rsid w:val="005E1363"/>
    <w:rsid w:val="005E1473"/>
    <w:rsid w:val="005E17FE"/>
    <w:rsid w:val="005E20C7"/>
    <w:rsid w:val="005E225C"/>
    <w:rsid w:val="005E311E"/>
    <w:rsid w:val="005E31D7"/>
    <w:rsid w:val="005E36CA"/>
    <w:rsid w:val="005E37E4"/>
    <w:rsid w:val="005E53F0"/>
    <w:rsid w:val="005E606D"/>
    <w:rsid w:val="005E6378"/>
    <w:rsid w:val="005E701B"/>
    <w:rsid w:val="005E7898"/>
    <w:rsid w:val="005F08DF"/>
    <w:rsid w:val="005F14B8"/>
    <w:rsid w:val="005F1634"/>
    <w:rsid w:val="005F175C"/>
    <w:rsid w:val="005F1A7C"/>
    <w:rsid w:val="005F1CA1"/>
    <w:rsid w:val="005F23E8"/>
    <w:rsid w:val="005F245B"/>
    <w:rsid w:val="005F298B"/>
    <w:rsid w:val="005F2B6E"/>
    <w:rsid w:val="005F3094"/>
    <w:rsid w:val="005F32EE"/>
    <w:rsid w:val="005F345E"/>
    <w:rsid w:val="005F3C04"/>
    <w:rsid w:val="005F3F49"/>
    <w:rsid w:val="005F44DC"/>
    <w:rsid w:val="005F4CB6"/>
    <w:rsid w:val="005F509C"/>
    <w:rsid w:val="005F5371"/>
    <w:rsid w:val="005F549E"/>
    <w:rsid w:val="005F57D5"/>
    <w:rsid w:val="005F5A1C"/>
    <w:rsid w:val="005F5C4A"/>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37F6"/>
    <w:rsid w:val="00603DB7"/>
    <w:rsid w:val="00603E3A"/>
    <w:rsid w:val="0060433B"/>
    <w:rsid w:val="00604AE9"/>
    <w:rsid w:val="006051C3"/>
    <w:rsid w:val="00605764"/>
    <w:rsid w:val="00605D0E"/>
    <w:rsid w:val="006066F9"/>
    <w:rsid w:val="00607D99"/>
    <w:rsid w:val="00607F8C"/>
    <w:rsid w:val="0061003A"/>
    <w:rsid w:val="006102BD"/>
    <w:rsid w:val="00610FC7"/>
    <w:rsid w:val="006128EE"/>
    <w:rsid w:val="0061379C"/>
    <w:rsid w:val="00613B22"/>
    <w:rsid w:val="00613D32"/>
    <w:rsid w:val="00614946"/>
    <w:rsid w:val="00615359"/>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BA4"/>
    <w:rsid w:val="00634E1D"/>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E5"/>
    <w:rsid w:val="00642C5E"/>
    <w:rsid w:val="00642D40"/>
    <w:rsid w:val="00643066"/>
    <w:rsid w:val="00643259"/>
    <w:rsid w:val="006434CA"/>
    <w:rsid w:val="00643983"/>
    <w:rsid w:val="00643D6F"/>
    <w:rsid w:val="0064449A"/>
    <w:rsid w:val="0064468C"/>
    <w:rsid w:val="0064557F"/>
    <w:rsid w:val="0064586C"/>
    <w:rsid w:val="00645AEE"/>
    <w:rsid w:val="006467D4"/>
    <w:rsid w:val="00646CEE"/>
    <w:rsid w:val="0064744F"/>
    <w:rsid w:val="0065037B"/>
    <w:rsid w:val="0065409B"/>
    <w:rsid w:val="00654D83"/>
    <w:rsid w:val="00654DAE"/>
    <w:rsid w:val="00655E6A"/>
    <w:rsid w:val="00656007"/>
    <w:rsid w:val="006564A5"/>
    <w:rsid w:val="00656D98"/>
    <w:rsid w:val="0065715D"/>
    <w:rsid w:val="00657376"/>
    <w:rsid w:val="00657F81"/>
    <w:rsid w:val="00660A59"/>
    <w:rsid w:val="00660ACC"/>
    <w:rsid w:val="00661605"/>
    <w:rsid w:val="006616BC"/>
    <w:rsid w:val="00661E90"/>
    <w:rsid w:val="00662263"/>
    <w:rsid w:val="00662705"/>
    <w:rsid w:val="00663156"/>
    <w:rsid w:val="00663EE1"/>
    <w:rsid w:val="00664F4A"/>
    <w:rsid w:val="0066589A"/>
    <w:rsid w:val="00665B6C"/>
    <w:rsid w:val="00666424"/>
    <w:rsid w:val="006668C0"/>
    <w:rsid w:val="00666E4D"/>
    <w:rsid w:val="006678F8"/>
    <w:rsid w:val="00670358"/>
    <w:rsid w:val="00670956"/>
    <w:rsid w:val="00670F8C"/>
    <w:rsid w:val="00671EB3"/>
    <w:rsid w:val="00672C58"/>
    <w:rsid w:val="0067315D"/>
    <w:rsid w:val="006732A1"/>
    <w:rsid w:val="006738D5"/>
    <w:rsid w:val="00673F52"/>
    <w:rsid w:val="00674520"/>
    <w:rsid w:val="00674625"/>
    <w:rsid w:val="006747FA"/>
    <w:rsid w:val="00674838"/>
    <w:rsid w:val="00675004"/>
    <w:rsid w:val="00675224"/>
    <w:rsid w:val="00675569"/>
    <w:rsid w:val="006756D8"/>
    <w:rsid w:val="00675806"/>
    <w:rsid w:val="00675FC5"/>
    <w:rsid w:val="006760A9"/>
    <w:rsid w:val="006765FC"/>
    <w:rsid w:val="006773D2"/>
    <w:rsid w:val="006777E6"/>
    <w:rsid w:val="00680DE5"/>
    <w:rsid w:val="006816DB"/>
    <w:rsid w:val="0068182C"/>
    <w:rsid w:val="00681EF4"/>
    <w:rsid w:val="00681F8A"/>
    <w:rsid w:val="0068205F"/>
    <w:rsid w:val="00682CA5"/>
    <w:rsid w:val="00683633"/>
    <w:rsid w:val="00683ADA"/>
    <w:rsid w:val="00683D71"/>
    <w:rsid w:val="00684074"/>
    <w:rsid w:val="00684292"/>
    <w:rsid w:val="00684B7F"/>
    <w:rsid w:val="00684BFE"/>
    <w:rsid w:val="00684E8E"/>
    <w:rsid w:val="00684ECD"/>
    <w:rsid w:val="00685243"/>
    <w:rsid w:val="0068668A"/>
    <w:rsid w:val="00686CAC"/>
    <w:rsid w:val="00686F7D"/>
    <w:rsid w:val="0068764A"/>
    <w:rsid w:val="00690579"/>
    <w:rsid w:val="0069207E"/>
    <w:rsid w:val="00692196"/>
    <w:rsid w:val="00692672"/>
    <w:rsid w:val="00692F7E"/>
    <w:rsid w:val="00693883"/>
    <w:rsid w:val="0069412C"/>
    <w:rsid w:val="0069419F"/>
    <w:rsid w:val="00694719"/>
    <w:rsid w:val="006953CE"/>
    <w:rsid w:val="00695914"/>
    <w:rsid w:val="006961B3"/>
    <w:rsid w:val="00697005"/>
    <w:rsid w:val="0069703F"/>
    <w:rsid w:val="006A072D"/>
    <w:rsid w:val="006A0F85"/>
    <w:rsid w:val="006A1686"/>
    <w:rsid w:val="006A1F57"/>
    <w:rsid w:val="006A2A7C"/>
    <w:rsid w:val="006A2F0A"/>
    <w:rsid w:val="006A3A01"/>
    <w:rsid w:val="006A3AAC"/>
    <w:rsid w:val="006A3AB3"/>
    <w:rsid w:val="006A4076"/>
    <w:rsid w:val="006A4B70"/>
    <w:rsid w:val="006A4C6A"/>
    <w:rsid w:val="006A580F"/>
    <w:rsid w:val="006A5FA5"/>
    <w:rsid w:val="006A6240"/>
    <w:rsid w:val="006A65FF"/>
    <w:rsid w:val="006A7B91"/>
    <w:rsid w:val="006A7D38"/>
    <w:rsid w:val="006A7F12"/>
    <w:rsid w:val="006B02F4"/>
    <w:rsid w:val="006B0ECC"/>
    <w:rsid w:val="006B1101"/>
    <w:rsid w:val="006B114B"/>
    <w:rsid w:val="006B130B"/>
    <w:rsid w:val="006B1A05"/>
    <w:rsid w:val="006B21AD"/>
    <w:rsid w:val="006B2723"/>
    <w:rsid w:val="006B28E7"/>
    <w:rsid w:val="006B383D"/>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33B"/>
    <w:rsid w:val="006C21BC"/>
    <w:rsid w:val="006C2ED7"/>
    <w:rsid w:val="006C2FCF"/>
    <w:rsid w:val="006C2FDE"/>
    <w:rsid w:val="006C309E"/>
    <w:rsid w:val="006C34A8"/>
    <w:rsid w:val="006C39C3"/>
    <w:rsid w:val="006C4AFA"/>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40FC"/>
    <w:rsid w:val="006D4EDD"/>
    <w:rsid w:val="006D4EFE"/>
    <w:rsid w:val="006D5187"/>
    <w:rsid w:val="006D51AD"/>
    <w:rsid w:val="006D6846"/>
    <w:rsid w:val="006D6C36"/>
    <w:rsid w:val="006D723A"/>
    <w:rsid w:val="006D7744"/>
    <w:rsid w:val="006D7ED4"/>
    <w:rsid w:val="006E0400"/>
    <w:rsid w:val="006E1040"/>
    <w:rsid w:val="006E14E0"/>
    <w:rsid w:val="006E1B0B"/>
    <w:rsid w:val="006E2089"/>
    <w:rsid w:val="006E2A62"/>
    <w:rsid w:val="006E2DF5"/>
    <w:rsid w:val="006E2F8E"/>
    <w:rsid w:val="006E3177"/>
    <w:rsid w:val="006E3A5C"/>
    <w:rsid w:val="006E4D05"/>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3EEB"/>
    <w:rsid w:val="006F4E1D"/>
    <w:rsid w:val="006F5275"/>
    <w:rsid w:val="006F57E5"/>
    <w:rsid w:val="006F5FCC"/>
    <w:rsid w:val="006F6A2C"/>
    <w:rsid w:val="006F74AB"/>
    <w:rsid w:val="006F789F"/>
    <w:rsid w:val="006F7D21"/>
    <w:rsid w:val="00700376"/>
    <w:rsid w:val="00700B52"/>
    <w:rsid w:val="00701EF0"/>
    <w:rsid w:val="00702734"/>
    <w:rsid w:val="007027E3"/>
    <w:rsid w:val="00702A53"/>
    <w:rsid w:val="00702AFB"/>
    <w:rsid w:val="00703726"/>
    <w:rsid w:val="0070372C"/>
    <w:rsid w:val="00703E7C"/>
    <w:rsid w:val="00704660"/>
    <w:rsid w:val="00704831"/>
    <w:rsid w:val="007057E2"/>
    <w:rsid w:val="00705EB2"/>
    <w:rsid w:val="0070658C"/>
    <w:rsid w:val="00706922"/>
    <w:rsid w:val="00706B8A"/>
    <w:rsid w:val="0070796A"/>
    <w:rsid w:val="00710790"/>
    <w:rsid w:val="00710D3E"/>
    <w:rsid w:val="007113C6"/>
    <w:rsid w:val="007118A5"/>
    <w:rsid w:val="007120F1"/>
    <w:rsid w:val="0071292F"/>
    <w:rsid w:val="00712BDE"/>
    <w:rsid w:val="00713129"/>
    <w:rsid w:val="00713379"/>
    <w:rsid w:val="00713793"/>
    <w:rsid w:val="00713836"/>
    <w:rsid w:val="00713A9F"/>
    <w:rsid w:val="007146EB"/>
    <w:rsid w:val="007149D6"/>
    <w:rsid w:val="00714CDF"/>
    <w:rsid w:val="0071569D"/>
    <w:rsid w:val="00715966"/>
    <w:rsid w:val="007161A0"/>
    <w:rsid w:val="00716434"/>
    <w:rsid w:val="007167E8"/>
    <w:rsid w:val="00716B97"/>
    <w:rsid w:val="00716BF1"/>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F7C"/>
    <w:rsid w:val="00727175"/>
    <w:rsid w:val="00727F23"/>
    <w:rsid w:val="007306C9"/>
    <w:rsid w:val="00730BCD"/>
    <w:rsid w:val="00732843"/>
    <w:rsid w:val="00733572"/>
    <w:rsid w:val="00733667"/>
    <w:rsid w:val="00733776"/>
    <w:rsid w:val="00734FD5"/>
    <w:rsid w:val="007351DA"/>
    <w:rsid w:val="007357CD"/>
    <w:rsid w:val="00735871"/>
    <w:rsid w:val="007359BE"/>
    <w:rsid w:val="00735A94"/>
    <w:rsid w:val="00735D93"/>
    <w:rsid w:val="0073650C"/>
    <w:rsid w:val="00736765"/>
    <w:rsid w:val="00736793"/>
    <w:rsid w:val="007369F9"/>
    <w:rsid w:val="00736EF6"/>
    <w:rsid w:val="007402A1"/>
    <w:rsid w:val="00740836"/>
    <w:rsid w:val="00740FF4"/>
    <w:rsid w:val="00741389"/>
    <w:rsid w:val="007424CA"/>
    <w:rsid w:val="007427DE"/>
    <w:rsid w:val="00742D29"/>
    <w:rsid w:val="00742F97"/>
    <w:rsid w:val="007431D3"/>
    <w:rsid w:val="00743442"/>
    <w:rsid w:val="00743452"/>
    <w:rsid w:val="00743B22"/>
    <w:rsid w:val="0074421F"/>
    <w:rsid w:val="007442CF"/>
    <w:rsid w:val="00745380"/>
    <w:rsid w:val="00745422"/>
    <w:rsid w:val="007454D2"/>
    <w:rsid w:val="00746938"/>
    <w:rsid w:val="0074747A"/>
    <w:rsid w:val="007478F9"/>
    <w:rsid w:val="00747AF3"/>
    <w:rsid w:val="00747C39"/>
    <w:rsid w:val="0075038A"/>
    <w:rsid w:val="007506A4"/>
    <w:rsid w:val="00750E2A"/>
    <w:rsid w:val="00751C5B"/>
    <w:rsid w:val="00751EB2"/>
    <w:rsid w:val="00752DE6"/>
    <w:rsid w:val="0075316C"/>
    <w:rsid w:val="0075323D"/>
    <w:rsid w:val="00753984"/>
    <w:rsid w:val="00753C28"/>
    <w:rsid w:val="00753EE8"/>
    <w:rsid w:val="00753F89"/>
    <w:rsid w:val="007541C3"/>
    <w:rsid w:val="0075480E"/>
    <w:rsid w:val="007554EF"/>
    <w:rsid w:val="00755FF7"/>
    <w:rsid w:val="00756693"/>
    <w:rsid w:val="00756D75"/>
    <w:rsid w:val="00756D9C"/>
    <w:rsid w:val="007573B5"/>
    <w:rsid w:val="0075783F"/>
    <w:rsid w:val="00757C56"/>
    <w:rsid w:val="00760AC5"/>
    <w:rsid w:val="00760FE8"/>
    <w:rsid w:val="00761303"/>
    <w:rsid w:val="00761684"/>
    <w:rsid w:val="0076181C"/>
    <w:rsid w:val="00762051"/>
    <w:rsid w:val="00763661"/>
    <w:rsid w:val="00763D23"/>
    <w:rsid w:val="007672CB"/>
    <w:rsid w:val="00767E79"/>
    <w:rsid w:val="007703D3"/>
    <w:rsid w:val="00770D8A"/>
    <w:rsid w:val="00771668"/>
    <w:rsid w:val="0077220F"/>
    <w:rsid w:val="00773954"/>
    <w:rsid w:val="00773F07"/>
    <w:rsid w:val="0077407C"/>
    <w:rsid w:val="007756C8"/>
    <w:rsid w:val="00775CDC"/>
    <w:rsid w:val="00775EBF"/>
    <w:rsid w:val="00776190"/>
    <w:rsid w:val="007761BE"/>
    <w:rsid w:val="007762D3"/>
    <w:rsid w:val="007766B0"/>
    <w:rsid w:val="007768AB"/>
    <w:rsid w:val="00776AA2"/>
    <w:rsid w:val="00776B69"/>
    <w:rsid w:val="00777429"/>
    <w:rsid w:val="0078112C"/>
    <w:rsid w:val="00781295"/>
    <w:rsid w:val="00781F4D"/>
    <w:rsid w:val="00782A20"/>
    <w:rsid w:val="007841E3"/>
    <w:rsid w:val="00784241"/>
    <w:rsid w:val="00784255"/>
    <w:rsid w:val="007842BB"/>
    <w:rsid w:val="00784B9A"/>
    <w:rsid w:val="00785B10"/>
    <w:rsid w:val="00785FB2"/>
    <w:rsid w:val="007870ED"/>
    <w:rsid w:val="00787282"/>
    <w:rsid w:val="007873AB"/>
    <w:rsid w:val="007873FA"/>
    <w:rsid w:val="00787887"/>
    <w:rsid w:val="00787EBA"/>
    <w:rsid w:val="007903C6"/>
    <w:rsid w:val="007907C6"/>
    <w:rsid w:val="007908E8"/>
    <w:rsid w:val="00790DC1"/>
    <w:rsid w:val="00791206"/>
    <w:rsid w:val="007915AC"/>
    <w:rsid w:val="007915D1"/>
    <w:rsid w:val="00791B15"/>
    <w:rsid w:val="00791CA7"/>
    <w:rsid w:val="00791E4B"/>
    <w:rsid w:val="007922B8"/>
    <w:rsid w:val="007923E9"/>
    <w:rsid w:val="007925E4"/>
    <w:rsid w:val="007929D7"/>
    <w:rsid w:val="007932E1"/>
    <w:rsid w:val="007934AB"/>
    <w:rsid w:val="00793A9C"/>
    <w:rsid w:val="00793F34"/>
    <w:rsid w:val="007950F8"/>
    <w:rsid w:val="0079539B"/>
    <w:rsid w:val="00795944"/>
    <w:rsid w:val="007977C0"/>
    <w:rsid w:val="007A04C9"/>
    <w:rsid w:val="007A191D"/>
    <w:rsid w:val="007A1A61"/>
    <w:rsid w:val="007A2087"/>
    <w:rsid w:val="007A2221"/>
    <w:rsid w:val="007A2B02"/>
    <w:rsid w:val="007A2D90"/>
    <w:rsid w:val="007A2EA1"/>
    <w:rsid w:val="007A2F77"/>
    <w:rsid w:val="007A2FCA"/>
    <w:rsid w:val="007A313A"/>
    <w:rsid w:val="007A3C6F"/>
    <w:rsid w:val="007A47E6"/>
    <w:rsid w:val="007A48C8"/>
    <w:rsid w:val="007A4AB7"/>
    <w:rsid w:val="007A516B"/>
    <w:rsid w:val="007A5C3A"/>
    <w:rsid w:val="007A6499"/>
    <w:rsid w:val="007A6E99"/>
    <w:rsid w:val="007A7687"/>
    <w:rsid w:val="007A77B9"/>
    <w:rsid w:val="007A7B75"/>
    <w:rsid w:val="007B0099"/>
    <w:rsid w:val="007B0743"/>
    <w:rsid w:val="007B0EFB"/>
    <w:rsid w:val="007B19B6"/>
    <w:rsid w:val="007B3163"/>
    <w:rsid w:val="007B327B"/>
    <w:rsid w:val="007B32D7"/>
    <w:rsid w:val="007B353C"/>
    <w:rsid w:val="007B4044"/>
    <w:rsid w:val="007B4FA3"/>
    <w:rsid w:val="007B59D4"/>
    <w:rsid w:val="007B7ABE"/>
    <w:rsid w:val="007C050D"/>
    <w:rsid w:val="007C058F"/>
    <w:rsid w:val="007C0D7C"/>
    <w:rsid w:val="007C19FD"/>
    <w:rsid w:val="007C1A06"/>
    <w:rsid w:val="007C20B5"/>
    <w:rsid w:val="007C337C"/>
    <w:rsid w:val="007C348F"/>
    <w:rsid w:val="007C3972"/>
    <w:rsid w:val="007C3A55"/>
    <w:rsid w:val="007C3A73"/>
    <w:rsid w:val="007C3FE2"/>
    <w:rsid w:val="007C4458"/>
    <w:rsid w:val="007C46D5"/>
    <w:rsid w:val="007C4928"/>
    <w:rsid w:val="007C4B84"/>
    <w:rsid w:val="007C5106"/>
    <w:rsid w:val="007C5314"/>
    <w:rsid w:val="007C531C"/>
    <w:rsid w:val="007C5473"/>
    <w:rsid w:val="007C6105"/>
    <w:rsid w:val="007C6205"/>
    <w:rsid w:val="007C653E"/>
    <w:rsid w:val="007C6630"/>
    <w:rsid w:val="007C74E9"/>
    <w:rsid w:val="007C7A2E"/>
    <w:rsid w:val="007C7BEC"/>
    <w:rsid w:val="007D04F0"/>
    <w:rsid w:val="007D0A1D"/>
    <w:rsid w:val="007D0BB0"/>
    <w:rsid w:val="007D17C8"/>
    <w:rsid w:val="007D1BA1"/>
    <w:rsid w:val="007D1E31"/>
    <w:rsid w:val="007D20C3"/>
    <w:rsid w:val="007D32DF"/>
    <w:rsid w:val="007D3C4A"/>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1155"/>
    <w:rsid w:val="007E164B"/>
    <w:rsid w:val="007E17DD"/>
    <w:rsid w:val="007E1B37"/>
    <w:rsid w:val="007E2034"/>
    <w:rsid w:val="007E298B"/>
    <w:rsid w:val="007E2AB9"/>
    <w:rsid w:val="007E2B4F"/>
    <w:rsid w:val="007E2EA1"/>
    <w:rsid w:val="007E2F79"/>
    <w:rsid w:val="007E3269"/>
    <w:rsid w:val="007E35C3"/>
    <w:rsid w:val="007E3AEB"/>
    <w:rsid w:val="007E3D0A"/>
    <w:rsid w:val="007E3EB4"/>
    <w:rsid w:val="007E4B3F"/>
    <w:rsid w:val="007E4D1E"/>
    <w:rsid w:val="007E4DB3"/>
    <w:rsid w:val="007E58F7"/>
    <w:rsid w:val="007E6414"/>
    <w:rsid w:val="007E6EC5"/>
    <w:rsid w:val="007E7092"/>
    <w:rsid w:val="007E71AE"/>
    <w:rsid w:val="007E7D48"/>
    <w:rsid w:val="007E7EA5"/>
    <w:rsid w:val="007F0F6A"/>
    <w:rsid w:val="007F103D"/>
    <w:rsid w:val="007F11C6"/>
    <w:rsid w:val="007F35E0"/>
    <w:rsid w:val="007F3908"/>
    <w:rsid w:val="007F39F2"/>
    <w:rsid w:val="007F427D"/>
    <w:rsid w:val="007F4358"/>
    <w:rsid w:val="007F43D1"/>
    <w:rsid w:val="007F446E"/>
    <w:rsid w:val="007F465E"/>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174"/>
    <w:rsid w:val="00801C06"/>
    <w:rsid w:val="008022CF"/>
    <w:rsid w:val="008026B6"/>
    <w:rsid w:val="00802E3A"/>
    <w:rsid w:val="008032A3"/>
    <w:rsid w:val="008038A7"/>
    <w:rsid w:val="008038AE"/>
    <w:rsid w:val="008038B3"/>
    <w:rsid w:val="00803989"/>
    <w:rsid w:val="0080406A"/>
    <w:rsid w:val="00804672"/>
    <w:rsid w:val="00804735"/>
    <w:rsid w:val="00804C13"/>
    <w:rsid w:val="008052B7"/>
    <w:rsid w:val="00805EE1"/>
    <w:rsid w:val="00807D87"/>
    <w:rsid w:val="00810793"/>
    <w:rsid w:val="00810FE6"/>
    <w:rsid w:val="008112FB"/>
    <w:rsid w:val="008113DD"/>
    <w:rsid w:val="008115DF"/>
    <w:rsid w:val="00812735"/>
    <w:rsid w:val="00812B36"/>
    <w:rsid w:val="00813398"/>
    <w:rsid w:val="00813681"/>
    <w:rsid w:val="0081372B"/>
    <w:rsid w:val="008139C7"/>
    <w:rsid w:val="008139EB"/>
    <w:rsid w:val="00814350"/>
    <w:rsid w:val="00814CAC"/>
    <w:rsid w:val="00814D3B"/>
    <w:rsid w:val="0081543A"/>
    <w:rsid w:val="008155B3"/>
    <w:rsid w:val="00815845"/>
    <w:rsid w:val="00815E56"/>
    <w:rsid w:val="00816524"/>
    <w:rsid w:val="008170ED"/>
    <w:rsid w:val="00817248"/>
    <w:rsid w:val="00817F25"/>
    <w:rsid w:val="008201EC"/>
    <w:rsid w:val="0082102D"/>
    <w:rsid w:val="00821BE4"/>
    <w:rsid w:val="00821E8F"/>
    <w:rsid w:val="008225E9"/>
    <w:rsid w:val="00822883"/>
    <w:rsid w:val="0082294F"/>
    <w:rsid w:val="00822C29"/>
    <w:rsid w:val="00822F88"/>
    <w:rsid w:val="008233B5"/>
    <w:rsid w:val="00823731"/>
    <w:rsid w:val="00823E91"/>
    <w:rsid w:val="00824973"/>
    <w:rsid w:val="00824E7D"/>
    <w:rsid w:val="00825022"/>
    <w:rsid w:val="00827DDF"/>
    <w:rsid w:val="00830640"/>
    <w:rsid w:val="00830955"/>
    <w:rsid w:val="00831560"/>
    <w:rsid w:val="0083186A"/>
    <w:rsid w:val="008319E1"/>
    <w:rsid w:val="00831CF1"/>
    <w:rsid w:val="00831FB7"/>
    <w:rsid w:val="008326CD"/>
    <w:rsid w:val="00832FFB"/>
    <w:rsid w:val="0083364B"/>
    <w:rsid w:val="00834C8E"/>
    <w:rsid w:val="008358B6"/>
    <w:rsid w:val="00836CB6"/>
    <w:rsid w:val="00837DF7"/>
    <w:rsid w:val="00840B41"/>
    <w:rsid w:val="00841856"/>
    <w:rsid w:val="008425FD"/>
    <w:rsid w:val="00842698"/>
    <w:rsid w:val="00843239"/>
    <w:rsid w:val="00843603"/>
    <w:rsid w:val="00843698"/>
    <w:rsid w:val="00845BCA"/>
    <w:rsid w:val="00846233"/>
    <w:rsid w:val="00846741"/>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941"/>
    <w:rsid w:val="00855624"/>
    <w:rsid w:val="00855BFA"/>
    <w:rsid w:val="00855ED8"/>
    <w:rsid w:val="00855F33"/>
    <w:rsid w:val="00855FCD"/>
    <w:rsid w:val="008564A4"/>
    <w:rsid w:val="00856542"/>
    <w:rsid w:val="008571F4"/>
    <w:rsid w:val="0085755F"/>
    <w:rsid w:val="00857622"/>
    <w:rsid w:val="008607F4"/>
    <w:rsid w:val="00860851"/>
    <w:rsid w:val="0086091B"/>
    <w:rsid w:val="00860CDD"/>
    <w:rsid w:val="00860D25"/>
    <w:rsid w:val="008618EE"/>
    <w:rsid w:val="00861C02"/>
    <w:rsid w:val="008638EE"/>
    <w:rsid w:val="008639EF"/>
    <w:rsid w:val="00864FA3"/>
    <w:rsid w:val="00865506"/>
    <w:rsid w:val="0086555E"/>
    <w:rsid w:val="008656EA"/>
    <w:rsid w:val="00865707"/>
    <w:rsid w:val="00866CFD"/>
    <w:rsid w:val="00866FF2"/>
    <w:rsid w:val="00866FF8"/>
    <w:rsid w:val="00867DC7"/>
    <w:rsid w:val="00870000"/>
    <w:rsid w:val="00870255"/>
    <w:rsid w:val="0087083E"/>
    <w:rsid w:val="008709C0"/>
    <w:rsid w:val="00871A3F"/>
    <w:rsid w:val="00872111"/>
    <w:rsid w:val="0087351F"/>
    <w:rsid w:val="00873D93"/>
    <w:rsid w:val="00873DDB"/>
    <w:rsid w:val="0087444C"/>
    <w:rsid w:val="00874520"/>
    <w:rsid w:val="00874F0D"/>
    <w:rsid w:val="00875EAF"/>
    <w:rsid w:val="008765C8"/>
    <w:rsid w:val="00876668"/>
    <w:rsid w:val="00876ED2"/>
    <w:rsid w:val="00876EE7"/>
    <w:rsid w:val="00876F08"/>
    <w:rsid w:val="00877254"/>
    <w:rsid w:val="00877319"/>
    <w:rsid w:val="0087776B"/>
    <w:rsid w:val="0087798D"/>
    <w:rsid w:val="008811C8"/>
    <w:rsid w:val="008820FE"/>
    <w:rsid w:val="00882448"/>
    <w:rsid w:val="00883409"/>
    <w:rsid w:val="00884B5D"/>
    <w:rsid w:val="00886319"/>
    <w:rsid w:val="008863AC"/>
    <w:rsid w:val="00886E10"/>
    <w:rsid w:val="008876AB"/>
    <w:rsid w:val="008877B6"/>
    <w:rsid w:val="00887A68"/>
    <w:rsid w:val="0089027B"/>
    <w:rsid w:val="00891263"/>
    <w:rsid w:val="008915EA"/>
    <w:rsid w:val="00893451"/>
    <w:rsid w:val="0089355A"/>
    <w:rsid w:val="00894578"/>
    <w:rsid w:val="0089578B"/>
    <w:rsid w:val="00896068"/>
    <w:rsid w:val="00896C2F"/>
    <w:rsid w:val="008A00B8"/>
    <w:rsid w:val="008A0CD7"/>
    <w:rsid w:val="008A142F"/>
    <w:rsid w:val="008A14D8"/>
    <w:rsid w:val="008A1996"/>
    <w:rsid w:val="008A1AED"/>
    <w:rsid w:val="008A1FE2"/>
    <w:rsid w:val="008A2775"/>
    <w:rsid w:val="008A28A4"/>
    <w:rsid w:val="008A29AE"/>
    <w:rsid w:val="008A2B1A"/>
    <w:rsid w:val="008A3208"/>
    <w:rsid w:val="008A35B5"/>
    <w:rsid w:val="008A423E"/>
    <w:rsid w:val="008A54EA"/>
    <w:rsid w:val="008A5691"/>
    <w:rsid w:val="008A5BBA"/>
    <w:rsid w:val="008A5C5F"/>
    <w:rsid w:val="008A5CBE"/>
    <w:rsid w:val="008A5F5C"/>
    <w:rsid w:val="008A6116"/>
    <w:rsid w:val="008A64E6"/>
    <w:rsid w:val="008A745F"/>
    <w:rsid w:val="008A75B2"/>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F51"/>
    <w:rsid w:val="008B508D"/>
    <w:rsid w:val="008B5479"/>
    <w:rsid w:val="008B5500"/>
    <w:rsid w:val="008B5563"/>
    <w:rsid w:val="008B615A"/>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3313"/>
    <w:rsid w:val="008C339D"/>
    <w:rsid w:val="008C36E4"/>
    <w:rsid w:val="008C3889"/>
    <w:rsid w:val="008C3A51"/>
    <w:rsid w:val="008C3F1D"/>
    <w:rsid w:val="008C4EFE"/>
    <w:rsid w:val="008C61D6"/>
    <w:rsid w:val="008C683E"/>
    <w:rsid w:val="008C6D53"/>
    <w:rsid w:val="008C6F18"/>
    <w:rsid w:val="008C7253"/>
    <w:rsid w:val="008C7552"/>
    <w:rsid w:val="008C756A"/>
    <w:rsid w:val="008D03FD"/>
    <w:rsid w:val="008D0565"/>
    <w:rsid w:val="008D0C4A"/>
    <w:rsid w:val="008D1493"/>
    <w:rsid w:val="008D1655"/>
    <w:rsid w:val="008D1D1A"/>
    <w:rsid w:val="008D1E26"/>
    <w:rsid w:val="008D2E4B"/>
    <w:rsid w:val="008D33CE"/>
    <w:rsid w:val="008D3F1D"/>
    <w:rsid w:val="008D4279"/>
    <w:rsid w:val="008D4909"/>
    <w:rsid w:val="008D4C63"/>
    <w:rsid w:val="008D54E4"/>
    <w:rsid w:val="008D5687"/>
    <w:rsid w:val="008D74A0"/>
    <w:rsid w:val="008E004C"/>
    <w:rsid w:val="008E0C43"/>
    <w:rsid w:val="008E1133"/>
    <w:rsid w:val="008E16A4"/>
    <w:rsid w:val="008E201E"/>
    <w:rsid w:val="008E219F"/>
    <w:rsid w:val="008E2293"/>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AC5"/>
    <w:rsid w:val="008F6B4B"/>
    <w:rsid w:val="008F7011"/>
    <w:rsid w:val="008F70B6"/>
    <w:rsid w:val="008F7304"/>
    <w:rsid w:val="008F76C3"/>
    <w:rsid w:val="008F770D"/>
    <w:rsid w:val="008F7D80"/>
    <w:rsid w:val="008F7F32"/>
    <w:rsid w:val="009002BC"/>
    <w:rsid w:val="00900ACD"/>
    <w:rsid w:val="00900CCD"/>
    <w:rsid w:val="009015ED"/>
    <w:rsid w:val="00901984"/>
    <w:rsid w:val="00901FF3"/>
    <w:rsid w:val="009025CE"/>
    <w:rsid w:val="00903E10"/>
    <w:rsid w:val="00904B72"/>
    <w:rsid w:val="0090509D"/>
    <w:rsid w:val="009058AB"/>
    <w:rsid w:val="009059FD"/>
    <w:rsid w:val="00906228"/>
    <w:rsid w:val="00907019"/>
    <w:rsid w:val="0090744B"/>
    <w:rsid w:val="00907BEF"/>
    <w:rsid w:val="009103F2"/>
    <w:rsid w:val="009104B6"/>
    <w:rsid w:val="00910A84"/>
    <w:rsid w:val="00910C3C"/>
    <w:rsid w:val="00910E98"/>
    <w:rsid w:val="00910FEE"/>
    <w:rsid w:val="0091147C"/>
    <w:rsid w:val="009120D6"/>
    <w:rsid w:val="009125C5"/>
    <w:rsid w:val="00912906"/>
    <w:rsid w:val="00912EDB"/>
    <w:rsid w:val="00913892"/>
    <w:rsid w:val="009144BB"/>
    <w:rsid w:val="009149EE"/>
    <w:rsid w:val="00914E9F"/>
    <w:rsid w:val="00915400"/>
    <w:rsid w:val="0091554A"/>
    <w:rsid w:val="00915732"/>
    <w:rsid w:val="00915C49"/>
    <w:rsid w:val="009160FC"/>
    <w:rsid w:val="009165DE"/>
    <w:rsid w:val="00916A41"/>
    <w:rsid w:val="00917165"/>
    <w:rsid w:val="00917983"/>
    <w:rsid w:val="00917B1D"/>
    <w:rsid w:val="00917E33"/>
    <w:rsid w:val="00917EFC"/>
    <w:rsid w:val="0092083B"/>
    <w:rsid w:val="00921CFD"/>
    <w:rsid w:val="009229D4"/>
    <w:rsid w:val="00922B40"/>
    <w:rsid w:val="009237B7"/>
    <w:rsid w:val="009243B0"/>
    <w:rsid w:val="00924887"/>
    <w:rsid w:val="009249C9"/>
    <w:rsid w:val="00925AFE"/>
    <w:rsid w:val="00926A1F"/>
    <w:rsid w:val="00926BD0"/>
    <w:rsid w:val="00927487"/>
    <w:rsid w:val="00927E96"/>
    <w:rsid w:val="009300FC"/>
    <w:rsid w:val="00930774"/>
    <w:rsid w:val="009308AC"/>
    <w:rsid w:val="00931E93"/>
    <w:rsid w:val="00932327"/>
    <w:rsid w:val="00932A1C"/>
    <w:rsid w:val="009330E5"/>
    <w:rsid w:val="00933223"/>
    <w:rsid w:val="00933436"/>
    <w:rsid w:val="0093499C"/>
    <w:rsid w:val="00935460"/>
    <w:rsid w:val="0093623A"/>
    <w:rsid w:val="0093649A"/>
    <w:rsid w:val="0093697A"/>
    <w:rsid w:val="00936CAF"/>
    <w:rsid w:val="00936F5C"/>
    <w:rsid w:val="00937874"/>
    <w:rsid w:val="009400A7"/>
    <w:rsid w:val="00940262"/>
    <w:rsid w:val="00940BA2"/>
    <w:rsid w:val="0094195E"/>
    <w:rsid w:val="00941EF6"/>
    <w:rsid w:val="00941EFD"/>
    <w:rsid w:val="0094280C"/>
    <w:rsid w:val="0094342D"/>
    <w:rsid w:val="00943F64"/>
    <w:rsid w:val="009442C8"/>
    <w:rsid w:val="00944780"/>
    <w:rsid w:val="009447BC"/>
    <w:rsid w:val="00944BFA"/>
    <w:rsid w:val="00944C1C"/>
    <w:rsid w:val="00944C47"/>
    <w:rsid w:val="00944C89"/>
    <w:rsid w:val="009451C2"/>
    <w:rsid w:val="009456E3"/>
    <w:rsid w:val="009463EC"/>
    <w:rsid w:val="009467B8"/>
    <w:rsid w:val="00947018"/>
    <w:rsid w:val="00947DA1"/>
    <w:rsid w:val="00950400"/>
    <w:rsid w:val="0095066E"/>
    <w:rsid w:val="009510F1"/>
    <w:rsid w:val="0095212A"/>
    <w:rsid w:val="00952FE7"/>
    <w:rsid w:val="00954493"/>
    <w:rsid w:val="009551D0"/>
    <w:rsid w:val="0095561B"/>
    <w:rsid w:val="00955F08"/>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867"/>
    <w:rsid w:val="00961C50"/>
    <w:rsid w:val="009624D9"/>
    <w:rsid w:val="00962A08"/>
    <w:rsid w:val="00962BCD"/>
    <w:rsid w:val="00963178"/>
    <w:rsid w:val="00963D6E"/>
    <w:rsid w:val="00963F73"/>
    <w:rsid w:val="009647AE"/>
    <w:rsid w:val="00964A20"/>
    <w:rsid w:val="00964C3F"/>
    <w:rsid w:val="009651FF"/>
    <w:rsid w:val="00965649"/>
    <w:rsid w:val="00965BA4"/>
    <w:rsid w:val="00965CBA"/>
    <w:rsid w:val="00965D2F"/>
    <w:rsid w:val="00966318"/>
    <w:rsid w:val="009673F4"/>
    <w:rsid w:val="00970615"/>
    <w:rsid w:val="00970DCB"/>
    <w:rsid w:val="009712EF"/>
    <w:rsid w:val="0097226B"/>
    <w:rsid w:val="0097260D"/>
    <w:rsid w:val="009726C7"/>
    <w:rsid w:val="0097279A"/>
    <w:rsid w:val="00972F27"/>
    <w:rsid w:val="00973165"/>
    <w:rsid w:val="009739F3"/>
    <w:rsid w:val="00973B53"/>
    <w:rsid w:val="00973E4B"/>
    <w:rsid w:val="00974332"/>
    <w:rsid w:val="00975306"/>
    <w:rsid w:val="00976A30"/>
    <w:rsid w:val="009772F1"/>
    <w:rsid w:val="00977779"/>
    <w:rsid w:val="0097787A"/>
    <w:rsid w:val="0097798C"/>
    <w:rsid w:val="00977F34"/>
    <w:rsid w:val="0098050B"/>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733"/>
    <w:rsid w:val="00991DDD"/>
    <w:rsid w:val="00992378"/>
    <w:rsid w:val="009924C0"/>
    <w:rsid w:val="00992780"/>
    <w:rsid w:val="00993B3E"/>
    <w:rsid w:val="00994069"/>
    <w:rsid w:val="009940F1"/>
    <w:rsid w:val="009946E4"/>
    <w:rsid w:val="00994B6D"/>
    <w:rsid w:val="00996CB8"/>
    <w:rsid w:val="009974D6"/>
    <w:rsid w:val="009A07CC"/>
    <w:rsid w:val="009A0A5C"/>
    <w:rsid w:val="009A0F87"/>
    <w:rsid w:val="009A1B4A"/>
    <w:rsid w:val="009A3077"/>
    <w:rsid w:val="009A389D"/>
    <w:rsid w:val="009A3A20"/>
    <w:rsid w:val="009A3E38"/>
    <w:rsid w:val="009A3E89"/>
    <w:rsid w:val="009A411A"/>
    <w:rsid w:val="009A4339"/>
    <w:rsid w:val="009A500B"/>
    <w:rsid w:val="009A5073"/>
    <w:rsid w:val="009A59F0"/>
    <w:rsid w:val="009A61DF"/>
    <w:rsid w:val="009A6562"/>
    <w:rsid w:val="009A6B51"/>
    <w:rsid w:val="009A6D8C"/>
    <w:rsid w:val="009B00FA"/>
    <w:rsid w:val="009B06E0"/>
    <w:rsid w:val="009B0928"/>
    <w:rsid w:val="009B0968"/>
    <w:rsid w:val="009B0EE2"/>
    <w:rsid w:val="009B10E8"/>
    <w:rsid w:val="009B1809"/>
    <w:rsid w:val="009B19A9"/>
    <w:rsid w:val="009B217E"/>
    <w:rsid w:val="009B2B8D"/>
    <w:rsid w:val="009B2B97"/>
    <w:rsid w:val="009B2BC8"/>
    <w:rsid w:val="009B390D"/>
    <w:rsid w:val="009B3A22"/>
    <w:rsid w:val="009B3C80"/>
    <w:rsid w:val="009B3E6C"/>
    <w:rsid w:val="009B4303"/>
    <w:rsid w:val="009B46E2"/>
    <w:rsid w:val="009B46EE"/>
    <w:rsid w:val="009B46FD"/>
    <w:rsid w:val="009B5EE5"/>
    <w:rsid w:val="009B632D"/>
    <w:rsid w:val="009B66AD"/>
    <w:rsid w:val="009B66F3"/>
    <w:rsid w:val="009B6B6B"/>
    <w:rsid w:val="009B7091"/>
    <w:rsid w:val="009B72B2"/>
    <w:rsid w:val="009B7E99"/>
    <w:rsid w:val="009C0105"/>
    <w:rsid w:val="009C066E"/>
    <w:rsid w:val="009C09E8"/>
    <w:rsid w:val="009C0A84"/>
    <w:rsid w:val="009C0A96"/>
    <w:rsid w:val="009C0D29"/>
    <w:rsid w:val="009C1299"/>
    <w:rsid w:val="009C14E0"/>
    <w:rsid w:val="009C1681"/>
    <w:rsid w:val="009C1BDC"/>
    <w:rsid w:val="009C2934"/>
    <w:rsid w:val="009C362F"/>
    <w:rsid w:val="009C3CDA"/>
    <w:rsid w:val="009C43BF"/>
    <w:rsid w:val="009C4F27"/>
    <w:rsid w:val="009C519E"/>
    <w:rsid w:val="009C51BE"/>
    <w:rsid w:val="009C5949"/>
    <w:rsid w:val="009C64D9"/>
    <w:rsid w:val="009C76D2"/>
    <w:rsid w:val="009C7C3E"/>
    <w:rsid w:val="009C7F49"/>
    <w:rsid w:val="009D0E9D"/>
    <w:rsid w:val="009D1C14"/>
    <w:rsid w:val="009D27D0"/>
    <w:rsid w:val="009D29DA"/>
    <w:rsid w:val="009D2AB1"/>
    <w:rsid w:val="009D32F1"/>
    <w:rsid w:val="009D33CB"/>
    <w:rsid w:val="009D3E90"/>
    <w:rsid w:val="009D4D82"/>
    <w:rsid w:val="009D4FC0"/>
    <w:rsid w:val="009D5588"/>
    <w:rsid w:val="009D61DB"/>
    <w:rsid w:val="009D6274"/>
    <w:rsid w:val="009D7076"/>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BD"/>
    <w:rsid w:val="009E26B0"/>
    <w:rsid w:val="009E2724"/>
    <w:rsid w:val="009E2926"/>
    <w:rsid w:val="009E293F"/>
    <w:rsid w:val="009E2983"/>
    <w:rsid w:val="009E308D"/>
    <w:rsid w:val="009E429F"/>
    <w:rsid w:val="009E5F3C"/>
    <w:rsid w:val="009E6048"/>
    <w:rsid w:val="009E628D"/>
    <w:rsid w:val="009E637A"/>
    <w:rsid w:val="009E6AB7"/>
    <w:rsid w:val="009E7500"/>
    <w:rsid w:val="009E7DC4"/>
    <w:rsid w:val="009E7F39"/>
    <w:rsid w:val="009F0196"/>
    <w:rsid w:val="009F0445"/>
    <w:rsid w:val="009F105A"/>
    <w:rsid w:val="009F212B"/>
    <w:rsid w:val="009F254E"/>
    <w:rsid w:val="009F27DD"/>
    <w:rsid w:val="009F2846"/>
    <w:rsid w:val="009F2944"/>
    <w:rsid w:val="009F2BF9"/>
    <w:rsid w:val="009F2CC2"/>
    <w:rsid w:val="009F3ED2"/>
    <w:rsid w:val="009F4E39"/>
    <w:rsid w:val="009F5F03"/>
    <w:rsid w:val="009F66BC"/>
    <w:rsid w:val="009F6EC1"/>
    <w:rsid w:val="009F79D6"/>
    <w:rsid w:val="00A00428"/>
    <w:rsid w:val="00A020A4"/>
    <w:rsid w:val="00A02753"/>
    <w:rsid w:val="00A02E9A"/>
    <w:rsid w:val="00A02ED4"/>
    <w:rsid w:val="00A03101"/>
    <w:rsid w:val="00A03ED0"/>
    <w:rsid w:val="00A0420C"/>
    <w:rsid w:val="00A04480"/>
    <w:rsid w:val="00A04B0A"/>
    <w:rsid w:val="00A04D78"/>
    <w:rsid w:val="00A0622D"/>
    <w:rsid w:val="00A063C5"/>
    <w:rsid w:val="00A06EE0"/>
    <w:rsid w:val="00A072A3"/>
    <w:rsid w:val="00A077ED"/>
    <w:rsid w:val="00A07A4A"/>
    <w:rsid w:val="00A103B9"/>
    <w:rsid w:val="00A10587"/>
    <w:rsid w:val="00A106C1"/>
    <w:rsid w:val="00A10929"/>
    <w:rsid w:val="00A110DE"/>
    <w:rsid w:val="00A118E4"/>
    <w:rsid w:val="00A11D03"/>
    <w:rsid w:val="00A12130"/>
    <w:rsid w:val="00A122C3"/>
    <w:rsid w:val="00A12AF4"/>
    <w:rsid w:val="00A12E4E"/>
    <w:rsid w:val="00A14279"/>
    <w:rsid w:val="00A14447"/>
    <w:rsid w:val="00A149A3"/>
    <w:rsid w:val="00A149D8"/>
    <w:rsid w:val="00A14BE9"/>
    <w:rsid w:val="00A14C5D"/>
    <w:rsid w:val="00A160AE"/>
    <w:rsid w:val="00A16AC7"/>
    <w:rsid w:val="00A16F21"/>
    <w:rsid w:val="00A16FD4"/>
    <w:rsid w:val="00A1706C"/>
    <w:rsid w:val="00A17A22"/>
    <w:rsid w:val="00A17D60"/>
    <w:rsid w:val="00A204C9"/>
    <w:rsid w:val="00A2053A"/>
    <w:rsid w:val="00A206A1"/>
    <w:rsid w:val="00A2080C"/>
    <w:rsid w:val="00A20963"/>
    <w:rsid w:val="00A20C94"/>
    <w:rsid w:val="00A20F09"/>
    <w:rsid w:val="00A2193B"/>
    <w:rsid w:val="00A23618"/>
    <w:rsid w:val="00A24336"/>
    <w:rsid w:val="00A24EA8"/>
    <w:rsid w:val="00A25150"/>
    <w:rsid w:val="00A25A51"/>
    <w:rsid w:val="00A262E5"/>
    <w:rsid w:val="00A2632D"/>
    <w:rsid w:val="00A26770"/>
    <w:rsid w:val="00A268B7"/>
    <w:rsid w:val="00A268CA"/>
    <w:rsid w:val="00A26AB2"/>
    <w:rsid w:val="00A27679"/>
    <w:rsid w:val="00A27DCC"/>
    <w:rsid w:val="00A30E49"/>
    <w:rsid w:val="00A3145B"/>
    <w:rsid w:val="00A317F5"/>
    <w:rsid w:val="00A3185F"/>
    <w:rsid w:val="00A31A2A"/>
    <w:rsid w:val="00A320F8"/>
    <w:rsid w:val="00A32375"/>
    <w:rsid w:val="00A32493"/>
    <w:rsid w:val="00A328E1"/>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C03"/>
    <w:rsid w:val="00A41D01"/>
    <w:rsid w:val="00A41F90"/>
    <w:rsid w:val="00A42A88"/>
    <w:rsid w:val="00A4371F"/>
    <w:rsid w:val="00A43765"/>
    <w:rsid w:val="00A43B48"/>
    <w:rsid w:val="00A43EE6"/>
    <w:rsid w:val="00A44530"/>
    <w:rsid w:val="00A44BBF"/>
    <w:rsid w:val="00A453AD"/>
    <w:rsid w:val="00A45E41"/>
    <w:rsid w:val="00A46E3C"/>
    <w:rsid w:val="00A47CB1"/>
    <w:rsid w:val="00A500C5"/>
    <w:rsid w:val="00A50155"/>
    <w:rsid w:val="00A50ADC"/>
    <w:rsid w:val="00A50F2A"/>
    <w:rsid w:val="00A5195A"/>
    <w:rsid w:val="00A51A5F"/>
    <w:rsid w:val="00A52A68"/>
    <w:rsid w:val="00A52D5D"/>
    <w:rsid w:val="00A532DD"/>
    <w:rsid w:val="00A5398D"/>
    <w:rsid w:val="00A541D3"/>
    <w:rsid w:val="00A54B30"/>
    <w:rsid w:val="00A54DAF"/>
    <w:rsid w:val="00A55459"/>
    <w:rsid w:val="00A556C4"/>
    <w:rsid w:val="00A56AF1"/>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362"/>
    <w:rsid w:val="00A674EE"/>
    <w:rsid w:val="00A67626"/>
    <w:rsid w:val="00A6772E"/>
    <w:rsid w:val="00A67D42"/>
    <w:rsid w:val="00A70701"/>
    <w:rsid w:val="00A715DE"/>
    <w:rsid w:val="00A716AE"/>
    <w:rsid w:val="00A7179C"/>
    <w:rsid w:val="00A717D1"/>
    <w:rsid w:val="00A736B4"/>
    <w:rsid w:val="00A73847"/>
    <w:rsid w:val="00A73866"/>
    <w:rsid w:val="00A74072"/>
    <w:rsid w:val="00A754C1"/>
    <w:rsid w:val="00A75D0E"/>
    <w:rsid w:val="00A7731D"/>
    <w:rsid w:val="00A773C1"/>
    <w:rsid w:val="00A7740D"/>
    <w:rsid w:val="00A80535"/>
    <w:rsid w:val="00A808E1"/>
    <w:rsid w:val="00A80A5A"/>
    <w:rsid w:val="00A80B1F"/>
    <w:rsid w:val="00A80FC1"/>
    <w:rsid w:val="00A8100E"/>
    <w:rsid w:val="00A811FA"/>
    <w:rsid w:val="00A81583"/>
    <w:rsid w:val="00A8180C"/>
    <w:rsid w:val="00A82464"/>
    <w:rsid w:val="00A83482"/>
    <w:rsid w:val="00A83863"/>
    <w:rsid w:val="00A83F24"/>
    <w:rsid w:val="00A84B89"/>
    <w:rsid w:val="00A85E3D"/>
    <w:rsid w:val="00A862CE"/>
    <w:rsid w:val="00A86AEA"/>
    <w:rsid w:val="00A86D0C"/>
    <w:rsid w:val="00A86D34"/>
    <w:rsid w:val="00A86E55"/>
    <w:rsid w:val="00A90413"/>
    <w:rsid w:val="00A90601"/>
    <w:rsid w:val="00A90DF0"/>
    <w:rsid w:val="00A91A38"/>
    <w:rsid w:val="00A91AC2"/>
    <w:rsid w:val="00A92D61"/>
    <w:rsid w:val="00A939F2"/>
    <w:rsid w:val="00A94672"/>
    <w:rsid w:val="00A94DCE"/>
    <w:rsid w:val="00A95005"/>
    <w:rsid w:val="00A9574B"/>
    <w:rsid w:val="00A95815"/>
    <w:rsid w:val="00A958E5"/>
    <w:rsid w:val="00A95BF8"/>
    <w:rsid w:val="00A96042"/>
    <w:rsid w:val="00A96101"/>
    <w:rsid w:val="00A96318"/>
    <w:rsid w:val="00A96416"/>
    <w:rsid w:val="00A96C4D"/>
    <w:rsid w:val="00A96C67"/>
    <w:rsid w:val="00A96E32"/>
    <w:rsid w:val="00A975CB"/>
    <w:rsid w:val="00AA018B"/>
    <w:rsid w:val="00AA04BA"/>
    <w:rsid w:val="00AA0D1E"/>
    <w:rsid w:val="00AA0F74"/>
    <w:rsid w:val="00AA1301"/>
    <w:rsid w:val="00AA18E2"/>
    <w:rsid w:val="00AA1EC4"/>
    <w:rsid w:val="00AA2E34"/>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789"/>
    <w:rsid w:val="00AB3C59"/>
    <w:rsid w:val="00AB3C9F"/>
    <w:rsid w:val="00AB4A4E"/>
    <w:rsid w:val="00AB4C35"/>
    <w:rsid w:val="00AB4DA7"/>
    <w:rsid w:val="00AB5213"/>
    <w:rsid w:val="00AB5480"/>
    <w:rsid w:val="00AB553A"/>
    <w:rsid w:val="00AB5AF1"/>
    <w:rsid w:val="00AB5E9C"/>
    <w:rsid w:val="00AB716F"/>
    <w:rsid w:val="00AB793E"/>
    <w:rsid w:val="00AC0DC7"/>
    <w:rsid w:val="00AC129D"/>
    <w:rsid w:val="00AC1BB9"/>
    <w:rsid w:val="00AC1C1E"/>
    <w:rsid w:val="00AC1EC2"/>
    <w:rsid w:val="00AC21F6"/>
    <w:rsid w:val="00AC3FE4"/>
    <w:rsid w:val="00AC4049"/>
    <w:rsid w:val="00AC4BA8"/>
    <w:rsid w:val="00AC6CFB"/>
    <w:rsid w:val="00AC6E54"/>
    <w:rsid w:val="00AC766C"/>
    <w:rsid w:val="00AC7926"/>
    <w:rsid w:val="00AD0128"/>
    <w:rsid w:val="00AD07D9"/>
    <w:rsid w:val="00AD1386"/>
    <w:rsid w:val="00AD15C5"/>
    <w:rsid w:val="00AD1B48"/>
    <w:rsid w:val="00AD1FAE"/>
    <w:rsid w:val="00AD2253"/>
    <w:rsid w:val="00AD2888"/>
    <w:rsid w:val="00AD44E2"/>
    <w:rsid w:val="00AD4835"/>
    <w:rsid w:val="00AD4F12"/>
    <w:rsid w:val="00AD5259"/>
    <w:rsid w:val="00AD5798"/>
    <w:rsid w:val="00AD5A59"/>
    <w:rsid w:val="00AD629A"/>
    <w:rsid w:val="00AD78FF"/>
    <w:rsid w:val="00AD7DBE"/>
    <w:rsid w:val="00AE0C56"/>
    <w:rsid w:val="00AE0F96"/>
    <w:rsid w:val="00AE152F"/>
    <w:rsid w:val="00AE1C2D"/>
    <w:rsid w:val="00AE1EBE"/>
    <w:rsid w:val="00AE3683"/>
    <w:rsid w:val="00AE3860"/>
    <w:rsid w:val="00AE3A43"/>
    <w:rsid w:val="00AE3E5C"/>
    <w:rsid w:val="00AE4075"/>
    <w:rsid w:val="00AE527F"/>
    <w:rsid w:val="00AE52B4"/>
    <w:rsid w:val="00AE5789"/>
    <w:rsid w:val="00AE58D0"/>
    <w:rsid w:val="00AE62EF"/>
    <w:rsid w:val="00AE64C8"/>
    <w:rsid w:val="00AE684D"/>
    <w:rsid w:val="00AE783D"/>
    <w:rsid w:val="00AE7B21"/>
    <w:rsid w:val="00AE7B51"/>
    <w:rsid w:val="00AF082D"/>
    <w:rsid w:val="00AF0944"/>
    <w:rsid w:val="00AF101C"/>
    <w:rsid w:val="00AF1364"/>
    <w:rsid w:val="00AF18F5"/>
    <w:rsid w:val="00AF1BE6"/>
    <w:rsid w:val="00AF1DE2"/>
    <w:rsid w:val="00AF1F47"/>
    <w:rsid w:val="00AF219E"/>
    <w:rsid w:val="00AF2341"/>
    <w:rsid w:val="00AF3B0D"/>
    <w:rsid w:val="00AF4374"/>
    <w:rsid w:val="00AF481F"/>
    <w:rsid w:val="00AF4983"/>
    <w:rsid w:val="00AF507D"/>
    <w:rsid w:val="00AF5146"/>
    <w:rsid w:val="00AF5398"/>
    <w:rsid w:val="00AF573A"/>
    <w:rsid w:val="00AF5AAE"/>
    <w:rsid w:val="00AF630B"/>
    <w:rsid w:val="00AF6479"/>
    <w:rsid w:val="00AF6B0C"/>
    <w:rsid w:val="00AF6E89"/>
    <w:rsid w:val="00AF7AC4"/>
    <w:rsid w:val="00AF7C69"/>
    <w:rsid w:val="00AF7D74"/>
    <w:rsid w:val="00B00105"/>
    <w:rsid w:val="00B00B11"/>
    <w:rsid w:val="00B01006"/>
    <w:rsid w:val="00B01143"/>
    <w:rsid w:val="00B02CA3"/>
    <w:rsid w:val="00B0306D"/>
    <w:rsid w:val="00B030C5"/>
    <w:rsid w:val="00B051D1"/>
    <w:rsid w:val="00B052D3"/>
    <w:rsid w:val="00B058D6"/>
    <w:rsid w:val="00B06496"/>
    <w:rsid w:val="00B066E1"/>
    <w:rsid w:val="00B06DD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3CDB"/>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CEF"/>
    <w:rsid w:val="00B17F89"/>
    <w:rsid w:val="00B20293"/>
    <w:rsid w:val="00B21113"/>
    <w:rsid w:val="00B2180D"/>
    <w:rsid w:val="00B21BE6"/>
    <w:rsid w:val="00B21E74"/>
    <w:rsid w:val="00B21F64"/>
    <w:rsid w:val="00B223AE"/>
    <w:rsid w:val="00B22D3A"/>
    <w:rsid w:val="00B22F35"/>
    <w:rsid w:val="00B23239"/>
    <w:rsid w:val="00B2344A"/>
    <w:rsid w:val="00B2417B"/>
    <w:rsid w:val="00B24378"/>
    <w:rsid w:val="00B257D1"/>
    <w:rsid w:val="00B271CD"/>
    <w:rsid w:val="00B27E3D"/>
    <w:rsid w:val="00B30113"/>
    <w:rsid w:val="00B312FE"/>
    <w:rsid w:val="00B31338"/>
    <w:rsid w:val="00B315D0"/>
    <w:rsid w:val="00B3182D"/>
    <w:rsid w:val="00B31A1E"/>
    <w:rsid w:val="00B31BA9"/>
    <w:rsid w:val="00B32108"/>
    <w:rsid w:val="00B3235F"/>
    <w:rsid w:val="00B32479"/>
    <w:rsid w:val="00B33FDC"/>
    <w:rsid w:val="00B34DAA"/>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9EE"/>
    <w:rsid w:val="00B46BD9"/>
    <w:rsid w:val="00B46ED2"/>
    <w:rsid w:val="00B46FA6"/>
    <w:rsid w:val="00B471BB"/>
    <w:rsid w:val="00B474D3"/>
    <w:rsid w:val="00B478B4"/>
    <w:rsid w:val="00B478F2"/>
    <w:rsid w:val="00B50A7A"/>
    <w:rsid w:val="00B50C69"/>
    <w:rsid w:val="00B50E0F"/>
    <w:rsid w:val="00B50E1E"/>
    <w:rsid w:val="00B5177D"/>
    <w:rsid w:val="00B52349"/>
    <w:rsid w:val="00B52DE9"/>
    <w:rsid w:val="00B5408A"/>
    <w:rsid w:val="00B54162"/>
    <w:rsid w:val="00B5485A"/>
    <w:rsid w:val="00B54AFF"/>
    <w:rsid w:val="00B5559B"/>
    <w:rsid w:val="00B5561F"/>
    <w:rsid w:val="00B55F3F"/>
    <w:rsid w:val="00B56303"/>
    <w:rsid w:val="00B56D4A"/>
    <w:rsid w:val="00B5729C"/>
    <w:rsid w:val="00B60104"/>
    <w:rsid w:val="00B603F8"/>
    <w:rsid w:val="00B607B6"/>
    <w:rsid w:val="00B60EDB"/>
    <w:rsid w:val="00B61144"/>
    <w:rsid w:val="00B613C0"/>
    <w:rsid w:val="00B618AA"/>
    <w:rsid w:val="00B621BE"/>
    <w:rsid w:val="00B6262F"/>
    <w:rsid w:val="00B62C70"/>
    <w:rsid w:val="00B63076"/>
    <w:rsid w:val="00B63539"/>
    <w:rsid w:val="00B63E45"/>
    <w:rsid w:val="00B63F5A"/>
    <w:rsid w:val="00B640C1"/>
    <w:rsid w:val="00B64522"/>
    <w:rsid w:val="00B64E3E"/>
    <w:rsid w:val="00B64FEA"/>
    <w:rsid w:val="00B65017"/>
    <w:rsid w:val="00B65154"/>
    <w:rsid w:val="00B65CBF"/>
    <w:rsid w:val="00B66208"/>
    <w:rsid w:val="00B6623C"/>
    <w:rsid w:val="00B66B69"/>
    <w:rsid w:val="00B66BFB"/>
    <w:rsid w:val="00B6721D"/>
    <w:rsid w:val="00B67730"/>
    <w:rsid w:val="00B702E0"/>
    <w:rsid w:val="00B71EF4"/>
    <w:rsid w:val="00B72D46"/>
    <w:rsid w:val="00B7329F"/>
    <w:rsid w:val="00B73BFB"/>
    <w:rsid w:val="00B73CFD"/>
    <w:rsid w:val="00B74AC8"/>
    <w:rsid w:val="00B74D3C"/>
    <w:rsid w:val="00B74D62"/>
    <w:rsid w:val="00B74FED"/>
    <w:rsid w:val="00B753A0"/>
    <w:rsid w:val="00B759DC"/>
    <w:rsid w:val="00B75AD7"/>
    <w:rsid w:val="00B75FFD"/>
    <w:rsid w:val="00B76475"/>
    <w:rsid w:val="00B76C9E"/>
    <w:rsid w:val="00B7703C"/>
    <w:rsid w:val="00B77695"/>
    <w:rsid w:val="00B802C6"/>
    <w:rsid w:val="00B807ED"/>
    <w:rsid w:val="00B8082D"/>
    <w:rsid w:val="00B81419"/>
    <w:rsid w:val="00B819F6"/>
    <w:rsid w:val="00B81EAD"/>
    <w:rsid w:val="00B81FD3"/>
    <w:rsid w:val="00B827D2"/>
    <w:rsid w:val="00B82ABB"/>
    <w:rsid w:val="00B8353D"/>
    <w:rsid w:val="00B8353E"/>
    <w:rsid w:val="00B83A5A"/>
    <w:rsid w:val="00B83BC9"/>
    <w:rsid w:val="00B83EEE"/>
    <w:rsid w:val="00B83F72"/>
    <w:rsid w:val="00B84766"/>
    <w:rsid w:val="00B84D1E"/>
    <w:rsid w:val="00B84F22"/>
    <w:rsid w:val="00B8571A"/>
    <w:rsid w:val="00B858FE"/>
    <w:rsid w:val="00B865D3"/>
    <w:rsid w:val="00B9008F"/>
    <w:rsid w:val="00B9037B"/>
    <w:rsid w:val="00B90435"/>
    <w:rsid w:val="00B90E22"/>
    <w:rsid w:val="00B911EF"/>
    <w:rsid w:val="00B9120E"/>
    <w:rsid w:val="00B9172A"/>
    <w:rsid w:val="00B9206E"/>
    <w:rsid w:val="00B93146"/>
    <w:rsid w:val="00B935F4"/>
    <w:rsid w:val="00B93FBF"/>
    <w:rsid w:val="00B9414E"/>
    <w:rsid w:val="00B94723"/>
    <w:rsid w:val="00B94B13"/>
    <w:rsid w:val="00B95524"/>
    <w:rsid w:val="00B95550"/>
    <w:rsid w:val="00B9590B"/>
    <w:rsid w:val="00B959BF"/>
    <w:rsid w:val="00B95EE3"/>
    <w:rsid w:val="00B96A11"/>
    <w:rsid w:val="00B96BFE"/>
    <w:rsid w:val="00B96ED0"/>
    <w:rsid w:val="00B970C0"/>
    <w:rsid w:val="00B97452"/>
    <w:rsid w:val="00B97B3A"/>
    <w:rsid w:val="00BA09FF"/>
    <w:rsid w:val="00BA0AA2"/>
    <w:rsid w:val="00BA1AED"/>
    <w:rsid w:val="00BA1D38"/>
    <w:rsid w:val="00BA3F5B"/>
    <w:rsid w:val="00BA5180"/>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14DA"/>
    <w:rsid w:val="00BB1982"/>
    <w:rsid w:val="00BB2059"/>
    <w:rsid w:val="00BB2D5F"/>
    <w:rsid w:val="00BB3133"/>
    <w:rsid w:val="00BB3654"/>
    <w:rsid w:val="00BB4178"/>
    <w:rsid w:val="00BB4847"/>
    <w:rsid w:val="00BB4A37"/>
    <w:rsid w:val="00BB4C57"/>
    <w:rsid w:val="00BB525D"/>
    <w:rsid w:val="00BB547E"/>
    <w:rsid w:val="00BB5FF4"/>
    <w:rsid w:val="00BB613C"/>
    <w:rsid w:val="00BB6E26"/>
    <w:rsid w:val="00BB6E68"/>
    <w:rsid w:val="00BB6F7D"/>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94F"/>
    <w:rsid w:val="00BC526F"/>
    <w:rsid w:val="00BC52B4"/>
    <w:rsid w:val="00BC5614"/>
    <w:rsid w:val="00BC64DB"/>
    <w:rsid w:val="00BC7395"/>
    <w:rsid w:val="00BC7449"/>
    <w:rsid w:val="00BC7D40"/>
    <w:rsid w:val="00BD070C"/>
    <w:rsid w:val="00BD07D1"/>
    <w:rsid w:val="00BD1807"/>
    <w:rsid w:val="00BD1A39"/>
    <w:rsid w:val="00BD302B"/>
    <w:rsid w:val="00BD3F6F"/>
    <w:rsid w:val="00BD403D"/>
    <w:rsid w:val="00BD410B"/>
    <w:rsid w:val="00BD4660"/>
    <w:rsid w:val="00BD4C80"/>
    <w:rsid w:val="00BD4D2C"/>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10FB"/>
    <w:rsid w:val="00BF1E51"/>
    <w:rsid w:val="00BF1F76"/>
    <w:rsid w:val="00BF200C"/>
    <w:rsid w:val="00BF206F"/>
    <w:rsid w:val="00BF2B32"/>
    <w:rsid w:val="00BF2CD3"/>
    <w:rsid w:val="00BF324A"/>
    <w:rsid w:val="00BF3BC9"/>
    <w:rsid w:val="00BF44EF"/>
    <w:rsid w:val="00BF4608"/>
    <w:rsid w:val="00BF48A0"/>
    <w:rsid w:val="00BF594C"/>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824"/>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8D0"/>
    <w:rsid w:val="00C05B2A"/>
    <w:rsid w:val="00C05D0E"/>
    <w:rsid w:val="00C06007"/>
    <w:rsid w:val="00C07662"/>
    <w:rsid w:val="00C07A4E"/>
    <w:rsid w:val="00C10474"/>
    <w:rsid w:val="00C1079C"/>
    <w:rsid w:val="00C10D2C"/>
    <w:rsid w:val="00C1211C"/>
    <w:rsid w:val="00C12808"/>
    <w:rsid w:val="00C1294D"/>
    <w:rsid w:val="00C12EE8"/>
    <w:rsid w:val="00C13102"/>
    <w:rsid w:val="00C136A3"/>
    <w:rsid w:val="00C13ECE"/>
    <w:rsid w:val="00C140B1"/>
    <w:rsid w:val="00C146A4"/>
    <w:rsid w:val="00C147AE"/>
    <w:rsid w:val="00C14ABE"/>
    <w:rsid w:val="00C14DE0"/>
    <w:rsid w:val="00C15D0C"/>
    <w:rsid w:val="00C15DAB"/>
    <w:rsid w:val="00C16519"/>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5379"/>
    <w:rsid w:val="00C256CE"/>
    <w:rsid w:val="00C31726"/>
    <w:rsid w:val="00C31B98"/>
    <w:rsid w:val="00C32626"/>
    <w:rsid w:val="00C32651"/>
    <w:rsid w:val="00C3329C"/>
    <w:rsid w:val="00C335D4"/>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568"/>
    <w:rsid w:val="00C406D8"/>
    <w:rsid w:val="00C41412"/>
    <w:rsid w:val="00C417AF"/>
    <w:rsid w:val="00C423FD"/>
    <w:rsid w:val="00C4264B"/>
    <w:rsid w:val="00C428BD"/>
    <w:rsid w:val="00C42916"/>
    <w:rsid w:val="00C42B06"/>
    <w:rsid w:val="00C43CDB"/>
    <w:rsid w:val="00C44FD4"/>
    <w:rsid w:val="00C45B05"/>
    <w:rsid w:val="00C45FB5"/>
    <w:rsid w:val="00C46940"/>
    <w:rsid w:val="00C470F6"/>
    <w:rsid w:val="00C47663"/>
    <w:rsid w:val="00C478C6"/>
    <w:rsid w:val="00C50F67"/>
    <w:rsid w:val="00C51245"/>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A15"/>
    <w:rsid w:val="00C56D2E"/>
    <w:rsid w:val="00C56E83"/>
    <w:rsid w:val="00C5707E"/>
    <w:rsid w:val="00C6028A"/>
    <w:rsid w:val="00C60365"/>
    <w:rsid w:val="00C60BB6"/>
    <w:rsid w:val="00C60FED"/>
    <w:rsid w:val="00C616E9"/>
    <w:rsid w:val="00C61895"/>
    <w:rsid w:val="00C61DAC"/>
    <w:rsid w:val="00C61F2D"/>
    <w:rsid w:val="00C6221E"/>
    <w:rsid w:val="00C6342C"/>
    <w:rsid w:val="00C639B1"/>
    <w:rsid w:val="00C63BCF"/>
    <w:rsid w:val="00C63EA3"/>
    <w:rsid w:val="00C650DD"/>
    <w:rsid w:val="00C655E1"/>
    <w:rsid w:val="00C66143"/>
    <w:rsid w:val="00C66A79"/>
    <w:rsid w:val="00C66E5E"/>
    <w:rsid w:val="00C671A8"/>
    <w:rsid w:val="00C7003A"/>
    <w:rsid w:val="00C70829"/>
    <w:rsid w:val="00C70B1B"/>
    <w:rsid w:val="00C711B4"/>
    <w:rsid w:val="00C72E32"/>
    <w:rsid w:val="00C7356A"/>
    <w:rsid w:val="00C7455A"/>
    <w:rsid w:val="00C75506"/>
    <w:rsid w:val="00C75713"/>
    <w:rsid w:val="00C7624C"/>
    <w:rsid w:val="00C771D7"/>
    <w:rsid w:val="00C7745E"/>
    <w:rsid w:val="00C8007B"/>
    <w:rsid w:val="00C80372"/>
    <w:rsid w:val="00C806A7"/>
    <w:rsid w:val="00C808BB"/>
    <w:rsid w:val="00C812B0"/>
    <w:rsid w:val="00C815D5"/>
    <w:rsid w:val="00C81B84"/>
    <w:rsid w:val="00C81E7C"/>
    <w:rsid w:val="00C81FC8"/>
    <w:rsid w:val="00C8287D"/>
    <w:rsid w:val="00C83238"/>
    <w:rsid w:val="00C8372F"/>
    <w:rsid w:val="00C83BC6"/>
    <w:rsid w:val="00C83E97"/>
    <w:rsid w:val="00C84288"/>
    <w:rsid w:val="00C84A2A"/>
    <w:rsid w:val="00C8581B"/>
    <w:rsid w:val="00C8634B"/>
    <w:rsid w:val="00C863E9"/>
    <w:rsid w:val="00C8657B"/>
    <w:rsid w:val="00C86B81"/>
    <w:rsid w:val="00C86CC5"/>
    <w:rsid w:val="00C905AB"/>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B4A"/>
    <w:rsid w:val="00C95D20"/>
    <w:rsid w:val="00C961F0"/>
    <w:rsid w:val="00C96AFB"/>
    <w:rsid w:val="00C97867"/>
    <w:rsid w:val="00C97F09"/>
    <w:rsid w:val="00CA0A70"/>
    <w:rsid w:val="00CA1444"/>
    <w:rsid w:val="00CA19EA"/>
    <w:rsid w:val="00CA2383"/>
    <w:rsid w:val="00CA2A69"/>
    <w:rsid w:val="00CA32FD"/>
    <w:rsid w:val="00CA3579"/>
    <w:rsid w:val="00CA38F5"/>
    <w:rsid w:val="00CA3A01"/>
    <w:rsid w:val="00CA4DD8"/>
    <w:rsid w:val="00CA5258"/>
    <w:rsid w:val="00CA612E"/>
    <w:rsid w:val="00CA6381"/>
    <w:rsid w:val="00CA65BD"/>
    <w:rsid w:val="00CA6F3A"/>
    <w:rsid w:val="00CA7B06"/>
    <w:rsid w:val="00CA7BBD"/>
    <w:rsid w:val="00CA7CA3"/>
    <w:rsid w:val="00CB006E"/>
    <w:rsid w:val="00CB0BE2"/>
    <w:rsid w:val="00CB146B"/>
    <w:rsid w:val="00CB236C"/>
    <w:rsid w:val="00CB299E"/>
    <w:rsid w:val="00CB2EFF"/>
    <w:rsid w:val="00CB2FF4"/>
    <w:rsid w:val="00CB3178"/>
    <w:rsid w:val="00CB33D9"/>
    <w:rsid w:val="00CB3678"/>
    <w:rsid w:val="00CB3B1A"/>
    <w:rsid w:val="00CB47FD"/>
    <w:rsid w:val="00CB4D8F"/>
    <w:rsid w:val="00CB4FD3"/>
    <w:rsid w:val="00CB5250"/>
    <w:rsid w:val="00CB5830"/>
    <w:rsid w:val="00CB59A8"/>
    <w:rsid w:val="00CB6A83"/>
    <w:rsid w:val="00CB6E6A"/>
    <w:rsid w:val="00CB78F1"/>
    <w:rsid w:val="00CB7D57"/>
    <w:rsid w:val="00CC0B38"/>
    <w:rsid w:val="00CC10A7"/>
    <w:rsid w:val="00CC1792"/>
    <w:rsid w:val="00CC20AD"/>
    <w:rsid w:val="00CC23FB"/>
    <w:rsid w:val="00CC26E1"/>
    <w:rsid w:val="00CC306E"/>
    <w:rsid w:val="00CC33E0"/>
    <w:rsid w:val="00CC3FAB"/>
    <w:rsid w:val="00CC461C"/>
    <w:rsid w:val="00CC52AD"/>
    <w:rsid w:val="00CC5D77"/>
    <w:rsid w:val="00CC6A2D"/>
    <w:rsid w:val="00CC6D26"/>
    <w:rsid w:val="00CC7413"/>
    <w:rsid w:val="00CC7D6D"/>
    <w:rsid w:val="00CC7E74"/>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FAF"/>
    <w:rsid w:val="00CD53E4"/>
    <w:rsid w:val="00CD5D69"/>
    <w:rsid w:val="00CD5EB9"/>
    <w:rsid w:val="00CD611A"/>
    <w:rsid w:val="00CD6CA1"/>
    <w:rsid w:val="00CD7BB4"/>
    <w:rsid w:val="00CE004A"/>
    <w:rsid w:val="00CE0370"/>
    <w:rsid w:val="00CE04D5"/>
    <w:rsid w:val="00CE0AF1"/>
    <w:rsid w:val="00CE1B80"/>
    <w:rsid w:val="00CE1EBA"/>
    <w:rsid w:val="00CE2055"/>
    <w:rsid w:val="00CE24C6"/>
    <w:rsid w:val="00CE2E74"/>
    <w:rsid w:val="00CE3EEC"/>
    <w:rsid w:val="00CE42F7"/>
    <w:rsid w:val="00CE4BAE"/>
    <w:rsid w:val="00CE5320"/>
    <w:rsid w:val="00CE5776"/>
    <w:rsid w:val="00CE59A9"/>
    <w:rsid w:val="00CE5AE0"/>
    <w:rsid w:val="00CE5BEF"/>
    <w:rsid w:val="00CE67EF"/>
    <w:rsid w:val="00CE68E9"/>
    <w:rsid w:val="00CE6986"/>
    <w:rsid w:val="00CE7A97"/>
    <w:rsid w:val="00CE7FF6"/>
    <w:rsid w:val="00CF0937"/>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CE4"/>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DAE"/>
    <w:rsid w:val="00D04EA5"/>
    <w:rsid w:val="00D05090"/>
    <w:rsid w:val="00D0563E"/>
    <w:rsid w:val="00D05B4B"/>
    <w:rsid w:val="00D06096"/>
    <w:rsid w:val="00D06821"/>
    <w:rsid w:val="00D06F91"/>
    <w:rsid w:val="00D10684"/>
    <w:rsid w:val="00D10C99"/>
    <w:rsid w:val="00D1168C"/>
    <w:rsid w:val="00D1193F"/>
    <w:rsid w:val="00D11A32"/>
    <w:rsid w:val="00D12539"/>
    <w:rsid w:val="00D129B7"/>
    <w:rsid w:val="00D12F95"/>
    <w:rsid w:val="00D1419B"/>
    <w:rsid w:val="00D148BF"/>
    <w:rsid w:val="00D14967"/>
    <w:rsid w:val="00D153AC"/>
    <w:rsid w:val="00D153C1"/>
    <w:rsid w:val="00D159C8"/>
    <w:rsid w:val="00D15A16"/>
    <w:rsid w:val="00D15F3F"/>
    <w:rsid w:val="00D16216"/>
    <w:rsid w:val="00D16373"/>
    <w:rsid w:val="00D16536"/>
    <w:rsid w:val="00D16DED"/>
    <w:rsid w:val="00D1749E"/>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72A"/>
    <w:rsid w:val="00D3092C"/>
    <w:rsid w:val="00D30B64"/>
    <w:rsid w:val="00D30BC8"/>
    <w:rsid w:val="00D31EC3"/>
    <w:rsid w:val="00D3280D"/>
    <w:rsid w:val="00D32D1A"/>
    <w:rsid w:val="00D33245"/>
    <w:rsid w:val="00D3376A"/>
    <w:rsid w:val="00D34752"/>
    <w:rsid w:val="00D34CDA"/>
    <w:rsid w:val="00D35AB7"/>
    <w:rsid w:val="00D35FD9"/>
    <w:rsid w:val="00D36685"/>
    <w:rsid w:val="00D36783"/>
    <w:rsid w:val="00D37CF3"/>
    <w:rsid w:val="00D40067"/>
    <w:rsid w:val="00D400B8"/>
    <w:rsid w:val="00D400BA"/>
    <w:rsid w:val="00D40415"/>
    <w:rsid w:val="00D404E2"/>
    <w:rsid w:val="00D40EB8"/>
    <w:rsid w:val="00D41199"/>
    <w:rsid w:val="00D41425"/>
    <w:rsid w:val="00D41CFA"/>
    <w:rsid w:val="00D428B1"/>
    <w:rsid w:val="00D43916"/>
    <w:rsid w:val="00D43F3E"/>
    <w:rsid w:val="00D44884"/>
    <w:rsid w:val="00D44AEE"/>
    <w:rsid w:val="00D44EC3"/>
    <w:rsid w:val="00D45909"/>
    <w:rsid w:val="00D4694D"/>
    <w:rsid w:val="00D47274"/>
    <w:rsid w:val="00D47F74"/>
    <w:rsid w:val="00D47FB3"/>
    <w:rsid w:val="00D512E6"/>
    <w:rsid w:val="00D5158C"/>
    <w:rsid w:val="00D5193F"/>
    <w:rsid w:val="00D51ADC"/>
    <w:rsid w:val="00D52D5C"/>
    <w:rsid w:val="00D52FA3"/>
    <w:rsid w:val="00D52FDD"/>
    <w:rsid w:val="00D53A22"/>
    <w:rsid w:val="00D53CAE"/>
    <w:rsid w:val="00D53E13"/>
    <w:rsid w:val="00D54A8B"/>
    <w:rsid w:val="00D54C29"/>
    <w:rsid w:val="00D55292"/>
    <w:rsid w:val="00D561E6"/>
    <w:rsid w:val="00D561F3"/>
    <w:rsid w:val="00D56437"/>
    <w:rsid w:val="00D56836"/>
    <w:rsid w:val="00D5685B"/>
    <w:rsid w:val="00D568F8"/>
    <w:rsid w:val="00D600A3"/>
    <w:rsid w:val="00D604EB"/>
    <w:rsid w:val="00D60A55"/>
    <w:rsid w:val="00D619D8"/>
    <w:rsid w:val="00D61A7A"/>
    <w:rsid w:val="00D63171"/>
    <w:rsid w:val="00D63670"/>
    <w:rsid w:val="00D63A48"/>
    <w:rsid w:val="00D64178"/>
    <w:rsid w:val="00D6418C"/>
    <w:rsid w:val="00D649AE"/>
    <w:rsid w:val="00D64C47"/>
    <w:rsid w:val="00D656B3"/>
    <w:rsid w:val="00D65A5E"/>
    <w:rsid w:val="00D65AE0"/>
    <w:rsid w:val="00D65D5A"/>
    <w:rsid w:val="00D65E6D"/>
    <w:rsid w:val="00D65EFA"/>
    <w:rsid w:val="00D66301"/>
    <w:rsid w:val="00D66E54"/>
    <w:rsid w:val="00D70199"/>
    <w:rsid w:val="00D70AE9"/>
    <w:rsid w:val="00D70B30"/>
    <w:rsid w:val="00D70CD7"/>
    <w:rsid w:val="00D7133D"/>
    <w:rsid w:val="00D7136A"/>
    <w:rsid w:val="00D725E2"/>
    <w:rsid w:val="00D727E7"/>
    <w:rsid w:val="00D72CFD"/>
    <w:rsid w:val="00D73EA0"/>
    <w:rsid w:val="00D741D5"/>
    <w:rsid w:val="00D74230"/>
    <w:rsid w:val="00D74493"/>
    <w:rsid w:val="00D74648"/>
    <w:rsid w:val="00D7524E"/>
    <w:rsid w:val="00D75437"/>
    <w:rsid w:val="00D75489"/>
    <w:rsid w:val="00D75F17"/>
    <w:rsid w:val="00D76700"/>
    <w:rsid w:val="00D76ADB"/>
    <w:rsid w:val="00D77807"/>
    <w:rsid w:val="00D80823"/>
    <w:rsid w:val="00D80B21"/>
    <w:rsid w:val="00D81B79"/>
    <w:rsid w:val="00D8225B"/>
    <w:rsid w:val="00D82A02"/>
    <w:rsid w:val="00D82A63"/>
    <w:rsid w:val="00D82BB2"/>
    <w:rsid w:val="00D82ECB"/>
    <w:rsid w:val="00D8394D"/>
    <w:rsid w:val="00D8477F"/>
    <w:rsid w:val="00D84EC8"/>
    <w:rsid w:val="00D84F4C"/>
    <w:rsid w:val="00D85418"/>
    <w:rsid w:val="00D854E3"/>
    <w:rsid w:val="00D8569F"/>
    <w:rsid w:val="00D856C4"/>
    <w:rsid w:val="00D85F7C"/>
    <w:rsid w:val="00D86F9A"/>
    <w:rsid w:val="00D8717E"/>
    <w:rsid w:val="00D8766A"/>
    <w:rsid w:val="00D902B0"/>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A2F"/>
    <w:rsid w:val="00DA2305"/>
    <w:rsid w:val="00DA30C6"/>
    <w:rsid w:val="00DA3206"/>
    <w:rsid w:val="00DA343F"/>
    <w:rsid w:val="00DA437A"/>
    <w:rsid w:val="00DA4D32"/>
    <w:rsid w:val="00DA5544"/>
    <w:rsid w:val="00DA578F"/>
    <w:rsid w:val="00DA5B05"/>
    <w:rsid w:val="00DA5D4C"/>
    <w:rsid w:val="00DA6732"/>
    <w:rsid w:val="00DA6739"/>
    <w:rsid w:val="00DA69FD"/>
    <w:rsid w:val="00DA6E1C"/>
    <w:rsid w:val="00DA6EEF"/>
    <w:rsid w:val="00DA7027"/>
    <w:rsid w:val="00DA7225"/>
    <w:rsid w:val="00DA76BA"/>
    <w:rsid w:val="00DA79B2"/>
    <w:rsid w:val="00DB071A"/>
    <w:rsid w:val="00DB07C2"/>
    <w:rsid w:val="00DB1FB3"/>
    <w:rsid w:val="00DB2967"/>
    <w:rsid w:val="00DB2994"/>
    <w:rsid w:val="00DB318E"/>
    <w:rsid w:val="00DB324C"/>
    <w:rsid w:val="00DB40A9"/>
    <w:rsid w:val="00DB4174"/>
    <w:rsid w:val="00DB4416"/>
    <w:rsid w:val="00DB4577"/>
    <w:rsid w:val="00DB459D"/>
    <w:rsid w:val="00DB54B7"/>
    <w:rsid w:val="00DB5EF3"/>
    <w:rsid w:val="00DB6B6C"/>
    <w:rsid w:val="00DB7331"/>
    <w:rsid w:val="00DB7550"/>
    <w:rsid w:val="00DB7614"/>
    <w:rsid w:val="00DB7791"/>
    <w:rsid w:val="00DB7B7F"/>
    <w:rsid w:val="00DC0BAE"/>
    <w:rsid w:val="00DC0C42"/>
    <w:rsid w:val="00DC13AD"/>
    <w:rsid w:val="00DC1CB6"/>
    <w:rsid w:val="00DC36D2"/>
    <w:rsid w:val="00DC3BB6"/>
    <w:rsid w:val="00DC4569"/>
    <w:rsid w:val="00DC4BC0"/>
    <w:rsid w:val="00DC4BD0"/>
    <w:rsid w:val="00DC65E0"/>
    <w:rsid w:val="00DC68C0"/>
    <w:rsid w:val="00DC6CD8"/>
    <w:rsid w:val="00DC7421"/>
    <w:rsid w:val="00DC7F69"/>
    <w:rsid w:val="00DD01DA"/>
    <w:rsid w:val="00DD036F"/>
    <w:rsid w:val="00DD0944"/>
    <w:rsid w:val="00DD11B7"/>
    <w:rsid w:val="00DD1349"/>
    <w:rsid w:val="00DD1444"/>
    <w:rsid w:val="00DD14D5"/>
    <w:rsid w:val="00DD16F2"/>
    <w:rsid w:val="00DD2588"/>
    <w:rsid w:val="00DD3708"/>
    <w:rsid w:val="00DD39D4"/>
    <w:rsid w:val="00DD3B3E"/>
    <w:rsid w:val="00DD3CD9"/>
    <w:rsid w:val="00DD41CB"/>
    <w:rsid w:val="00DD465C"/>
    <w:rsid w:val="00DD48C1"/>
    <w:rsid w:val="00DD4C35"/>
    <w:rsid w:val="00DD4E74"/>
    <w:rsid w:val="00DD548F"/>
    <w:rsid w:val="00DD5A74"/>
    <w:rsid w:val="00DD5D6B"/>
    <w:rsid w:val="00DD6097"/>
    <w:rsid w:val="00DD6136"/>
    <w:rsid w:val="00DD6179"/>
    <w:rsid w:val="00DD7160"/>
    <w:rsid w:val="00DD724D"/>
    <w:rsid w:val="00DD7DA3"/>
    <w:rsid w:val="00DD7FA5"/>
    <w:rsid w:val="00DE00BF"/>
    <w:rsid w:val="00DE0479"/>
    <w:rsid w:val="00DE051F"/>
    <w:rsid w:val="00DE0F76"/>
    <w:rsid w:val="00DE132A"/>
    <w:rsid w:val="00DE17F5"/>
    <w:rsid w:val="00DE1816"/>
    <w:rsid w:val="00DE1A54"/>
    <w:rsid w:val="00DE1DF1"/>
    <w:rsid w:val="00DE1EAB"/>
    <w:rsid w:val="00DE2EB7"/>
    <w:rsid w:val="00DE336D"/>
    <w:rsid w:val="00DE37B0"/>
    <w:rsid w:val="00DE3A22"/>
    <w:rsid w:val="00DE402C"/>
    <w:rsid w:val="00DE4374"/>
    <w:rsid w:val="00DE4436"/>
    <w:rsid w:val="00DE5170"/>
    <w:rsid w:val="00DE51A3"/>
    <w:rsid w:val="00DE5504"/>
    <w:rsid w:val="00DE58A5"/>
    <w:rsid w:val="00DE5A3A"/>
    <w:rsid w:val="00DE5FE1"/>
    <w:rsid w:val="00DE6ADF"/>
    <w:rsid w:val="00DE765F"/>
    <w:rsid w:val="00DE7B6B"/>
    <w:rsid w:val="00DF089F"/>
    <w:rsid w:val="00DF15DD"/>
    <w:rsid w:val="00DF1A9D"/>
    <w:rsid w:val="00DF32A7"/>
    <w:rsid w:val="00DF372F"/>
    <w:rsid w:val="00DF4149"/>
    <w:rsid w:val="00DF4859"/>
    <w:rsid w:val="00DF516D"/>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596"/>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7E0"/>
    <w:rsid w:val="00E1511B"/>
    <w:rsid w:val="00E157D9"/>
    <w:rsid w:val="00E15E1A"/>
    <w:rsid w:val="00E16354"/>
    <w:rsid w:val="00E16C8F"/>
    <w:rsid w:val="00E17041"/>
    <w:rsid w:val="00E1784D"/>
    <w:rsid w:val="00E17923"/>
    <w:rsid w:val="00E17DEE"/>
    <w:rsid w:val="00E200FF"/>
    <w:rsid w:val="00E211F9"/>
    <w:rsid w:val="00E21A3A"/>
    <w:rsid w:val="00E223BB"/>
    <w:rsid w:val="00E22F76"/>
    <w:rsid w:val="00E23120"/>
    <w:rsid w:val="00E243F6"/>
    <w:rsid w:val="00E24A04"/>
    <w:rsid w:val="00E2593C"/>
    <w:rsid w:val="00E260E1"/>
    <w:rsid w:val="00E266BF"/>
    <w:rsid w:val="00E26D46"/>
    <w:rsid w:val="00E275D8"/>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6212"/>
    <w:rsid w:val="00E463BA"/>
    <w:rsid w:val="00E4788B"/>
    <w:rsid w:val="00E47E0B"/>
    <w:rsid w:val="00E50105"/>
    <w:rsid w:val="00E5025B"/>
    <w:rsid w:val="00E503DC"/>
    <w:rsid w:val="00E5046E"/>
    <w:rsid w:val="00E50E62"/>
    <w:rsid w:val="00E516B1"/>
    <w:rsid w:val="00E5174C"/>
    <w:rsid w:val="00E51D6B"/>
    <w:rsid w:val="00E524C0"/>
    <w:rsid w:val="00E5280A"/>
    <w:rsid w:val="00E533A7"/>
    <w:rsid w:val="00E53411"/>
    <w:rsid w:val="00E5387E"/>
    <w:rsid w:val="00E53A88"/>
    <w:rsid w:val="00E5427B"/>
    <w:rsid w:val="00E54713"/>
    <w:rsid w:val="00E54B8E"/>
    <w:rsid w:val="00E54C67"/>
    <w:rsid w:val="00E54E97"/>
    <w:rsid w:val="00E55099"/>
    <w:rsid w:val="00E5542F"/>
    <w:rsid w:val="00E55566"/>
    <w:rsid w:val="00E559E0"/>
    <w:rsid w:val="00E55CDB"/>
    <w:rsid w:val="00E55D6E"/>
    <w:rsid w:val="00E560C3"/>
    <w:rsid w:val="00E56563"/>
    <w:rsid w:val="00E5702F"/>
    <w:rsid w:val="00E57691"/>
    <w:rsid w:val="00E6025B"/>
    <w:rsid w:val="00E6087E"/>
    <w:rsid w:val="00E616C0"/>
    <w:rsid w:val="00E61D0F"/>
    <w:rsid w:val="00E62123"/>
    <w:rsid w:val="00E62B53"/>
    <w:rsid w:val="00E6318C"/>
    <w:rsid w:val="00E6386F"/>
    <w:rsid w:val="00E63BC7"/>
    <w:rsid w:val="00E6445A"/>
    <w:rsid w:val="00E64737"/>
    <w:rsid w:val="00E64BFF"/>
    <w:rsid w:val="00E64CFA"/>
    <w:rsid w:val="00E64E90"/>
    <w:rsid w:val="00E6568F"/>
    <w:rsid w:val="00E66083"/>
    <w:rsid w:val="00E66933"/>
    <w:rsid w:val="00E66A7E"/>
    <w:rsid w:val="00E66AD5"/>
    <w:rsid w:val="00E66BA8"/>
    <w:rsid w:val="00E66D96"/>
    <w:rsid w:val="00E66FDE"/>
    <w:rsid w:val="00E70119"/>
    <w:rsid w:val="00E70A3F"/>
    <w:rsid w:val="00E70FA3"/>
    <w:rsid w:val="00E718C2"/>
    <w:rsid w:val="00E7277A"/>
    <w:rsid w:val="00E72DAB"/>
    <w:rsid w:val="00E73471"/>
    <w:rsid w:val="00E73780"/>
    <w:rsid w:val="00E74F89"/>
    <w:rsid w:val="00E75101"/>
    <w:rsid w:val="00E7520A"/>
    <w:rsid w:val="00E755D8"/>
    <w:rsid w:val="00E756B1"/>
    <w:rsid w:val="00E75A14"/>
    <w:rsid w:val="00E76432"/>
    <w:rsid w:val="00E76BBB"/>
    <w:rsid w:val="00E77C96"/>
    <w:rsid w:val="00E77E85"/>
    <w:rsid w:val="00E77F51"/>
    <w:rsid w:val="00E80606"/>
    <w:rsid w:val="00E80626"/>
    <w:rsid w:val="00E809A2"/>
    <w:rsid w:val="00E81571"/>
    <w:rsid w:val="00E81711"/>
    <w:rsid w:val="00E8189A"/>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32AD"/>
    <w:rsid w:val="00E93A92"/>
    <w:rsid w:val="00E93D48"/>
    <w:rsid w:val="00E94138"/>
    <w:rsid w:val="00E94579"/>
    <w:rsid w:val="00E946E1"/>
    <w:rsid w:val="00E94C77"/>
    <w:rsid w:val="00E94DE4"/>
    <w:rsid w:val="00E953DD"/>
    <w:rsid w:val="00E95998"/>
    <w:rsid w:val="00E95EAB"/>
    <w:rsid w:val="00E96054"/>
    <w:rsid w:val="00E962CA"/>
    <w:rsid w:val="00E97223"/>
    <w:rsid w:val="00E97FEB"/>
    <w:rsid w:val="00EA0756"/>
    <w:rsid w:val="00EA0805"/>
    <w:rsid w:val="00EA081A"/>
    <w:rsid w:val="00EA083A"/>
    <w:rsid w:val="00EA0F83"/>
    <w:rsid w:val="00EA169F"/>
    <w:rsid w:val="00EA1A03"/>
    <w:rsid w:val="00EA1E31"/>
    <w:rsid w:val="00EA25AD"/>
    <w:rsid w:val="00EA3667"/>
    <w:rsid w:val="00EA399C"/>
    <w:rsid w:val="00EA3CA8"/>
    <w:rsid w:val="00EA463C"/>
    <w:rsid w:val="00EA48BA"/>
    <w:rsid w:val="00EA4C82"/>
    <w:rsid w:val="00EA56F8"/>
    <w:rsid w:val="00EA6150"/>
    <w:rsid w:val="00EA64A3"/>
    <w:rsid w:val="00EA6D3C"/>
    <w:rsid w:val="00EB0083"/>
    <w:rsid w:val="00EB0117"/>
    <w:rsid w:val="00EB0B50"/>
    <w:rsid w:val="00EB0BA6"/>
    <w:rsid w:val="00EB2248"/>
    <w:rsid w:val="00EB2292"/>
    <w:rsid w:val="00EB22F2"/>
    <w:rsid w:val="00EB249E"/>
    <w:rsid w:val="00EB284A"/>
    <w:rsid w:val="00EB2B2A"/>
    <w:rsid w:val="00EB2CDF"/>
    <w:rsid w:val="00EB52ED"/>
    <w:rsid w:val="00EB53C9"/>
    <w:rsid w:val="00EB569A"/>
    <w:rsid w:val="00EB57FB"/>
    <w:rsid w:val="00EB58B8"/>
    <w:rsid w:val="00EB5A3E"/>
    <w:rsid w:val="00EB5DDD"/>
    <w:rsid w:val="00EB6764"/>
    <w:rsid w:val="00EB717E"/>
    <w:rsid w:val="00EB7CF8"/>
    <w:rsid w:val="00EB7D63"/>
    <w:rsid w:val="00EC046C"/>
    <w:rsid w:val="00EC0E8E"/>
    <w:rsid w:val="00EC0FFF"/>
    <w:rsid w:val="00EC10AA"/>
    <w:rsid w:val="00EC1638"/>
    <w:rsid w:val="00EC1AD3"/>
    <w:rsid w:val="00EC1CD2"/>
    <w:rsid w:val="00EC2096"/>
    <w:rsid w:val="00EC28C4"/>
    <w:rsid w:val="00EC31B0"/>
    <w:rsid w:val="00EC320F"/>
    <w:rsid w:val="00EC35B2"/>
    <w:rsid w:val="00EC3CAE"/>
    <w:rsid w:val="00EC3F9E"/>
    <w:rsid w:val="00EC54AF"/>
    <w:rsid w:val="00EC5EED"/>
    <w:rsid w:val="00EC5EF9"/>
    <w:rsid w:val="00EC6AD9"/>
    <w:rsid w:val="00EC7026"/>
    <w:rsid w:val="00EC785C"/>
    <w:rsid w:val="00EC7C5D"/>
    <w:rsid w:val="00ED07BF"/>
    <w:rsid w:val="00ED0963"/>
    <w:rsid w:val="00ED0BDD"/>
    <w:rsid w:val="00ED11C6"/>
    <w:rsid w:val="00ED1D41"/>
    <w:rsid w:val="00ED20CB"/>
    <w:rsid w:val="00ED30BC"/>
    <w:rsid w:val="00ED4A29"/>
    <w:rsid w:val="00ED4CA8"/>
    <w:rsid w:val="00ED51D2"/>
    <w:rsid w:val="00ED56C8"/>
    <w:rsid w:val="00ED6257"/>
    <w:rsid w:val="00ED62BB"/>
    <w:rsid w:val="00ED68B4"/>
    <w:rsid w:val="00ED6AEE"/>
    <w:rsid w:val="00ED6F25"/>
    <w:rsid w:val="00ED75EE"/>
    <w:rsid w:val="00ED7DB9"/>
    <w:rsid w:val="00ED7E36"/>
    <w:rsid w:val="00EE088E"/>
    <w:rsid w:val="00EE0D06"/>
    <w:rsid w:val="00EE18C6"/>
    <w:rsid w:val="00EE29EC"/>
    <w:rsid w:val="00EE2FD3"/>
    <w:rsid w:val="00EE3752"/>
    <w:rsid w:val="00EE3A59"/>
    <w:rsid w:val="00EE4570"/>
    <w:rsid w:val="00EE4763"/>
    <w:rsid w:val="00EE484D"/>
    <w:rsid w:val="00EE4901"/>
    <w:rsid w:val="00EE495E"/>
    <w:rsid w:val="00EE52BC"/>
    <w:rsid w:val="00EE5670"/>
    <w:rsid w:val="00EE58F3"/>
    <w:rsid w:val="00EE59AF"/>
    <w:rsid w:val="00EE5EF6"/>
    <w:rsid w:val="00EE665E"/>
    <w:rsid w:val="00EE7201"/>
    <w:rsid w:val="00EE7272"/>
    <w:rsid w:val="00EE74A5"/>
    <w:rsid w:val="00EE7539"/>
    <w:rsid w:val="00EE772E"/>
    <w:rsid w:val="00EE7990"/>
    <w:rsid w:val="00EE7BD8"/>
    <w:rsid w:val="00EF16D9"/>
    <w:rsid w:val="00EF1732"/>
    <w:rsid w:val="00EF1734"/>
    <w:rsid w:val="00EF27FE"/>
    <w:rsid w:val="00EF3B49"/>
    <w:rsid w:val="00EF3DCC"/>
    <w:rsid w:val="00EF4430"/>
    <w:rsid w:val="00EF4F3D"/>
    <w:rsid w:val="00EF5DD8"/>
    <w:rsid w:val="00EF5EB2"/>
    <w:rsid w:val="00EF6755"/>
    <w:rsid w:val="00EF6B15"/>
    <w:rsid w:val="00EF6CD5"/>
    <w:rsid w:val="00EF70B6"/>
    <w:rsid w:val="00EF7443"/>
    <w:rsid w:val="00EF7992"/>
    <w:rsid w:val="00EF79CE"/>
    <w:rsid w:val="00EF7A4B"/>
    <w:rsid w:val="00F00594"/>
    <w:rsid w:val="00F009B4"/>
    <w:rsid w:val="00F00EF0"/>
    <w:rsid w:val="00F0147F"/>
    <w:rsid w:val="00F023F7"/>
    <w:rsid w:val="00F026DB"/>
    <w:rsid w:val="00F02CE0"/>
    <w:rsid w:val="00F0388D"/>
    <w:rsid w:val="00F04178"/>
    <w:rsid w:val="00F04614"/>
    <w:rsid w:val="00F055E7"/>
    <w:rsid w:val="00F06921"/>
    <w:rsid w:val="00F07097"/>
    <w:rsid w:val="00F07483"/>
    <w:rsid w:val="00F075D6"/>
    <w:rsid w:val="00F10D77"/>
    <w:rsid w:val="00F111BB"/>
    <w:rsid w:val="00F12EED"/>
    <w:rsid w:val="00F1310E"/>
    <w:rsid w:val="00F1377A"/>
    <w:rsid w:val="00F1378B"/>
    <w:rsid w:val="00F13796"/>
    <w:rsid w:val="00F13C8F"/>
    <w:rsid w:val="00F151CE"/>
    <w:rsid w:val="00F153DE"/>
    <w:rsid w:val="00F15618"/>
    <w:rsid w:val="00F157FA"/>
    <w:rsid w:val="00F15FB8"/>
    <w:rsid w:val="00F160C8"/>
    <w:rsid w:val="00F1687A"/>
    <w:rsid w:val="00F1779B"/>
    <w:rsid w:val="00F17C3A"/>
    <w:rsid w:val="00F17C5D"/>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7478"/>
    <w:rsid w:val="00F301C3"/>
    <w:rsid w:val="00F30C76"/>
    <w:rsid w:val="00F30DD8"/>
    <w:rsid w:val="00F31939"/>
    <w:rsid w:val="00F325A7"/>
    <w:rsid w:val="00F3334F"/>
    <w:rsid w:val="00F33968"/>
    <w:rsid w:val="00F339A7"/>
    <w:rsid w:val="00F34C6B"/>
    <w:rsid w:val="00F34DC7"/>
    <w:rsid w:val="00F35298"/>
    <w:rsid w:val="00F35768"/>
    <w:rsid w:val="00F366B8"/>
    <w:rsid w:val="00F40577"/>
    <w:rsid w:val="00F40C6A"/>
    <w:rsid w:val="00F41151"/>
    <w:rsid w:val="00F4123D"/>
    <w:rsid w:val="00F4295B"/>
    <w:rsid w:val="00F4359F"/>
    <w:rsid w:val="00F43B72"/>
    <w:rsid w:val="00F44343"/>
    <w:rsid w:val="00F4436E"/>
    <w:rsid w:val="00F44AB9"/>
    <w:rsid w:val="00F44E0D"/>
    <w:rsid w:val="00F452E8"/>
    <w:rsid w:val="00F45C81"/>
    <w:rsid w:val="00F46541"/>
    <w:rsid w:val="00F477CE"/>
    <w:rsid w:val="00F477D6"/>
    <w:rsid w:val="00F47DFA"/>
    <w:rsid w:val="00F47FA1"/>
    <w:rsid w:val="00F50476"/>
    <w:rsid w:val="00F50838"/>
    <w:rsid w:val="00F5149A"/>
    <w:rsid w:val="00F514E4"/>
    <w:rsid w:val="00F51F56"/>
    <w:rsid w:val="00F52190"/>
    <w:rsid w:val="00F52270"/>
    <w:rsid w:val="00F524A8"/>
    <w:rsid w:val="00F52EAE"/>
    <w:rsid w:val="00F52FCC"/>
    <w:rsid w:val="00F537FA"/>
    <w:rsid w:val="00F54592"/>
    <w:rsid w:val="00F547A8"/>
    <w:rsid w:val="00F54F6A"/>
    <w:rsid w:val="00F54F8C"/>
    <w:rsid w:val="00F55B50"/>
    <w:rsid w:val="00F565B8"/>
    <w:rsid w:val="00F56C63"/>
    <w:rsid w:val="00F56FBF"/>
    <w:rsid w:val="00F57334"/>
    <w:rsid w:val="00F57371"/>
    <w:rsid w:val="00F579CA"/>
    <w:rsid w:val="00F57CA8"/>
    <w:rsid w:val="00F60F9E"/>
    <w:rsid w:val="00F6175A"/>
    <w:rsid w:val="00F618F4"/>
    <w:rsid w:val="00F61BBB"/>
    <w:rsid w:val="00F62515"/>
    <w:rsid w:val="00F625E9"/>
    <w:rsid w:val="00F6286E"/>
    <w:rsid w:val="00F62A19"/>
    <w:rsid w:val="00F62C88"/>
    <w:rsid w:val="00F635E4"/>
    <w:rsid w:val="00F637BE"/>
    <w:rsid w:val="00F63C70"/>
    <w:rsid w:val="00F644C7"/>
    <w:rsid w:val="00F64BED"/>
    <w:rsid w:val="00F64EE3"/>
    <w:rsid w:val="00F6540C"/>
    <w:rsid w:val="00F657A7"/>
    <w:rsid w:val="00F65C2F"/>
    <w:rsid w:val="00F6600A"/>
    <w:rsid w:val="00F666B3"/>
    <w:rsid w:val="00F66E00"/>
    <w:rsid w:val="00F66E10"/>
    <w:rsid w:val="00F6755B"/>
    <w:rsid w:val="00F67580"/>
    <w:rsid w:val="00F67D8F"/>
    <w:rsid w:val="00F67EC0"/>
    <w:rsid w:val="00F70399"/>
    <w:rsid w:val="00F7059B"/>
    <w:rsid w:val="00F71B39"/>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77ECB"/>
    <w:rsid w:val="00F80066"/>
    <w:rsid w:val="00F80537"/>
    <w:rsid w:val="00F80ADB"/>
    <w:rsid w:val="00F80DB4"/>
    <w:rsid w:val="00F81A6E"/>
    <w:rsid w:val="00F81CCD"/>
    <w:rsid w:val="00F81D0A"/>
    <w:rsid w:val="00F82047"/>
    <w:rsid w:val="00F82394"/>
    <w:rsid w:val="00F823CC"/>
    <w:rsid w:val="00F823F4"/>
    <w:rsid w:val="00F83432"/>
    <w:rsid w:val="00F842BE"/>
    <w:rsid w:val="00F84E5F"/>
    <w:rsid w:val="00F852F2"/>
    <w:rsid w:val="00F85913"/>
    <w:rsid w:val="00F85A4C"/>
    <w:rsid w:val="00F86702"/>
    <w:rsid w:val="00F86A5A"/>
    <w:rsid w:val="00F86AC2"/>
    <w:rsid w:val="00F86C82"/>
    <w:rsid w:val="00F86DD6"/>
    <w:rsid w:val="00F87128"/>
    <w:rsid w:val="00F9069E"/>
    <w:rsid w:val="00F9279D"/>
    <w:rsid w:val="00F93101"/>
    <w:rsid w:val="00F9387C"/>
    <w:rsid w:val="00F93A8B"/>
    <w:rsid w:val="00F93F82"/>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484"/>
    <w:rsid w:val="00FA1AF6"/>
    <w:rsid w:val="00FA1BDE"/>
    <w:rsid w:val="00FA1C56"/>
    <w:rsid w:val="00FA2599"/>
    <w:rsid w:val="00FA2942"/>
    <w:rsid w:val="00FA296D"/>
    <w:rsid w:val="00FA2D9E"/>
    <w:rsid w:val="00FA411C"/>
    <w:rsid w:val="00FA423E"/>
    <w:rsid w:val="00FA43A0"/>
    <w:rsid w:val="00FA44A5"/>
    <w:rsid w:val="00FA4A56"/>
    <w:rsid w:val="00FA5097"/>
    <w:rsid w:val="00FA5682"/>
    <w:rsid w:val="00FA5E99"/>
    <w:rsid w:val="00FA5F08"/>
    <w:rsid w:val="00FA6446"/>
    <w:rsid w:val="00FA6966"/>
    <w:rsid w:val="00FA7490"/>
    <w:rsid w:val="00FB0035"/>
    <w:rsid w:val="00FB0089"/>
    <w:rsid w:val="00FB09CF"/>
    <w:rsid w:val="00FB0F59"/>
    <w:rsid w:val="00FB1023"/>
    <w:rsid w:val="00FB1983"/>
    <w:rsid w:val="00FB1C27"/>
    <w:rsid w:val="00FB209A"/>
    <w:rsid w:val="00FB223E"/>
    <w:rsid w:val="00FB2C61"/>
    <w:rsid w:val="00FB3024"/>
    <w:rsid w:val="00FB333C"/>
    <w:rsid w:val="00FB3591"/>
    <w:rsid w:val="00FB3FF5"/>
    <w:rsid w:val="00FB4070"/>
    <w:rsid w:val="00FB5270"/>
    <w:rsid w:val="00FB5282"/>
    <w:rsid w:val="00FB6274"/>
    <w:rsid w:val="00FB646C"/>
    <w:rsid w:val="00FB694F"/>
    <w:rsid w:val="00FB6E10"/>
    <w:rsid w:val="00FC014F"/>
    <w:rsid w:val="00FC1DB4"/>
    <w:rsid w:val="00FC29D6"/>
    <w:rsid w:val="00FC3C05"/>
    <w:rsid w:val="00FC4524"/>
    <w:rsid w:val="00FC4B62"/>
    <w:rsid w:val="00FC4D0D"/>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63C"/>
    <w:rsid w:val="00FE025D"/>
    <w:rsid w:val="00FE0977"/>
    <w:rsid w:val="00FE0A29"/>
    <w:rsid w:val="00FE0CBD"/>
    <w:rsid w:val="00FE1A3D"/>
    <w:rsid w:val="00FE23A6"/>
    <w:rsid w:val="00FE2839"/>
    <w:rsid w:val="00FE2C2C"/>
    <w:rsid w:val="00FE2DB6"/>
    <w:rsid w:val="00FE33AF"/>
    <w:rsid w:val="00FE3861"/>
    <w:rsid w:val="00FE3F9A"/>
    <w:rsid w:val="00FE45FF"/>
    <w:rsid w:val="00FE46FC"/>
    <w:rsid w:val="00FE4B73"/>
    <w:rsid w:val="00FE4B8C"/>
    <w:rsid w:val="00FE5B0C"/>
    <w:rsid w:val="00FE6329"/>
    <w:rsid w:val="00FE6773"/>
    <w:rsid w:val="00FE7436"/>
    <w:rsid w:val="00FE74AE"/>
    <w:rsid w:val="00FE768A"/>
    <w:rsid w:val="00FE7FB5"/>
    <w:rsid w:val="00FF0061"/>
    <w:rsid w:val="00FF0209"/>
    <w:rsid w:val="00FF0257"/>
    <w:rsid w:val="00FF0A40"/>
    <w:rsid w:val="00FF0C03"/>
    <w:rsid w:val="00FF0CFF"/>
    <w:rsid w:val="00FF15D2"/>
    <w:rsid w:val="00FF211D"/>
    <w:rsid w:val="00FF2481"/>
    <w:rsid w:val="00FF2EBE"/>
    <w:rsid w:val="00FF31BA"/>
    <w:rsid w:val="00FF33C2"/>
    <w:rsid w:val="00FF397C"/>
    <w:rsid w:val="00FF4612"/>
    <w:rsid w:val="00FF47D4"/>
    <w:rsid w:val="00FF49BE"/>
    <w:rsid w:val="00FF4CD9"/>
    <w:rsid w:val="00FF589F"/>
    <w:rsid w:val="00FF5B0F"/>
    <w:rsid w:val="00FF63A0"/>
    <w:rsid w:val="00FF667A"/>
    <w:rsid w:val="00FF6B86"/>
    <w:rsid w:val="00FF6C43"/>
    <w:rsid w:val="00FF6DDB"/>
    <w:rsid w:val="00FF73A7"/>
    <w:rsid w:val="00FF73CD"/>
    <w:rsid w:val="00FF75A1"/>
    <w:rsid w:val="00FF777A"/>
    <w:rsid w:val="00FF786D"/>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14079F54"/>
  <w15:docId w15:val="{5F376FB3-EB63-415B-ACE7-60FC0C02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iPriority="0"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iPriority="0" w:unhideWhenUsed="1"/>
    <w:lsdException w:name="Table List 5" w:locked="1" w:semiHidden="1" w:unhideWhenUsed="1"/>
    <w:lsdException w:name="Table List 6" w:locked="1" w:semiHidden="1" w:unhideWhenUsed="1"/>
    <w:lsdException w:name="Table List 7" w:locked="1" w:semiHidden="1" w:uiPriority="0"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iPriority="0"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iPriority="0" w:unhideWhenUsed="1"/>
    <w:lsdException w:name="Table Grid"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DC"/>
    <w:pPr>
      <w:contextualSpacing/>
    </w:pPr>
    <w:rPr>
      <w:rFonts w:ascii="Arial" w:eastAsiaTheme="minorHAnsi" w:hAnsi="Arial" w:cstheme="minorBidi"/>
      <w:szCs w:val="22"/>
    </w:rPr>
  </w:style>
  <w:style w:type="paragraph" w:styleId="Heading1">
    <w:name w:val="heading 1"/>
    <w:basedOn w:val="Normal"/>
    <w:next w:val="Normal"/>
    <w:link w:val="Heading1Char"/>
    <w:qFormat/>
    <w:rsid w:val="00641CE5"/>
    <w:pPr>
      <w:keepNext/>
      <w:numPr>
        <w:numId w:val="26"/>
      </w:numPr>
      <w:spacing w:before="360" w:after="120"/>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641CE5"/>
    <w:pPr>
      <w:keepNext/>
      <w:numPr>
        <w:ilvl w:val="1"/>
        <w:numId w:val="26"/>
      </w:numPr>
      <w:spacing w:before="360" w:after="240"/>
      <w:outlineLvl w:val="1"/>
    </w:pPr>
    <w:rPr>
      <w:rFonts w:cs="Arial"/>
      <w:b/>
      <w:bCs/>
      <w:iCs/>
      <w:color w:val="0093C9" w:themeColor="accent3"/>
      <w:sz w:val="26"/>
      <w:szCs w:val="28"/>
    </w:rPr>
  </w:style>
  <w:style w:type="paragraph" w:styleId="Heading3">
    <w:name w:val="heading 3"/>
    <w:basedOn w:val="Normal"/>
    <w:next w:val="Normal"/>
    <w:link w:val="Heading3Char"/>
    <w:qFormat/>
    <w:rsid w:val="00641CE5"/>
    <w:pPr>
      <w:keepNext/>
      <w:numPr>
        <w:ilvl w:val="2"/>
        <w:numId w:val="26"/>
      </w:numPr>
      <w:spacing w:before="360" w:after="240"/>
      <w:outlineLvl w:val="2"/>
    </w:pPr>
    <w:rPr>
      <w:rFonts w:cs="Arial"/>
      <w:b/>
      <w:bCs/>
      <w:i/>
      <w:color w:val="F07B05" w:themeColor="accent5"/>
      <w:szCs w:val="26"/>
    </w:rPr>
  </w:style>
  <w:style w:type="paragraph" w:styleId="Heading4">
    <w:name w:val="heading 4"/>
    <w:basedOn w:val="Normal"/>
    <w:next w:val="Normal"/>
    <w:link w:val="Heading4Char"/>
    <w:unhideWhenUsed/>
    <w:qFormat/>
    <w:rsid w:val="00641CE5"/>
    <w:pPr>
      <w:keepNext/>
      <w:keepLines/>
      <w:numPr>
        <w:ilvl w:val="3"/>
        <w:numId w:val="26"/>
      </w:numPr>
      <w:spacing w:before="360" w:after="240"/>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nhideWhenUsed/>
    <w:qFormat/>
    <w:rsid w:val="00641CE5"/>
    <w:pPr>
      <w:keepNext/>
      <w:keepLines/>
      <w:pageBreakBefore/>
      <w:numPr>
        <w:ilvl w:val="4"/>
        <w:numId w:val="26"/>
      </w:numPr>
      <w:spacing w:before="360" w:after="360"/>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nhideWhenUsed/>
    <w:qFormat/>
    <w:rsid w:val="00641CE5"/>
    <w:pPr>
      <w:keepNext/>
      <w:keepLines/>
      <w:numPr>
        <w:ilvl w:val="5"/>
        <w:numId w:val="26"/>
      </w:numPr>
      <w:spacing w:before="360" w:after="240"/>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ExecSummaryHead1"/>
    <w:next w:val="Normal"/>
    <w:link w:val="Heading7Char"/>
    <w:unhideWhenUsed/>
    <w:qFormat/>
    <w:rsid w:val="00641CE5"/>
    <w:pPr>
      <w:pageBreakBefore/>
      <w:outlineLvl w:val="6"/>
    </w:pPr>
    <w:rPr>
      <w:caps w:val="0"/>
      <w:szCs w:val="26"/>
    </w:rPr>
  </w:style>
  <w:style w:type="paragraph" w:styleId="Heading8">
    <w:name w:val="heading 8"/>
    <w:aliases w:val="Exec Sum Level 2"/>
    <w:basedOn w:val="Normal"/>
    <w:next w:val="Normal"/>
    <w:link w:val="Heading8Char"/>
    <w:unhideWhenUsed/>
    <w:qFormat/>
    <w:rsid w:val="00641CE5"/>
    <w:pPr>
      <w:keepNext/>
      <w:keepLines/>
      <w:spacing w:before="360" w:after="240"/>
      <w:outlineLvl w:val="7"/>
    </w:pPr>
    <w:rPr>
      <w:rFonts w:eastAsiaTheme="majorEastAsia" w:cstheme="majorBidi"/>
      <w:b/>
      <w:color w:val="0093C9" w:themeColor="accent3"/>
      <w:sz w:val="26"/>
      <w:szCs w:val="26"/>
    </w:rPr>
  </w:style>
  <w:style w:type="paragraph" w:styleId="Heading9">
    <w:name w:val="heading 9"/>
    <w:aliases w:val="Exec Sum Level 3"/>
    <w:basedOn w:val="Normal"/>
    <w:next w:val="Normal"/>
    <w:link w:val="Heading9Char"/>
    <w:unhideWhenUsed/>
    <w:qFormat/>
    <w:rsid w:val="00641CE5"/>
    <w:pPr>
      <w:keepNext/>
      <w:keepLines/>
      <w:spacing w:before="360" w:after="240"/>
      <w:outlineLvl w:val="8"/>
    </w:pPr>
    <w:rPr>
      <w:rFonts w:eastAsiaTheme="majorEastAsia" w:cstheme="majorBidi"/>
      <w:b/>
      <w:i/>
      <w:iCs/>
      <w:color w:val="F07B05" w:themeColor="accent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41CE5"/>
    <w:rPr>
      <w:rFonts w:ascii="Arial" w:eastAsiaTheme="minorHAnsi" w:hAnsi="Arial" w:cs="Arial"/>
      <w:b/>
      <w:bCs/>
      <w:smallCaps/>
      <w:color w:val="95D600" w:themeColor="accent1"/>
      <w:kern w:val="28"/>
      <w:position w:val="6"/>
      <w:sz w:val="28"/>
      <w:szCs w:val="26"/>
    </w:rPr>
  </w:style>
  <w:style w:type="character" w:customStyle="1" w:styleId="Heading2Char">
    <w:name w:val="Heading 2 Char"/>
    <w:basedOn w:val="DefaultParagraphFont"/>
    <w:link w:val="Heading2"/>
    <w:uiPriority w:val="2"/>
    <w:locked/>
    <w:rsid w:val="00641CE5"/>
    <w:rPr>
      <w:rFonts w:ascii="Arial" w:eastAsiaTheme="minorHAnsi" w:hAnsi="Arial" w:cs="Arial"/>
      <w:b/>
      <w:bCs/>
      <w:iCs/>
      <w:color w:val="0093C9" w:themeColor="accent3"/>
      <w:sz w:val="26"/>
      <w:szCs w:val="28"/>
    </w:rPr>
  </w:style>
  <w:style w:type="character" w:customStyle="1" w:styleId="Heading3Char">
    <w:name w:val="Heading 3 Char"/>
    <w:basedOn w:val="DefaultParagraphFont"/>
    <w:link w:val="Heading3"/>
    <w:locked/>
    <w:rsid w:val="00641CE5"/>
    <w:rPr>
      <w:rFonts w:ascii="Arial" w:eastAsiaTheme="minorHAnsi" w:hAnsi="Arial" w:cs="Arial"/>
      <w:b/>
      <w:bCs/>
      <w:i/>
      <w:color w:val="F07B05" w:themeColor="accent5"/>
      <w:szCs w:val="26"/>
    </w:rPr>
  </w:style>
  <w:style w:type="character" w:customStyle="1" w:styleId="Heading4Char">
    <w:name w:val="Heading 4 Char"/>
    <w:basedOn w:val="DefaultParagraphFont"/>
    <w:link w:val="Heading4"/>
    <w:locked/>
    <w:rsid w:val="00641CE5"/>
    <w:rPr>
      <w:rFonts w:ascii="Arial" w:eastAsiaTheme="majorEastAsia" w:hAnsi="Arial" w:cstheme="majorBidi"/>
      <w:b/>
      <w:bCs/>
      <w:i/>
      <w:iCs/>
      <w:color w:val="555759"/>
      <w:kern w:val="28"/>
    </w:rPr>
  </w:style>
  <w:style w:type="character" w:customStyle="1" w:styleId="Heading5Char">
    <w:name w:val="Heading 5 Char"/>
    <w:aliases w:val="Append Level 1 Char"/>
    <w:basedOn w:val="DefaultParagraphFont"/>
    <w:link w:val="Heading5"/>
    <w:locked/>
    <w:rsid w:val="00641CE5"/>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locked/>
    <w:rsid w:val="00641CE5"/>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locked/>
    <w:rsid w:val="00641CE5"/>
    <w:rPr>
      <w:rFonts w:ascii="Arial Bold" w:eastAsiaTheme="minorHAnsi" w:hAnsi="Arial Bold" w:cstheme="minorBidi"/>
      <w:b/>
      <w:smallCaps/>
      <w:color w:val="95D600" w:themeColor="accent1"/>
      <w:sz w:val="28"/>
      <w:szCs w:val="26"/>
    </w:rPr>
  </w:style>
  <w:style w:type="character" w:customStyle="1" w:styleId="Heading8Char">
    <w:name w:val="Heading 8 Char"/>
    <w:aliases w:val="Exec Sum Level 2 Char"/>
    <w:basedOn w:val="DefaultParagraphFont"/>
    <w:link w:val="Heading8"/>
    <w:locked/>
    <w:rsid w:val="00641CE5"/>
    <w:rPr>
      <w:rFonts w:ascii="Arial" w:eastAsiaTheme="majorEastAsia" w:hAnsi="Arial" w:cstheme="majorBidi"/>
      <w:b/>
      <w:color w:val="0093C9" w:themeColor="accent3"/>
      <w:sz w:val="26"/>
      <w:szCs w:val="26"/>
    </w:rPr>
  </w:style>
  <w:style w:type="character" w:customStyle="1" w:styleId="Heading9Char">
    <w:name w:val="Heading 9 Char"/>
    <w:aliases w:val="Exec Sum Level 3 Char"/>
    <w:basedOn w:val="DefaultParagraphFont"/>
    <w:link w:val="Heading9"/>
    <w:locked/>
    <w:rsid w:val="00641CE5"/>
    <w:rPr>
      <w:rFonts w:ascii="Arial" w:eastAsiaTheme="majorEastAsia" w:hAnsi="Arial" w:cstheme="majorBidi"/>
      <w:b/>
      <w:i/>
      <w:iCs/>
      <w:color w:val="F07B05" w:themeColor="accent5"/>
    </w:rPr>
  </w:style>
  <w:style w:type="paragraph" w:styleId="BalloonText">
    <w:name w:val="Balloon Text"/>
    <w:basedOn w:val="Normal"/>
    <w:link w:val="BalloonTextChar"/>
    <w:rsid w:val="006E2DF5"/>
    <w:rPr>
      <w:rFonts w:ascii="Tahoma" w:hAnsi="Tahoma" w:cs="Tahoma"/>
      <w:sz w:val="16"/>
      <w:szCs w:val="16"/>
    </w:rPr>
  </w:style>
  <w:style w:type="character" w:customStyle="1" w:styleId="BalloonTextChar">
    <w:name w:val="Balloon Text Char"/>
    <w:basedOn w:val="DefaultParagraphFont"/>
    <w:link w:val="BalloonText"/>
    <w:locked/>
    <w:rsid w:val="006E2DF5"/>
    <w:rPr>
      <w:rFonts w:ascii="Tahoma" w:hAnsi="Tahoma" w:cs="Tahoma"/>
      <w:sz w:val="16"/>
      <w:szCs w:val="16"/>
    </w:rPr>
  </w:style>
  <w:style w:type="paragraph" w:styleId="TOC1">
    <w:name w:val="toc 1"/>
    <w:basedOn w:val="Normal"/>
    <w:next w:val="Normal"/>
    <w:link w:val="TOC1Char"/>
    <w:autoRedefine/>
    <w:uiPriority w:val="39"/>
    <w:unhideWhenUsed/>
    <w:rsid w:val="00D95761"/>
    <w:pPr>
      <w:widowControl w:val="0"/>
      <w:tabs>
        <w:tab w:val="left" w:pos="1080"/>
        <w:tab w:val="right" w:leader="dot" w:pos="9350"/>
      </w:tabs>
    </w:pPr>
  </w:style>
  <w:style w:type="paragraph" w:customStyle="1" w:styleId="Bullet0">
    <w:name w:val="Bullet 0"/>
    <w:basedOn w:val="Normal"/>
    <w:autoRedefine/>
    <w:rsid w:val="006E2DF5"/>
    <w:pPr>
      <w:tabs>
        <w:tab w:val="num" w:pos="972"/>
      </w:tabs>
      <w:ind w:left="979" w:hanging="432"/>
    </w:pPr>
  </w:style>
  <w:style w:type="paragraph" w:styleId="Header">
    <w:name w:val="header"/>
    <w:basedOn w:val="Normal"/>
    <w:link w:val="HeaderChar"/>
    <w:rsid w:val="006E2DF5"/>
    <w:pPr>
      <w:tabs>
        <w:tab w:val="center" w:pos="4320"/>
        <w:tab w:val="right" w:pos="8640"/>
      </w:tabs>
    </w:pPr>
  </w:style>
  <w:style w:type="character" w:customStyle="1" w:styleId="HeaderChar">
    <w:name w:val="Header Char"/>
    <w:basedOn w:val="DefaultParagraphFont"/>
    <w:link w:val="Header"/>
    <w:locked/>
    <w:rsid w:val="006E2DF5"/>
    <w:rPr>
      <w:rFonts w:ascii="Arial" w:hAnsi="Arial"/>
      <w:szCs w:val="24"/>
    </w:rPr>
  </w:style>
  <w:style w:type="paragraph" w:styleId="Footer">
    <w:name w:val="footer"/>
    <w:basedOn w:val="Normal"/>
    <w:link w:val="FooterChar"/>
    <w:uiPriority w:val="99"/>
    <w:rsid w:val="006E2DF5"/>
    <w:pPr>
      <w:tabs>
        <w:tab w:val="center" w:pos="4320"/>
        <w:tab w:val="right" w:pos="8640"/>
      </w:tabs>
    </w:pPr>
    <w:rPr>
      <w:sz w:val="18"/>
    </w:rPr>
  </w:style>
  <w:style w:type="character" w:customStyle="1" w:styleId="FooterChar">
    <w:name w:val="Footer Char"/>
    <w:basedOn w:val="DefaultParagraphFont"/>
    <w:link w:val="Footer"/>
    <w:uiPriority w:val="99"/>
    <w:locked/>
    <w:rsid w:val="006E2DF5"/>
    <w:rPr>
      <w:rFonts w:ascii="Arial" w:hAnsi="Arial"/>
      <w:sz w:val="18"/>
      <w:szCs w:val="24"/>
    </w:rPr>
  </w:style>
  <w:style w:type="paragraph" w:customStyle="1" w:styleId="TableofContents">
    <w:name w:val="Table of Contents"/>
    <w:basedOn w:val="Normal"/>
    <w:uiPriority w:val="99"/>
    <w:rsid w:val="006E2DF5"/>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6E2DF5"/>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szCs w:val="20"/>
    </w:rPr>
  </w:style>
  <w:style w:type="paragraph" w:customStyle="1" w:styleId="MemoFrame">
    <w:name w:val="Memo Frame"/>
    <w:basedOn w:val="Normal"/>
    <w:rsid w:val="006E2DF5"/>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6E2DF5"/>
    <w:rPr>
      <w:rFonts w:cs="Times New Roman"/>
    </w:rPr>
  </w:style>
  <w:style w:type="paragraph" w:styleId="TOC2">
    <w:name w:val="toc 2"/>
    <w:basedOn w:val="Normal"/>
    <w:next w:val="Normal"/>
    <w:autoRedefine/>
    <w:uiPriority w:val="39"/>
    <w:rsid w:val="00D95761"/>
    <w:pPr>
      <w:tabs>
        <w:tab w:val="left" w:pos="1080"/>
        <w:tab w:val="right" w:leader="dot" w:pos="9346"/>
      </w:tabs>
      <w:ind w:left="1094" w:hanging="547"/>
    </w:pPr>
    <w:rPr>
      <w:noProof/>
    </w:rPr>
  </w:style>
  <w:style w:type="paragraph" w:styleId="TOC3">
    <w:name w:val="toc 3"/>
    <w:basedOn w:val="Normal"/>
    <w:next w:val="Normal"/>
    <w:autoRedefine/>
    <w:uiPriority w:val="39"/>
    <w:rsid w:val="00D95761"/>
    <w:pPr>
      <w:tabs>
        <w:tab w:val="left" w:pos="1800"/>
        <w:tab w:val="right" w:leader="dot" w:pos="9346"/>
      </w:tabs>
      <w:ind w:left="1800" w:hanging="720"/>
    </w:pPr>
    <w:rPr>
      <w:rFonts w:eastAsiaTheme="minorEastAsia"/>
      <w:noProof/>
      <w:szCs w:val="20"/>
    </w:rPr>
  </w:style>
  <w:style w:type="paragraph" w:styleId="TOC4">
    <w:name w:val="toc 4"/>
    <w:basedOn w:val="Normal"/>
    <w:next w:val="Normal"/>
    <w:autoRedefine/>
    <w:uiPriority w:val="39"/>
    <w:rsid w:val="006E2DF5"/>
    <w:pPr>
      <w:tabs>
        <w:tab w:val="left" w:pos="2700"/>
        <w:tab w:val="right" w:leader="dot" w:pos="9278"/>
      </w:tabs>
      <w:spacing w:after="100"/>
      <w:ind w:left="2700" w:hanging="900"/>
    </w:pPr>
    <w:rPr>
      <w:i/>
      <w:noProof/>
    </w:rPr>
  </w:style>
  <w:style w:type="paragraph" w:styleId="TOC5">
    <w:name w:val="toc 5"/>
    <w:basedOn w:val="Normal"/>
    <w:next w:val="Normal"/>
    <w:autoRedefine/>
    <w:uiPriority w:val="39"/>
    <w:rsid w:val="006E2DF5"/>
    <w:pPr>
      <w:spacing w:before="240" w:after="240"/>
      <w:ind w:left="800"/>
    </w:pPr>
  </w:style>
  <w:style w:type="paragraph" w:styleId="TOC6">
    <w:name w:val="toc 6"/>
    <w:basedOn w:val="Normal"/>
    <w:next w:val="Normal"/>
    <w:autoRedefine/>
    <w:uiPriority w:val="39"/>
    <w:rsid w:val="006E2DF5"/>
    <w:pPr>
      <w:spacing w:before="240" w:after="240"/>
      <w:ind w:left="1000"/>
    </w:pPr>
  </w:style>
  <w:style w:type="paragraph" w:styleId="TOC7">
    <w:name w:val="toc 7"/>
    <w:basedOn w:val="Normal"/>
    <w:next w:val="Normal"/>
    <w:autoRedefine/>
    <w:uiPriority w:val="39"/>
    <w:rsid w:val="006E2DF5"/>
    <w:pPr>
      <w:spacing w:before="240" w:after="240"/>
      <w:ind w:left="1200"/>
    </w:pPr>
  </w:style>
  <w:style w:type="paragraph" w:styleId="TOC8">
    <w:name w:val="toc 8"/>
    <w:basedOn w:val="Normal"/>
    <w:next w:val="Normal"/>
    <w:autoRedefine/>
    <w:uiPriority w:val="39"/>
    <w:rsid w:val="006E2DF5"/>
    <w:pPr>
      <w:spacing w:before="240" w:after="240"/>
      <w:ind w:left="1400"/>
    </w:pPr>
  </w:style>
  <w:style w:type="paragraph" w:styleId="TOC9">
    <w:name w:val="toc 9"/>
    <w:basedOn w:val="Normal"/>
    <w:next w:val="Normal"/>
    <w:autoRedefine/>
    <w:uiPriority w:val="39"/>
    <w:rsid w:val="006E2DF5"/>
    <w:pPr>
      <w:spacing w:before="240" w:after="240"/>
      <w:ind w:left="1600"/>
    </w:pPr>
  </w:style>
  <w:style w:type="paragraph" w:customStyle="1" w:styleId="SectionTitle">
    <w:name w:val="Section Title"/>
    <w:basedOn w:val="Normal"/>
    <w:uiPriority w:val="99"/>
    <w:rsid w:val="006E2DF5"/>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6E2DF5"/>
    <w:rPr>
      <w:rFonts w:ascii="Arial" w:hAnsi="Arial"/>
      <w:color w:val="95D600"/>
      <w:sz w:val="20"/>
      <w:u w:val="single"/>
    </w:rPr>
  </w:style>
  <w:style w:type="paragraph" w:customStyle="1" w:styleId="ResumeHeading1">
    <w:name w:val="Resume Heading 1"/>
    <w:basedOn w:val="Normal"/>
    <w:autoRedefine/>
    <w:uiPriority w:val="99"/>
    <w:rsid w:val="006E2DF5"/>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6E2DF5"/>
    <w:rPr>
      <w:rFonts w:ascii="Times New Roman" w:hAnsi="Times New Roman"/>
      <w:bCs/>
      <w:color w:val="auto"/>
      <w:sz w:val="32"/>
      <w:szCs w:val="20"/>
    </w:rPr>
  </w:style>
  <w:style w:type="paragraph" w:styleId="Title">
    <w:name w:val="Title"/>
    <w:aliases w:val="Proposal Title"/>
    <w:basedOn w:val="Normal"/>
    <w:next w:val="Normal"/>
    <w:link w:val="TitleChar"/>
    <w:uiPriority w:val="10"/>
    <w:qFormat/>
    <w:rsid w:val="006E2DF5"/>
    <w:pPr>
      <w:widowControl w:val="0"/>
      <w:spacing w:before="120" w:after="120"/>
    </w:pPr>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locked/>
    <w:rsid w:val="006E2DF5"/>
    <w:rPr>
      <w:rFonts w:ascii="Arial" w:eastAsiaTheme="majorEastAsia" w:hAnsi="Arial" w:cstheme="majorBidi"/>
      <w:b/>
      <w:color w:val="95D600" w:themeColor="accent1"/>
      <w:spacing w:val="-10"/>
      <w:kern w:val="28"/>
      <w:sz w:val="48"/>
      <w:szCs w:val="56"/>
    </w:rPr>
  </w:style>
  <w:style w:type="paragraph" w:customStyle="1" w:styleId="Publications">
    <w:name w:val="Publications"/>
    <w:basedOn w:val="Normal"/>
    <w:uiPriority w:val="99"/>
    <w:rsid w:val="006E2DF5"/>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Normal"/>
    <w:link w:val="FootnoteTextChar"/>
    <w:uiPriority w:val="99"/>
    <w:rsid w:val="006E2DF5"/>
    <w:pPr>
      <w:keepLines/>
    </w:pPr>
    <w:rPr>
      <w:sz w:val="18"/>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6E2DF5"/>
    <w:rPr>
      <w:rFonts w:ascii="Arial" w:hAnsi="Arial"/>
      <w:sz w:val="18"/>
    </w:rPr>
  </w:style>
  <w:style w:type="character" w:styleId="FootnoteReference">
    <w:name w:val="footnote reference"/>
    <w:aliases w:val="Footnote_Reference"/>
    <w:basedOn w:val="DefaultParagraphFont"/>
    <w:uiPriority w:val="99"/>
    <w:qFormat/>
    <w:rsid w:val="006E2DF5"/>
    <w:rPr>
      <w:rFonts w:ascii="Arial" w:hAnsi="Arial"/>
      <w:color w:val="555759" w:themeColor="text2"/>
      <w:vertAlign w:val="superscript"/>
    </w:rPr>
  </w:style>
  <w:style w:type="paragraph" w:styleId="Caption">
    <w:name w:val="caption"/>
    <w:aliases w:val="Table Caption,Caption Char1 Char"/>
    <w:basedOn w:val="Normal"/>
    <w:next w:val="Normal"/>
    <w:link w:val="CaptionChar"/>
    <w:qFormat/>
    <w:rsid w:val="006D6846"/>
    <w:pPr>
      <w:keepNext/>
      <w:spacing w:after="120"/>
      <w:jc w:val="center"/>
    </w:pPr>
    <w:rPr>
      <w:b/>
      <w:bCs/>
      <w:color w:val="F07B05" w:themeColor="accent5"/>
      <w:szCs w:val="20"/>
    </w:rPr>
  </w:style>
  <w:style w:type="paragraph" w:customStyle="1" w:styleId="StyleCaptionWhite">
    <w:name w:val="Style Caption + White"/>
    <w:basedOn w:val="Caption"/>
    <w:rsid w:val="006E2DF5"/>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qFormat/>
    <w:rsid w:val="006E2DF5"/>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qFormat/>
    <w:rsid w:val="006E2DF5"/>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6E2DF5"/>
    <w:rPr>
      <w:rFonts w:ascii="Arial" w:hAnsi="Arial"/>
      <w:b/>
      <w:bCs/>
      <w:color w:val="6F6754"/>
      <w:sz w:val="36"/>
      <w:szCs w:val="24"/>
    </w:rPr>
  </w:style>
  <w:style w:type="paragraph" w:customStyle="1" w:styleId="PresentedBy">
    <w:name w:val="Presented By"/>
    <w:basedOn w:val="Normal"/>
    <w:link w:val="PresentedByChar"/>
    <w:rsid w:val="006E2DF5"/>
    <w:pPr>
      <w:tabs>
        <w:tab w:val="left" w:pos="360"/>
        <w:tab w:val="left" w:pos="720"/>
        <w:tab w:val="left" w:pos="1080"/>
        <w:tab w:val="left" w:pos="1440"/>
      </w:tabs>
    </w:pPr>
    <w:rPr>
      <w:color w:val="6F6754"/>
    </w:rPr>
  </w:style>
  <w:style w:type="character" w:customStyle="1" w:styleId="TitlePage2Char">
    <w:name w:val="Title Page 2 Char"/>
    <w:basedOn w:val="DefaultParagraphFont"/>
    <w:link w:val="TitlePage2"/>
    <w:locked/>
    <w:rsid w:val="006E2DF5"/>
    <w:rPr>
      <w:rFonts w:ascii="Arial" w:hAnsi="Arial"/>
      <w:b/>
      <w:bCs/>
      <w:color w:val="6F6754"/>
      <w:sz w:val="28"/>
      <w:szCs w:val="28"/>
    </w:rPr>
  </w:style>
  <w:style w:type="paragraph" w:styleId="Date">
    <w:name w:val="Date"/>
    <w:basedOn w:val="Heading4"/>
    <w:next w:val="Normal"/>
    <w:link w:val="DateChar"/>
    <w:uiPriority w:val="99"/>
    <w:rsid w:val="006E2DF5"/>
    <w:pPr>
      <w:pageBreakBefore/>
      <w:pBdr>
        <w:left w:val="single" w:sz="4" w:space="4" w:color="A15F00"/>
      </w:pBdr>
      <w:shd w:val="clear" w:color="auto" w:fill="A15F00"/>
      <w:spacing w:after="360"/>
    </w:pPr>
    <w:rPr>
      <w:i w:val="0"/>
      <w:color w:val="6F6754"/>
      <w:position w:val="6"/>
      <w:sz w:val="24"/>
      <w:szCs w:val="24"/>
    </w:rPr>
  </w:style>
  <w:style w:type="character" w:customStyle="1" w:styleId="DateChar">
    <w:name w:val="Date Char"/>
    <w:basedOn w:val="DefaultParagraphFont"/>
    <w:link w:val="Date"/>
    <w:uiPriority w:val="99"/>
    <w:locked/>
    <w:rsid w:val="006E2DF5"/>
    <w:rPr>
      <w:rFonts w:ascii="Arial" w:eastAsiaTheme="majorEastAsia" w:hAnsi="Arial" w:cstheme="majorBidi"/>
      <w:b/>
      <w:bCs/>
      <w:iCs/>
      <w:color w:val="6F6754"/>
      <w:kern w:val="28"/>
      <w:position w:val="6"/>
      <w:sz w:val="24"/>
      <w:szCs w:val="24"/>
      <w:shd w:val="clear" w:color="auto" w:fill="A15F00"/>
    </w:rPr>
  </w:style>
  <w:style w:type="character" w:customStyle="1" w:styleId="PresentedByChar">
    <w:name w:val="Presented By Char"/>
    <w:basedOn w:val="DefaultParagraphFont"/>
    <w:link w:val="PresentedBy"/>
    <w:locked/>
    <w:rsid w:val="006E2DF5"/>
    <w:rPr>
      <w:rFonts w:ascii="Arial" w:hAnsi="Arial"/>
      <w:color w:val="6F6754"/>
      <w:sz w:val="22"/>
      <w:szCs w:val="24"/>
    </w:rPr>
  </w:style>
  <w:style w:type="paragraph" w:customStyle="1" w:styleId="TOCTitle">
    <w:name w:val="TOC Title"/>
    <w:basedOn w:val="Normal"/>
    <w:autoRedefine/>
    <w:uiPriority w:val="99"/>
    <w:rsid w:val="006E2DF5"/>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6E2DF5"/>
    <w:pPr>
      <w:tabs>
        <w:tab w:val="clear" w:pos="972"/>
        <w:tab w:val="num" w:pos="720"/>
      </w:tabs>
      <w:spacing w:before="120" w:after="240"/>
      <w:ind w:left="720" w:hanging="360"/>
    </w:pPr>
  </w:style>
  <w:style w:type="table" w:styleId="TableGrid">
    <w:name w:val="Table Grid"/>
    <w:basedOn w:val="TableNormal"/>
    <w:uiPriority w:val="59"/>
    <w:rsid w:val="006E2D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iPriority w:val="99"/>
    <w:rsid w:val="006E2DF5"/>
    <w:pPr>
      <w:spacing w:after="240"/>
      <w:ind w:left="440" w:hanging="220"/>
    </w:p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rsid w:val="006E2DF5"/>
    <w:pPr>
      <w:spacing w:after="120"/>
    </w:pPr>
  </w:style>
  <w:style w:type="character" w:customStyle="1" w:styleId="BodyTextChar">
    <w:name w:val="Body Text Char"/>
    <w:basedOn w:val="DefaultParagraphFont"/>
    <w:link w:val="BodyText"/>
    <w:locked/>
    <w:rsid w:val="006E2DF5"/>
    <w:rPr>
      <w:rFonts w:ascii="Arial" w:hAnsi="Arial"/>
      <w:szCs w:val="24"/>
    </w:rPr>
  </w:style>
  <w:style w:type="paragraph" w:styleId="BodyTextIndent">
    <w:name w:val="Body Text Indent"/>
    <w:basedOn w:val="Normal"/>
    <w:link w:val="BodyTextIndentChar"/>
    <w:uiPriority w:val="99"/>
    <w:rsid w:val="006E2DF5"/>
    <w:pPr>
      <w:tabs>
        <w:tab w:val="left" w:pos="360"/>
        <w:tab w:val="left" w:pos="720"/>
        <w:tab w:val="left" w:pos="1080"/>
        <w:tab w:val="left" w:pos="1440"/>
      </w:tabs>
      <w:spacing w:before="240" w:after="120"/>
      <w:ind w:left="360"/>
    </w:pPr>
  </w:style>
  <w:style w:type="character" w:customStyle="1" w:styleId="BodyTextIndentChar">
    <w:name w:val="Body Text Indent Char"/>
    <w:basedOn w:val="DefaultParagraphFont"/>
    <w:link w:val="BodyTextIndent"/>
    <w:uiPriority w:val="99"/>
    <w:locked/>
    <w:rsid w:val="006E2DF5"/>
    <w:rPr>
      <w:rFonts w:ascii="Arial" w:hAnsi="Arial"/>
      <w:szCs w:val="24"/>
    </w:rPr>
  </w:style>
  <w:style w:type="paragraph" w:styleId="BodyTextFirstIndent2">
    <w:name w:val="Body Text First Indent 2"/>
    <w:basedOn w:val="BodyTextIndent"/>
    <w:link w:val="BodyTextFirstIndent2Char"/>
    <w:uiPriority w:val="99"/>
    <w:rsid w:val="006E2DF5"/>
    <w:pPr>
      <w:spacing w:after="240"/>
      <w:ind w:firstLine="360"/>
    </w:pPr>
  </w:style>
  <w:style w:type="character" w:customStyle="1" w:styleId="BodyTextFirstIndent2Char">
    <w:name w:val="Body Text First Indent 2 Char"/>
    <w:basedOn w:val="BodyTextIndentChar"/>
    <w:link w:val="BodyTextFirstIndent2"/>
    <w:uiPriority w:val="99"/>
    <w:locked/>
    <w:rsid w:val="006E2DF5"/>
    <w:rPr>
      <w:rFonts w:ascii="Arial" w:hAnsi="Arial"/>
      <w:szCs w:val="24"/>
    </w:rPr>
  </w:style>
  <w:style w:type="paragraph" w:styleId="MacroText">
    <w:name w:val="macro"/>
    <w:link w:val="MacroTextChar"/>
    <w:uiPriority w:val="99"/>
    <w:rsid w:val="006E2DF5"/>
    <w:pPr>
      <w:tabs>
        <w:tab w:val="left" w:pos="480"/>
        <w:tab w:val="left" w:pos="960"/>
        <w:tab w:val="left" w:pos="1440"/>
        <w:tab w:val="left" w:pos="1920"/>
        <w:tab w:val="left" w:pos="2400"/>
        <w:tab w:val="left" w:pos="2880"/>
        <w:tab w:val="left" w:pos="3360"/>
        <w:tab w:val="left" w:pos="3840"/>
        <w:tab w:val="left" w:pos="4320"/>
      </w:tabs>
      <w:spacing w:before="240" w:after="240"/>
    </w:pPr>
    <w:rPr>
      <w:rFonts w:ascii="Consolas" w:hAnsi="Consolas"/>
    </w:rPr>
  </w:style>
  <w:style w:type="character" w:customStyle="1" w:styleId="MacroTextChar">
    <w:name w:val="Macro Text Char"/>
    <w:basedOn w:val="DefaultParagraphFont"/>
    <w:link w:val="MacroText"/>
    <w:uiPriority w:val="99"/>
    <w:locked/>
    <w:rsid w:val="006E2DF5"/>
    <w:rPr>
      <w:rFonts w:ascii="Consolas" w:hAnsi="Consolas"/>
    </w:rPr>
  </w:style>
  <w:style w:type="paragraph" w:styleId="Closing">
    <w:name w:val="Closing"/>
    <w:basedOn w:val="Normal"/>
    <w:link w:val="ClosingChar"/>
    <w:uiPriority w:val="99"/>
    <w:rsid w:val="006E2DF5"/>
    <w:pPr>
      <w:tabs>
        <w:tab w:val="left" w:pos="360"/>
        <w:tab w:val="left" w:pos="720"/>
        <w:tab w:val="left" w:pos="1080"/>
        <w:tab w:val="left" w:pos="1440"/>
      </w:tabs>
      <w:ind w:left="4320"/>
    </w:pPr>
  </w:style>
  <w:style w:type="character" w:customStyle="1" w:styleId="ClosingChar">
    <w:name w:val="Closing Char"/>
    <w:basedOn w:val="DefaultParagraphFont"/>
    <w:link w:val="Closing"/>
    <w:uiPriority w:val="99"/>
    <w:locked/>
    <w:rsid w:val="006E2DF5"/>
    <w:rPr>
      <w:rFonts w:ascii="Arial" w:hAnsi="Arial"/>
      <w:szCs w:val="24"/>
    </w:rPr>
  </w:style>
  <w:style w:type="character" w:styleId="Emphasis">
    <w:name w:val="Emphasis"/>
    <w:basedOn w:val="DefaultParagraphFont"/>
    <w:qFormat/>
    <w:rsid w:val="006E2DF5"/>
    <w:rPr>
      <w:rFonts w:cs="Times New Roman"/>
      <w:i/>
      <w:iCs/>
    </w:rPr>
  </w:style>
  <w:style w:type="paragraph" w:styleId="EnvelopeReturn">
    <w:name w:val="envelope return"/>
    <w:basedOn w:val="Normal"/>
    <w:uiPriority w:val="99"/>
    <w:rsid w:val="006E2DF5"/>
    <w:pPr>
      <w:tabs>
        <w:tab w:val="left" w:pos="360"/>
        <w:tab w:val="left" w:pos="720"/>
        <w:tab w:val="left" w:pos="1080"/>
        <w:tab w:val="left" w:pos="1440"/>
      </w:tabs>
    </w:pPr>
    <w:rPr>
      <w:rFonts w:ascii="Cambria" w:hAnsi="Cambria"/>
      <w:szCs w:val="20"/>
    </w:rPr>
  </w:style>
  <w:style w:type="character" w:styleId="HTMLAcronym">
    <w:name w:val="HTML Acronym"/>
    <w:basedOn w:val="DefaultParagraphFont"/>
    <w:uiPriority w:val="99"/>
    <w:rsid w:val="006E2DF5"/>
    <w:rPr>
      <w:rFonts w:cs="Times New Roman"/>
    </w:rPr>
  </w:style>
  <w:style w:type="character" w:styleId="HTMLDefinition">
    <w:name w:val="HTML Definition"/>
    <w:basedOn w:val="DefaultParagraphFont"/>
    <w:uiPriority w:val="99"/>
    <w:rsid w:val="006E2DF5"/>
    <w:rPr>
      <w:rFonts w:cs="Times New Roman"/>
      <w:i/>
      <w:iCs/>
    </w:rPr>
  </w:style>
  <w:style w:type="character" w:styleId="HTMLTypewriter">
    <w:name w:val="HTML Typewriter"/>
    <w:basedOn w:val="DefaultParagraphFont"/>
    <w:uiPriority w:val="99"/>
    <w:rsid w:val="006E2DF5"/>
    <w:rPr>
      <w:rFonts w:ascii="Consolas" w:hAnsi="Consolas" w:cs="Times New Roman"/>
      <w:sz w:val="20"/>
      <w:szCs w:val="20"/>
    </w:rPr>
  </w:style>
  <w:style w:type="paragraph" w:styleId="Index6">
    <w:name w:val="index 6"/>
    <w:basedOn w:val="Normal"/>
    <w:next w:val="Normal"/>
    <w:autoRedefine/>
    <w:uiPriority w:val="99"/>
    <w:rsid w:val="006E2DF5"/>
    <w:pPr>
      <w:numPr>
        <w:numId w:val="16"/>
      </w:numPr>
    </w:pPr>
  </w:style>
  <w:style w:type="paragraph" w:styleId="Index1">
    <w:name w:val="index 1"/>
    <w:basedOn w:val="Normal"/>
    <w:next w:val="Normal"/>
    <w:autoRedefine/>
    <w:uiPriority w:val="99"/>
    <w:rsid w:val="006E2DF5"/>
    <w:pPr>
      <w:ind w:left="220" w:hanging="220"/>
    </w:pPr>
  </w:style>
  <w:style w:type="paragraph" w:styleId="IndexHeading">
    <w:name w:val="index heading"/>
    <w:basedOn w:val="Normal"/>
    <w:next w:val="Index1"/>
    <w:uiPriority w:val="99"/>
    <w:rsid w:val="006E2DF5"/>
    <w:pPr>
      <w:tabs>
        <w:tab w:val="left" w:pos="360"/>
        <w:tab w:val="left" w:pos="720"/>
        <w:tab w:val="left" w:pos="1080"/>
        <w:tab w:val="left" w:pos="1440"/>
      </w:tabs>
      <w:spacing w:before="240" w:after="240"/>
    </w:pPr>
    <w:rPr>
      <w:rFonts w:ascii="Cambria" w:hAnsi="Cambria"/>
      <w:b/>
      <w:bCs/>
    </w:rPr>
  </w:style>
  <w:style w:type="character" w:styleId="LineNumber">
    <w:name w:val="line number"/>
    <w:basedOn w:val="DefaultParagraphFont"/>
    <w:uiPriority w:val="99"/>
    <w:rsid w:val="006E2DF5"/>
    <w:rPr>
      <w:rFonts w:cs="Times New Roman"/>
    </w:rPr>
  </w:style>
  <w:style w:type="paragraph" w:styleId="List4">
    <w:name w:val="List 4"/>
    <w:basedOn w:val="Normal"/>
    <w:uiPriority w:val="99"/>
    <w:rsid w:val="006E2DF5"/>
    <w:pPr>
      <w:tabs>
        <w:tab w:val="left" w:pos="360"/>
        <w:tab w:val="left" w:pos="720"/>
        <w:tab w:val="left" w:pos="1080"/>
        <w:tab w:val="left" w:pos="1440"/>
      </w:tabs>
      <w:spacing w:before="240" w:after="240"/>
      <w:ind w:left="1440" w:hanging="360"/>
    </w:pPr>
  </w:style>
  <w:style w:type="paragraph" w:styleId="ListBullet3">
    <w:name w:val="List Bullet 3"/>
    <w:basedOn w:val="Normal"/>
    <w:uiPriority w:val="99"/>
    <w:rsid w:val="006E2DF5"/>
    <w:pPr>
      <w:tabs>
        <w:tab w:val="left" w:pos="360"/>
        <w:tab w:val="left" w:pos="720"/>
        <w:tab w:val="num" w:pos="1080"/>
        <w:tab w:val="left" w:pos="1440"/>
      </w:tabs>
      <w:spacing w:before="240" w:after="240"/>
      <w:ind w:left="1080" w:hanging="360"/>
    </w:pPr>
  </w:style>
  <w:style w:type="paragraph" w:styleId="BlockText">
    <w:name w:val="Block Text"/>
    <w:basedOn w:val="Normal"/>
    <w:uiPriority w:val="99"/>
    <w:rsid w:val="006E2DF5"/>
    <w:pPr>
      <w:pBdr>
        <w:top w:val="single" w:sz="2" w:space="10" w:color="4F81BD" w:frame="1"/>
        <w:left w:val="single" w:sz="2" w:space="10" w:color="4F81BD" w:frame="1"/>
        <w:bottom w:val="single" w:sz="2" w:space="10" w:color="4F81BD" w:frame="1"/>
        <w:right w:val="single" w:sz="2" w:space="10" w:color="4F81BD" w:frame="1"/>
      </w:pBdr>
      <w:tabs>
        <w:tab w:val="left" w:pos="360"/>
        <w:tab w:val="left" w:pos="720"/>
        <w:tab w:val="left" w:pos="1080"/>
        <w:tab w:val="left" w:pos="1440"/>
      </w:tabs>
      <w:spacing w:before="240" w:after="240"/>
      <w:ind w:left="1152" w:right="1152"/>
    </w:pPr>
    <w:rPr>
      <w:rFonts w:ascii="Calibri" w:hAnsi="Calibri"/>
      <w:i/>
      <w:iCs/>
      <w:color w:val="4F81BD"/>
    </w:rPr>
  </w:style>
  <w:style w:type="paragraph" w:styleId="BodyTextFirstIndent">
    <w:name w:val="Body Text First Indent"/>
    <w:basedOn w:val="BodyText"/>
    <w:link w:val="BodyTextFirstIndentChar"/>
    <w:uiPriority w:val="99"/>
    <w:rsid w:val="006E2DF5"/>
    <w:pPr>
      <w:spacing w:after="240"/>
      <w:ind w:firstLine="360"/>
    </w:pPr>
  </w:style>
  <w:style w:type="character" w:customStyle="1" w:styleId="BodyTextFirstIndentChar">
    <w:name w:val="Body Text First Indent Char"/>
    <w:basedOn w:val="BodyTextChar"/>
    <w:link w:val="BodyTextFirstIndent"/>
    <w:uiPriority w:val="99"/>
    <w:locked/>
    <w:rsid w:val="006E2DF5"/>
    <w:rPr>
      <w:rFonts w:ascii="Arial" w:hAnsi="Arial"/>
      <w:szCs w:val="24"/>
    </w:rPr>
  </w:style>
  <w:style w:type="paragraph" w:styleId="BodyTextIndent3">
    <w:name w:val="Body Text Indent 3"/>
    <w:basedOn w:val="Normal"/>
    <w:link w:val="BodyTextIndent3Char"/>
    <w:uiPriority w:val="99"/>
    <w:rsid w:val="006E2DF5"/>
    <w:pPr>
      <w:tabs>
        <w:tab w:val="left" w:pos="360"/>
        <w:tab w:val="left" w:pos="720"/>
        <w:tab w:val="left" w:pos="1080"/>
        <w:tab w:val="left" w:pos="1440"/>
      </w:tabs>
      <w:spacing w:before="240" w:after="120"/>
      <w:ind w:left="360"/>
    </w:pPr>
    <w:rPr>
      <w:sz w:val="16"/>
      <w:szCs w:val="16"/>
    </w:rPr>
  </w:style>
  <w:style w:type="character" w:customStyle="1" w:styleId="BodyTextIndent3Char">
    <w:name w:val="Body Text Indent 3 Char"/>
    <w:basedOn w:val="DefaultParagraphFont"/>
    <w:link w:val="BodyTextIndent3"/>
    <w:uiPriority w:val="99"/>
    <w:locked/>
    <w:rsid w:val="006E2DF5"/>
    <w:rPr>
      <w:rFonts w:ascii="Arial" w:hAnsi="Arial"/>
      <w:sz w:val="16"/>
      <w:szCs w:val="16"/>
    </w:rPr>
  </w:style>
  <w:style w:type="paragraph" w:styleId="CommentText">
    <w:name w:val="annotation text"/>
    <w:basedOn w:val="Normal"/>
    <w:link w:val="CommentTextChar"/>
    <w:unhideWhenUsed/>
    <w:rsid w:val="006E2DF5"/>
    <w:rPr>
      <w:szCs w:val="20"/>
    </w:rPr>
  </w:style>
  <w:style w:type="character" w:customStyle="1" w:styleId="CommentTextChar">
    <w:name w:val="Comment Text Char"/>
    <w:basedOn w:val="DefaultParagraphFont"/>
    <w:link w:val="CommentText"/>
    <w:locked/>
    <w:rsid w:val="006E2DF5"/>
    <w:rPr>
      <w:rFonts w:ascii="Arial" w:hAnsi="Arial"/>
    </w:rPr>
  </w:style>
  <w:style w:type="paragraph" w:styleId="E-mailSignature">
    <w:name w:val="E-mail Signature"/>
    <w:basedOn w:val="Normal"/>
    <w:link w:val="E-mailSignatureChar"/>
    <w:uiPriority w:val="99"/>
    <w:rsid w:val="006E2DF5"/>
    <w:pPr>
      <w:tabs>
        <w:tab w:val="left" w:pos="360"/>
        <w:tab w:val="left" w:pos="720"/>
        <w:tab w:val="left" w:pos="1080"/>
        <w:tab w:val="left" w:pos="1440"/>
      </w:tabs>
    </w:pPr>
  </w:style>
  <w:style w:type="character" w:customStyle="1" w:styleId="E-mailSignatureChar">
    <w:name w:val="E-mail Signature Char"/>
    <w:basedOn w:val="DefaultParagraphFont"/>
    <w:link w:val="E-mailSignature"/>
    <w:uiPriority w:val="99"/>
    <w:locked/>
    <w:rsid w:val="006E2DF5"/>
    <w:rPr>
      <w:rFonts w:ascii="Arial" w:hAnsi="Arial"/>
      <w:szCs w:val="24"/>
    </w:rPr>
  </w:style>
  <w:style w:type="character" w:styleId="HTMLCode">
    <w:name w:val="HTML Code"/>
    <w:basedOn w:val="DefaultParagraphFont"/>
    <w:uiPriority w:val="99"/>
    <w:rsid w:val="006E2DF5"/>
    <w:rPr>
      <w:rFonts w:ascii="Consolas" w:hAnsi="Consolas" w:cs="Times New Roman"/>
      <w:sz w:val="20"/>
      <w:szCs w:val="20"/>
    </w:rPr>
  </w:style>
  <w:style w:type="character" w:styleId="HTMLSample">
    <w:name w:val="HTML Sample"/>
    <w:basedOn w:val="DefaultParagraphFont"/>
    <w:uiPriority w:val="99"/>
    <w:rsid w:val="006E2DF5"/>
    <w:rPr>
      <w:rFonts w:ascii="Consolas" w:hAnsi="Consolas" w:cs="Times New Roman"/>
      <w:sz w:val="24"/>
      <w:szCs w:val="24"/>
    </w:rPr>
  </w:style>
  <w:style w:type="character" w:styleId="PlaceholderText">
    <w:name w:val="Placeholder Text"/>
    <w:basedOn w:val="DefaultParagraphFont"/>
    <w:uiPriority w:val="99"/>
    <w:semiHidden/>
    <w:rsid w:val="006E2DF5"/>
    <w:rPr>
      <w:color w:val="808080"/>
    </w:rPr>
  </w:style>
  <w:style w:type="character" w:styleId="Strong">
    <w:name w:val="Strong"/>
    <w:basedOn w:val="DefaultParagraphFont"/>
    <w:qFormat/>
    <w:rsid w:val="006E2DF5"/>
    <w:rPr>
      <w:rFonts w:cs="Times New Roman"/>
      <w:b/>
      <w:bCs/>
    </w:rPr>
  </w:style>
  <w:style w:type="paragraph" w:styleId="ListNumber4">
    <w:name w:val="List Number 4"/>
    <w:basedOn w:val="Normal"/>
    <w:uiPriority w:val="99"/>
    <w:rsid w:val="006E2DF5"/>
    <w:pPr>
      <w:tabs>
        <w:tab w:val="left" w:pos="360"/>
        <w:tab w:val="left" w:pos="720"/>
        <w:tab w:val="left" w:pos="1080"/>
        <w:tab w:val="num" w:pos="1440"/>
      </w:tabs>
      <w:spacing w:before="240" w:after="240"/>
      <w:ind w:left="1440" w:hanging="360"/>
    </w:pPr>
  </w:style>
  <w:style w:type="paragraph" w:styleId="NormalWeb">
    <w:name w:val="Normal (Web)"/>
    <w:basedOn w:val="Normal"/>
    <w:uiPriority w:val="99"/>
    <w:rsid w:val="006E2DF5"/>
    <w:pPr>
      <w:tabs>
        <w:tab w:val="left" w:pos="360"/>
        <w:tab w:val="left" w:pos="720"/>
        <w:tab w:val="left" w:pos="1080"/>
        <w:tab w:val="left" w:pos="1440"/>
      </w:tabs>
      <w:spacing w:before="240" w:after="240"/>
    </w:pPr>
    <w:rPr>
      <w:rFonts w:ascii="Times New Roman" w:hAnsi="Times New Roman"/>
      <w:sz w:val="24"/>
    </w:rPr>
  </w:style>
  <w:style w:type="character" w:styleId="SubtleEmphasis">
    <w:name w:val="Subtle Emphasis"/>
    <w:basedOn w:val="DefaultParagraphFont"/>
    <w:uiPriority w:val="99"/>
    <w:qFormat/>
    <w:rsid w:val="006E2DF5"/>
    <w:rPr>
      <w:rFonts w:cs="Times New Roman"/>
      <w:i/>
      <w:iCs/>
      <w:color w:val="808080"/>
    </w:rPr>
  </w:style>
  <w:style w:type="paragraph" w:styleId="TableofFigures">
    <w:name w:val="table of figures"/>
    <w:basedOn w:val="Normal"/>
    <w:next w:val="Normal"/>
    <w:uiPriority w:val="99"/>
    <w:rsid w:val="006E2DF5"/>
    <w:pPr>
      <w:tabs>
        <w:tab w:val="right" w:leader="dot" w:pos="9274"/>
      </w:tabs>
    </w:pPr>
  </w:style>
  <w:style w:type="paragraph" w:styleId="MessageHeader">
    <w:name w:val="Message Header"/>
    <w:basedOn w:val="Normal"/>
    <w:link w:val="MessageHeaderChar"/>
    <w:uiPriority w:val="99"/>
    <w:rsid w:val="006E2DF5"/>
    <w:pPr>
      <w:pBdr>
        <w:top w:val="single" w:sz="6" w:space="1" w:color="auto"/>
        <w:left w:val="single" w:sz="6" w:space="1" w:color="auto"/>
        <w:bottom w:val="single" w:sz="6" w:space="1" w:color="auto"/>
        <w:right w:val="single" w:sz="6" w:space="1" w:color="auto"/>
      </w:pBdr>
      <w:shd w:val="pct20" w:color="auto" w:fill="auto"/>
      <w:tabs>
        <w:tab w:val="left" w:pos="360"/>
        <w:tab w:val="left" w:pos="720"/>
        <w:tab w:val="left" w:pos="1080"/>
        <w:tab w:val="left" w:pos="1440"/>
      </w:tabs>
      <w:ind w:left="1080" w:hanging="1080"/>
    </w:pPr>
    <w:rPr>
      <w:rFonts w:ascii="Cambria" w:hAnsi="Cambria"/>
      <w:sz w:val="24"/>
    </w:rPr>
  </w:style>
  <w:style w:type="character" w:customStyle="1" w:styleId="MessageHeaderChar">
    <w:name w:val="Message Header Char"/>
    <w:basedOn w:val="DefaultParagraphFont"/>
    <w:link w:val="MessageHeader"/>
    <w:uiPriority w:val="99"/>
    <w:locked/>
    <w:rsid w:val="006E2DF5"/>
    <w:rPr>
      <w:rFonts w:ascii="Cambria" w:hAnsi="Cambria"/>
      <w:sz w:val="24"/>
      <w:szCs w:val="24"/>
      <w:shd w:val="pct20" w:color="auto" w:fill="auto"/>
    </w:rPr>
  </w:style>
  <w:style w:type="paragraph" w:styleId="NormalIndent">
    <w:name w:val="Normal Indent"/>
    <w:basedOn w:val="Normal"/>
    <w:uiPriority w:val="99"/>
    <w:rsid w:val="006E2DF5"/>
    <w:pPr>
      <w:tabs>
        <w:tab w:val="left" w:pos="360"/>
        <w:tab w:val="left" w:pos="720"/>
        <w:tab w:val="left" w:pos="1080"/>
        <w:tab w:val="left" w:pos="1440"/>
      </w:tabs>
      <w:spacing w:before="240" w:after="240"/>
      <w:ind w:left="720"/>
    </w:pPr>
  </w:style>
  <w:style w:type="paragraph" w:styleId="Subtitle">
    <w:name w:val="Subtitle"/>
    <w:basedOn w:val="Normal"/>
    <w:next w:val="Normal"/>
    <w:link w:val="SubtitleChar"/>
    <w:uiPriority w:val="11"/>
    <w:qFormat/>
    <w:rsid w:val="006E2DF5"/>
    <w:pPr>
      <w:widowControl w:val="0"/>
      <w:numPr>
        <w:ilvl w:val="1"/>
      </w:numPr>
      <w:spacing w:before="240"/>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locked/>
    <w:rsid w:val="006E2DF5"/>
    <w:rPr>
      <w:rFonts w:ascii="Arial" w:eastAsiaTheme="minorEastAsia" w:hAnsi="Arial" w:cstheme="minorBidi"/>
      <w:b/>
      <w:color w:val="5A5A5A" w:themeColor="text1" w:themeTint="A5"/>
      <w:spacing w:val="15"/>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6E2DF5"/>
    <w:pPr>
      <w:spacing w:before="240"/>
    </w:pPr>
    <w:rPr>
      <w:rFonts w:ascii="Tahoma" w:hAnsi="Tahoma"/>
      <w:b/>
      <w:smallCaps/>
      <w:sz w:val="28"/>
    </w:rPr>
  </w:style>
  <w:style w:type="paragraph" w:customStyle="1" w:styleId="Bullets-Resume">
    <w:name w:val="Bullets - Resume"/>
    <w:basedOn w:val="Normal"/>
    <w:uiPriority w:val="99"/>
    <w:rsid w:val="006E2DF5"/>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6E2DF5"/>
    <w:pPr>
      <w:spacing w:before="240" w:after="240"/>
      <w:jc w:val="center"/>
    </w:pPr>
    <w:rPr>
      <w:rFonts w:ascii="Tahoma" w:hAnsi="Tahoma"/>
      <w:b/>
      <w:smallCaps/>
      <w:sz w:val="36"/>
      <w:szCs w:val="28"/>
    </w:rPr>
  </w:style>
  <w:style w:type="paragraph" w:customStyle="1" w:styleId="Tabletext">
    <w:name w:val="Table text"/>
    <w:basedOn w:val="Normal"/>
    <w:uiPriority w:val="99"/>
    <w:rsid w:val="006E2DF5"/>
    <w:pPr>
      <w:spacing w:before="60"/>
    </w:pPr>
    <w:rPr>
      <w:rFonts w:ascii="Times New Roman" w:hAnsi="Times New Roman"/>
    </w:rPr>
  </w:style>
  <w:style w:type="paragraph" w:customStyle="1" w:styleId="ReportTitle">
    <w:name w:val="Report Title"/>
    <w:basedOn w:val="Normal"/>
    <w:uiPriority w:val="99"/>
    <w:rsid w:val="006E2DF5"/>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6E2DF5"/>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6E2DF5"/>
    <w:pPr>
      <w:ind w:left="187"/>
    </w:pPr>
    <w:rPr>
      <w:rFonts w:ascii="Times New Roman" w:hAnsi="Times New Roman"/>
      <w:i/>
      <w:szCs w:val="20"/>
    </w:rPr>
  </w:style>
  <w:style w:type="paragraph" w:customStyle="1" w:styleId="Bullets-Short">
    <w:name w:val="Bullets -  Short"/>
    <w:basedOn w:val="Normal"/>
    <w:autoRedefine/>
    <w:uiPriority w:val="99"/>
    <w:rsid w:val="006E2DF5"/>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6E2DF5"/>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6E2DF5"/>
    <w:rPr>
      <w:rFonts w:ascii="Times New Roman" w:hAnsi="Times New Roman"/>
    </w:rPr>
  </w:style>
  <w:style w:type="paragraph" w:customStyle="1" w:styleId="Bullets">
    <w:name w:val="Bullets"/>
    <w:basedOn w:val="Normal"/>
    <w:uiPriority w:val="99"/>
    <w:rsid w:val="006E2DF5"/>
    <w:pPr>
      <w:numPr>
        <w:numId w:val="4"/>
      </w:numPr>
      <w:tabs>
        <w:tab w:val="left" w:pos="720"/>
      </w:tabs>
      <w:spacing w:before="240"/>
    </w:pPr>
    <w:rPr>
      <w:rFonts w:ascii="Times New Roman" w:hAnsi="Times New Roman"/>
    </w:rPr>
  </w:style>
  <w:style w:type="paragraph" w:styleId="ListBullet">
    <w:name w:val="List Bullet"/>
    <w:basedOn w:val="Normal"/>
    <w:uiPriority w:val="99"/>
    <w:rsid w:val="006E2DF5"/>
    <w:pPr>
      <w:tabs>
        <w:tab w:val="num" w:pos="360"/>
      </w:tabs>
      <w:spacing w:before="240"/>
      <w:ind w:left="360" w:hanging="360"/>
    </w:pPr>
    <w:rPr>
      <w:rFonts w:ascii="Times New Roman" w:hAnsi="Times New Roman"/>
    </w:rPr>
  </w:style>
  <w:style w:type="paragraph" w:customStyle="1" w:styleId="ReportSubtitle">
    <w:name w:val="Report Subtitle"/>
    <w:basedOn w:val="Normal"/>
    <w:uiPriority w:val="99"/>
    <w:rsid w:val="006E2DF5"/>
    <w:pPr>
      <w:spacing w:before="240"/>
      <w:jc w:val="right"/>
    </w:pPr>
    <w:rPr>
      <w:rFonts w:ascii="Tahoma" w:hAnsi="Tahoma" w:cs="Tahoma"/>
      <w:b/>
      <w:sz w:val="40"/>
      <w:szCs w:val="40"/>
    </w:rPr>
  </w:style>
  <w:style w:type="paragraph" w:customStyle="1" w:styleId="StyleTOC2Left01">
    <w:name w:val="Style TOC 2 + Left:  0&quot;1"/>
    <w:basedOn w:val="TOC2"/>
    <w:uiPriority w:val="99"/>
    <w:rsid w:val="006E2DF5"/>
    <w:pPr>
      <w:tabs>
        <w:tab w:val="clear" w:pos="1080"/>
        <w:tab w:val="clear" w:pos="9346"/>
        <w:tab w:val="left" w:pos="1440"/>
        <w:tab w:val="center" w:leader="dot" w:pos="9360"/>
      </w:tabs>
      <w:ind w:left="0" w:firstLine="0"/>
    </w:pPr>
    <w:rPr>
      <w:rFonts w:ascii="Tahoma" w:hAnsi="Tahoma"/>
      <w:noProof w:val="0"/>
      <w:szCs w:val="20"/>
    </w:rPr>
  </w:style>
  <w:style w:type="paragraph" w:customStyle="1" w:styleId="Contactinfo">
    <w:name w:val="Contact info"/>
    <w:basedOn w:val="Normal"/>
    <w:uiPriority w:val="99"/>
    <w:rsid w:val="006E2DF5"/>
  </w:style>
  <w:style w:type="paragraph" w:customStyle="1" w:styleId="AppendixTitle">
    <w:name w:val="Appendix Title"/>
    <w:basedOn w:val="Normal"/>
    <w:uiPriority w:val="99"/>
    <w:rsid w:val="006E2DF5"/>
    <w:pPr>
      <w:pageBreakBefore/>
      <w:spacing w:before="1680"/>
      <w:jc w:val="center"/>
    </w:pPr>
    <w:rPr>
      <w:rFonts w:ascii="Tahoma" w:hAnsi="Tahoma"/>
      <w:b/>
      <w:smallCaps/>
      <w:sz w:val="36"/>
    </w:rPr>
  </w:style>
  <w:style w:type="paragraph" w:customStyle="1" w:styleId="Source">
    <w:name w:val="Source"/>
    <w:basedOn w:val="Normal"/>
    <w:link w:val="SourceChar"/>
    <w:qFormat/>
    <w:rsid w:val="00A83863"/>
    <w:rPr>
      <w:i/>
      <w:color w:val="000000" w:themeColor="text1"/>
      <w:sz w:val="16"/>
      <w:szCs w:val="20"/>
    </w:rPr>
  </w:style>
  <w:style w:type="paragraph" w:customStyle="1" w:styleId="Drafttitle">
    <w:name w:val="Draft title"/>
    <w:basedOn w:val="Normal"/>
    <w:uiPriority w:val="99"/>
    <w:rsid w:val="006E2DF5"/>
    <w:pPr>
      <w:spacing w:before="240"/>
    </w:pPr>
    <w:rPr>
      <w:rFonts w:ascii="Tahoma" w:hAnsi="Tahoma"/>
      <w:color w:val="FFFFFF"/>
      <w:sz w:val="36"/>
    </w:rPr>
  </w:style>
  <w:style w:type="paragraph" w:customStyle="1" w:styleId="Bullets-Short0">
    <w:name w:val="Bullets - Short"/>
    <w:basedOn w:val="Bullets"/>
    <w:uiPriority w:val="99"/>
    <w:rsid w:val="006E2DF5"/>
    <w:pPr>
      <w:numPr>
        <w:numId w:val="0"/>
      </w:numPr>
      <w:tabs>
        <w:tab w:val="num" w:pos="720"/>
      </w:tabs>
      <w:spacing w:before="120"/>
      <w:ind w:left="720" w:hanging="360"/>
    </w:pPr>
  </w:style>
  <w:style w:type="paragraph" w:customStyle="1" w:styleId="Bullets-Long">
    <w:name w:val="Bullets - Long"/>
    <w:basedOn w:val="Normal"/>
    <w:autoRedefine/>
    <w:uiPriority w:val="99"/>
    <w:rsid w:val="006E2DF5"/>
    <w:pPr>
      <w:numPr>
        <w:numId w:val="15"/>
      </w:numPr>
    </w:pPr>
    <w:rPr>
      <w:iCs/>
    </w:rPr>
  </w:style>
  <w:style w:type="paragraph" w:customStyle="1" w:styleId="Bullets-Square">
    <w:name w:val="Bullets - Square"/>
    <w:basedOn w:val="Normal"/>
    <w:uiPriority w:val="99"/>
    <w:rsid w:val="006E2DF5"/>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6E2DF5"/>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6E2DF5"/>
    <w:pPr>
      <w:spacing w:before="240"/>
    </w:pPr>
    <w:rPr>
      <w:rFonts w:ascii="Times New Roman" w:hAnsi="Times New Roman"/>
      <w:bCs/>
      <w:szCs w:val="20"/>
    </w:rPr>
  </w:style>
  <w:style w:type="table" w:styleId="TableGrid1">
    <w:name w:val="Table Grid 1"/>
    <w:basedOn w:val="TableNormal"/>
    <w:uiPriority w:val="99"/>
    <w:rsid w:val="006E2DF5"/>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6E2DF5"/>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6E2DF5"/>
    <w:pPr>
      <w:keepNext/>
      <w:pageBreakBefore/>
      <w:numPr>
        <w:numId w:val="8"/>
      </w:numPr>
      <w:spacing w:before="240" w:after="240"/>
    </w:pPr>
    <w:rPr>
      <w:rFonts w:ascii="Tahoma" w:hAnsi="Tahoma"/>
      <w:b/>
      <w:bCs/>
      <w:smallCaps/>
      <w:sz w:val="40"/>
      <w:szCs w:val="40"/>
    </w:rPr>
  </w:style>
  <w:style w:type="paragraph" w:customStyle="1" w:styleId="ResumeBullets">
    <w:name w:val="Resume Bullets"/>
    <w:basedOn w:val="Normal"/>
    <w:uiPriority w:val="99"/>
    <w:rsid w:val="006E2DF5"/>
    <w:pPr>
      <w:numPr>
        <w:numId w:val="12"/>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6E2DF5"/>
    <w:pPr>
      <w:tabs>
        <w:tab w:val="num" w:pos="1080"/>
      </w:tabs>
      <w:spacing w:line="25" w:lineRule="atLeast"/>
      <w:ind w:left="1080" w:hanging="1080"/>
    </w:pPr>
    <w:rPr>
      <w:sz w:val="32"/>
      <w:szCs w:val="28"/>
    </w:rPr>
  </w:style>
  <w:style w:type="paragraph" w:styleId="ListParagraph">
    <w:name w:val="List Paragraph"/>
    <w:basedOn w:val="Normal"/>
    <w:link w:val="ListParagraphChar"/>
    <w:uiPriority w:val="34"/>
    <w:qFormat/>
    <w:rsid w:val="006E2DF5"/>
    <w:pPr>
      <w:spacing w:before="120"/>
      <w:ind w:left="720"/>
    </w:pPr>
  </w:style>
  <w:style w:type="paragraph" w:customStyle="1" w:styleId="GraphFootnote">
    <w:name w:val="Graph Footnote"/>
    <w:basedOn w:val="Normal"/>
    <w:next w:val="Normal"/>
    <w:uiPriority w:val="99"/>
    <w:rsid w:val="006E2DF5"/>
    <w:rPr>
      <w:rFonts w:ascii="Arial Narrow" w:hAnsi="Arial Narrow"/>
      <w:sz w:val="18"/>
    </w:rPr>
  </w:style>
  <w:style w:type="paragraph" w:customStyle="1" w:styleId="Question">
    <w:name w:val="Question"/>
    <w:basedOn w:val="Normal"/>
    <w:next w:val="Normal"/>
    <w:link w:val="QuestionChar"/>
    <w:qFormat/>
    <w:rsid w:val="006E2DF5"/>
    <w:pPr>
      <w:spacing w:before="240"/>
      <w:ind w:left="432" w:hanging="432"/>
    </w:pPr>
    <w:rPr>
      <w:rFonts w:ascii="Times New Roman" w:hAnsi="Times New Roman"/>
      <w:color w:val="000080"/>
      <w:szCs w:val="20"/>
    </w:rPr>
  </w:style>
  <w:style w:type="paragraph" w:customStyle="1" w:styleId="SingleSpaceNormal">
    <w:name w:val="Single Space Normal"/>
    <w:basedOn w:val="Normal"/>
    <w:uiPriority w:val="99"/>
    <w:rsid w:val="006E2DF5"/>
    <w:pPr>
      <w:spacing w:before="240"/>
    </w:pPr>
    <w:rPr>
      <w:rFonts w:ascii="Times New Roman" w:hAnsi="Times New Roman"/>
    </w:rPr>
  </w:style>
  <w:style w:type="paragraph" w:customStyle="1" w:styleId="Answer">
    <w:name w:val="Answer"/>
    <w:basedOn w:val="Normal"/>
    <w:uiPriority w:val="99"/>
    <w:rsid w:val="006E2DF5"/>
    <w:pPr>
      <w:spacing w:before="240"/>
      <w:ind w:left="432"/>
    </w:pPr>
    <w:rPr>
      <w:rFonts w:ascii="Times New Roman" w:hAnsi="Times New Roman"/>
      <w:szCs w:val="20"/>
    </w:rPr>
  </w:style>
  <w:style w:type="paragraph" w:customStyle="1" w:styleId="AnswerNumbered">
    <w:name w:val="Answer Numbered"/>
    <w:basedOn w:val="Answer"/>
    <w:uiPriority w:val="99"/>
    <w:rsid w:val="006E2DF5"/>
    <w:pPr>
      <w:numPr>
        <w:numId w:val="3"/>
      </w:numPr>
      <w:spacing w:before="0"/>
    </w:pPr>
  </w:style>
  <w:style w:type="paragraph" w:styleId="DocumentMap">
    <w:name w:val="Document Map"/>
    <w:basedOn w:val="Normal"/>
    <w:link w:val="DocumentMapChar"/>
    <w:uiPriority w:val="99"/>
    <w:rsid w:val="006E2DF5"/>
    <w:pPr>
      <w:shd w:val="clear" w:color="auto" w:fill="000080"/>
      <w:spacing w:before="240"/>
    </w:pPr>
    <w:rPr>
      <w:rFonts w:ascii="Tahoma" w:hAnsi="Tahoma" w:cs="Tahoma"/>
      <w:szCs w:val="20"/>
    </w:rPr>
  </w:style>
  <w:style w:type="character" w:customStyle="1" w:styleId="DocumentMapChar">
    <w:name w:val="Document Map Char"/>
    <w:basedOn w:val="DefaultParagraphFont"/>
    <w:link w:val="DocumentMap"/>
    <w:uiPriority w:val="99"/>
    <w:locked/>
    <w:rsid w:val="006E2DF5"/>
    <w:rPr>
      <w:rFonts w:ascii="Tahoma" w:hAnsi="Tahoma" w:cs="Tahoma"/>
      <w:shd w:val="clear" w:color="auto" w:fill="000080"/>
    </w:rPr>
  </w:style>
  <w:style w:type="character" w:customStyle="1" w:styleId="CaptionChar">
    <w:name w:val="Caption Char"/>
    <w:aliases w:val="Table Caption Char,Caption Char1 Char Char"/>
    <w:basedOn w:val="DefaultParagraphFont"/>
    <w:link w:val="Caption"/>
    <w:rsid w:val="006D6846"/>
    <w:rPr>
      <w:rFonts w:ascii="Arial" w:eastAsiaTheme="minorHAnsi" w:hAnsi="Arial" w:cstheme="minorBidi"/>
      <w:b/>
      <w:bCs/>
      <w:color w:val="F07B05" w:themeColor="accent5"/>
    </w:rPr>
  </w:style>
  <w:style w:type="paragraph" w:customStyle="1" w:styleId="Bullets-SingleSpace">
    <w:name w:val="Bullets - Single Space"/>
    <w:basedOn w:val="Bullets"/>
    <w:uiPriority w:val="99"/>
    <w:rsid w:val="006E2DF5"/>
    <w:pPr>
      <w:numPr>
        <w:numId w:val="6"/>
      </w:numPr>
      <w:tabs>
        <w:tab w:val="clear" w:pos="720"/>
      </w:tabs>
      <w:spacing w:before="0"/>
    </w:pPr>
  </w:style>
  <w:style w:type="paragraph" w:styleId="EndnoteText">
    <w:name w:val="endnote text"/>
    <w:basedOn w:val="Normal"/>
    <w:link w:val="EndnoteTextChar"/>
    <w:rsid w:val="006E2DF5"/>
    <w:rPr>
      <w:szCs w:val="20"/>
    </w:rPr>
  </w:style>
  <w:style w:type="character" w:customStyle="1" w:styleId="EndnoteTextChar">
    <w:name w:val="Endnote Text Char"/>
    <w:basedOn w:val="DefaultParagraphFont"/>
    <w:link w:val="EndnoteText"/>
    <w:locked/>
    <w:rsid w:val="006E2DF5"/>
    <w:rPr>
      <w:rFonts w:ascii="Arial" w:hAnsi="Arial"/>
    </w:rPr>
  </w:style>
  <w:style w:type="character" w:styleId="EndnoteReference">
    <w:name w:val="endnote reference"/>
    <w:basedOn w:val="DefaultParagraphFont"/>
    <w:rsid w:val="006E2DF5"/>
    <w:rPr>
      <w:rFonts w:ascii="Arial" w:hAnsi="Arial"/>
      <w:color w:val="555759"/>
      <w:vertAlign w:val="superscript"/>
    </w:rPr>
  </w:style>
  <w:style w:type="character" w:styleId="CommentReference">
    <w:name w:val="annotation reference"/>
    <w:basedOn w:val="DefaultParagraphFont"/>
    <w:rsid w:val="006E2DF5"/>
    <w:rPr>
      <w:rFonts w:ascii="Arial" w:hAnsi="Arial"/>
      <w:sz w:val="16"/>
      <w:szCs w:val="16"/>
    </w:rPr>
  </w:style>
  <w:style w:type="paragraph" w:styleId="CommentSubject">
    <w:name w:val="annotation subject"/>
    <w:basedOn w:val="CommentText"/>
    <w:next w:val="CommentText"/>
    <w:link w:val="CommentSubjectChar"/>
    <w:unhideWhenUsed/>
    <w:rsid w:val="006E2DF5"/>
    <w:rPr>
      <w:b/>
      <w:bCs/>
    </w:rPr>
  </w:style>
  <w:style w:type="character" w:customStyle="1" w:styleId="CommentSubjectChar">
    <w:name w:val="Comment Subject Char"/>
    <w:basedOn w:val="CommentTextChar"/>
    <w:link w:val="CommentSubject"/>
    <w:locked/>
    <w:rsid w:val="006E2DF5"/>
    <w:rPr>
      <w:rFonts w:ascii="Arial" w:hAnsi="Arial"/>
      <w:b/>
      <w:bCs/>
    </w:rPr>
  </w:style>
  <w:style w:type="paragraph" w:customStyle="1" w:styleId="MTDisplayEquation">
    <w:name w:val="MTDisplayEquation"/>
    <w:basedOn w:val="Normal"/>
    <w:uiPriority w:val="99"/>
    <w:rsid w:val="006E2DF5"/>
    <w:pPr>
      <w:spacing w:before="240"/>
      <w:ind w:left="60"/>
    </w:pPr>
    <w:rPr>
      <w:rFonts w:ascii="Times New Roman" w:hAnsi="Times New Roman"/>
    </w:rPr>
  </w:style>
  <w:style w:type="paragraph" w:customStyle="1" w:styleId="Bullet1">
    <w:name w:val="Bullet 1"/>
    <w:basedOn w:val="Normal"/>
    <w:next w:val="BodyText"/>
    <w:uiPriority w:val="99"/>
    <w:rsid w:val="006E2DF5"/>
    <w:pPr>
      <w:tabs>
        <w:tab w:val="num" w:pos="0"/>
      </w:tabs>
      <w:spacing w:after="120"/>
      <w:jc w:val="both"/>
    </w:pPr>
    <w:rPr>
      <w:rFonts w:ascii="Franklin Gothic Book" w:hAnsi="Franklin Gothic Book"/>
      <w:sz w:val="24"/>
    </w:rPr>
  </w:style>
  <w:style w:type="paragraph" w:customStyle="1" w:styleId="Bullet2">
    <w:name w:val="Bullet 2"/>
    <w:basedOn w:val="Normal"/>
    <w:next w:val="BodyText"/>
    <w:uiPriority w:val="99"/>
    <w:rsid w:val="006E2DF5"/>
    <w:pPr>
      <w:tabs>
        <w:tab w:val="num" w:pos="720"/>
      </w:tabs>
      <w:spacing w:after="120"/>
      <w:ind w:left="720" w:hanging="360"/>
      <w:jc w:val="both"/>
    </w:pPr>
    <w:rPr>
      <w:rFonts w:ascii="Franklin Gothic Book" w:hAnsi="Franklin Gothic Book"/>
      <w:sz w:val="24"/>
    </w:rPr>
  </w:style>
  <w:style w:type="table" w:styleId="LightShading-Accent5">
    <w:name w:val="Light Shading Accent 5"/>
    <w:basedOn w:val="TableNormal"/>
    <w:uiPriority w:val="99"/>
    <w:rsid w:val="006E2DF5"/>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6E2DF5"/>
    <w:rPr>
      <w:rFonts w:cs="Times New Roman"/>
    </w:rPr>
  </w:style>
  <w:style w:type="paragraph" w:styleId="TOCHeading">
    <w:name w:val="TOC Heading"/>
    <w:basedOn w:val="Heading1"/>
    <w:next w:val="Normal"/>
    <w:link w:val="TOCHeadingChar"/>
    <w:uiPriority w:val="39"/>
    <w:unhideWhenUsed/>
    <w:qFormat/>
    <w:rsid w:val="006E2DF5"/>
    <w:pPr>
      <w:keepNext w:val="0"/>
      <w:widowControl w:val="0"/>
      <w:numPr>
        <w:numId w:val="0"/>
      </w:numPr>
      <w:outlineLvl w:val="9"/>
    </w:pPr>
    <w:rPr>
      <w:rFonts w:ascii="Arial Bold" w:hAnsi="Arial Bold" w:cstheme="minorBidi"/>
      <w:bCs w:val="0"/>
      <w:kern w:val="0"/>
      <w:positio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6E2DF5"/>
    <w:pPr>
      <w:tabs>
        <w:tab w:val="num" w:pos="1080"/>
      </w:tabs>
      <w:ind w:left="1080"/>
    </w:pPr>
  </w:style>
  <w:style w:type="paragraph" w:styleId="Quote">
    <w:name w:val="Quote"/>
    <w:basedOn w:val="Normal"/>
    <w:next w:val="Normal"/>
    <w:link w:val="QuoteChar"/>
    <w:uiPriority w:val="99"/>
    <w:qFormat/>
    <w:rsid w:val="006E2DF5"/>
    <w:pPr>
      <w:spacing w:before="240"/>
    </w:pPr>
    <w:rPr>
      <w:rFonts w:ascii="Times New Roman" w:hAnsi="Times New Roman"/>
      <w:i/>
      <w:iCs/>
      <w:color w:val="000000"/>
    </w:rPr>
  </w:style>
  <w:style w:type="character" w:customStyle="1" w:styleId="QuoteChar">
    <w:name w:val="Quote Char"/>
    <w:basedOn w:val="DefaultParagraphFont"/>
    <w:link w:val="Quote"/>
    <w:uiPriority w:val="99"/>
    <w:locked/>
    <w:rsid w:val="006E2DF5"/>
    <w:rPr>
      <w:i/>
      <w:iCs/>
      <w:color w:val="000000"/>
      <w:szCs w:val="24"/>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qFormat/>
    <w:rsid w:val="006E2DF5"/>
    <w:rPr>
      <w:rFonts w:cs="Times New Roman"/>
      <w:b/>
      <w:bCs/>
      <w:smallCaps/>
      <w:spacing w:val="5"/>
    </w:rPr>
  </w:style>
  <w:style w:type="character" w:customStyle="1" w:styleId="ListParagraphChar">
    <w:name w:val="List Paragraph Char"/>
    <w:basedOn w:val="DefaultParagraphFont"/>
    <w:link w:val="ListParagraph"/>
    <w:uiPriority w:val="34"/>
    <w:locked/>
    <w:rsid w:val="006E2DF5"/>
    <w:rPr>
      <w:rFonts w:ascii="Arial" w:hAnsi="Arial"/>
      <w:szCs w:val="24"/>
    </w:rPr>
  </w:style>
  <w:style w:type="paragraph" w:customStyle="1" w:styleId="4thLevelHeadingStyle">
    <w:name w:val="4th Level Heading Style"/>
    <w:basedOn w:val="Normal"/>
    <w:link w:val="4thLevelHeadingStyleChar"/>
    <w:uiPriority w:val="99"/>
    <w:rsid w:val="006E2DF5"/>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6E2DF5"/>
    <w:rPr>
      <w:rFonts w:ascii="Arial" w:hAnsi="Arial"/>
      <w:b/>
      <w:sz w:val="22"/>
      <w:szCs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641CE5"/>
  </w:style>
  <w:style w:type="paragraph" w:customStyle="1" w:styleId="pJ">
    <w:name w:val="pJ"/>
    <w:next w:val="Normal4"/>
    <w:uiPriority w:val="99"/>
    <w:rsid w:val="006E2DF5"/>
    <w:pPr>
      <w:spacing w:after="130" w:line="320" w:lineRule="atLeast"/>
      <w:ind w:left="720" w:hanging="432"/>
      <w:jc w:val="both"/>
    </w:pPr>
    <w:rPr>
      <w:sz w:val="24"/>
      <w:szCs w:val="24"/>
    </w:rPr>
  </w:style>
  <w:style w:type="paragraph" w:customStyle="1" w:styleId="pN">
    <w:name w:val="pN"/>
    <w:basedOn w:val="pB"/>
    <w:next w:val="pA2"/>
    <w:uiPriority w:val="99"/>
    <w:rsid w:val="006E2DF5"/>
  </w:style>
  <w:style w:type="paragraph" w:customStyle="1" w:styleId="pB">
    <w:name w:val="pB"/>
    <w:basedOn w:val="Normal"/>
    <w:link w:val="pBChar"/>
    <w:rsid w:val="006E2DF5"/>
    <w:pPr>
      <w:ind w:right="288"/>
    </w:pPr>
    <w:rPr>
      <w:rFonts w:ascii="Times New Roman" w:hAnsi="Times New Roman"/>
    </w:rPr>
  </w:style>
  <w:style w:type="paragraph" w:customStyle="1" w:styleId="pF">
    <w:name w:val="pF"/>
    <w:uiPriority w:val="99"/>
    <w:rsid w:val="006E2DF5"/>
    <w:pPr>
      <w:spacing w:after="130" w:line="320" w:lineRule="atLeast"/>
      <w:ind w:left="720" w:hanging="432"/>
      <w:jc w:val="both"/>
    </w:pPr>
    <w:rPr>
      <w:sz w:val="24"/>
      <w:szCs w:val="24"/>
    </w:rPr>
  </w:style>
  <w:style w:type="paragraph" w:customStyle="1" w:styleId="pS">
    <w:name w:val="pS"/>
    <w:uiPriority w:val="99"/>
    <w:rsid w:val="006E2DF5"/>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6E2DF5"/>
    <w:pPr>
      <w:tabs>
        <w:tab w:val="left" w:pos="1152"/>
      </w:tabs>
      <w:spacing w:before="60" w:line="280" w:lineRule="atLeast"/>
      <w:ind w:left="1152" w:right="288"/>
    </w:pPr>
  </w:style>
  <w:style w:type="paragraph" w:customStyle="1" w:styleId="pE">
    <w:name w:val="pE"/>
    <w:basedOn w:val="pD"/>
    <w:uiPriority w:val="99"/>
    <w:rsid w:val="006E2DF5"/>
  </w:style>
  <w:style w:type="paragraph" w:styleId="Index3">
    <w:name w:val="index 3"/>
    <w:basedOn w:val="Normal"/>
    <w:next w:val="Normal"/>
    <w:uiPriority w:val="99"/>
    <w:locked/>
    <w:rsid w:val="006E2DF5"/>
    <w:rPr>
      <w:rFonts w:ascii="Tms Rmn" w:hAnsi="Tms Rmn"/>
    </w:rPr>
  </w:style>
  <w:style w:type="paragraph" w:styleId="Index4">
    <w:name w:val="index 4"/>
    <w:basedOn w:val="Normal"/>
    <w:next w:val="Normal"/>
    <w:uiPriority w:val="99"/>
    <w:locked/>
    <w:rsid w:val="006E2DF5"/>
    <w:rPr>
      <w:rFonts w:ascii="Tms Rmn" w:hAnsi="Tms Rmn"/>
    </w:rPr>
  </w:style>
  <w:style w:type="paragraph" w:styleId="Index5">
    <w:name w:val="index 5"/>
    <w:basedOn w:val="Normal"/>
    <w:next w:val="Normal"/>
    <w:uiPriority w:val="99"/>
    <w:locked/>
    <w:rsid w:val="006E2DF5"/>
    <w:pPr>
      <w:ind w:left="1440"/>
    </w:pPr>
    <w:rPr>
      <w:rFonts w:ascii="Tms Rmn" w:hAnsi="Tms Rmn"/>
    </w:rPr>
  </w:style>
  <w:style w:type="paragraph" w:styleId="Index7">
    <w:name w:val="index 7"/>
    <w:basedOn w:val="Normal"/>
    <w:next w:val="Normal"/>
    <w:uiPriority w:val="99"/>
    <w:locked/>
    <w:rsid w:val="006E2DF5"/>
    <w:pPr>
      <w:ind w:left="2160"/>
    </w:pPr>
    <w:rPr>
      <w:rFonts w:ascii="Tms Rmn" w:hAnsi="Tms Rmn"/>
    </w:rPr>
  </w:style>
  <w:style w:type="paragraph" w:customStyle="1" w:styleId="p1">
    <w:name w:val="p1"/>
    <w:basedOn w:val="pF"/>
    <w:uiPriority w:val="99"/>
    <w:rsid w:val="006E2DF5"/>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6E2DF5"/>
    <w:rPr>
      <w:rFonts w:ascii="Arial" w:hAnsi="Arial" w:cs="Arial"/>
      <w:b/>
      <w:bCs/>
      <w:sz w:val="28"/>
      <w:szCs w:val="28"/>
    </w:rPr>
  </w:style>
  <w:style w:type="paragraph" w:customStyle="1" w:styleId="p3">
    <w:name w:val="p3"/>
    <w:basedOn w:val="p2"/>
    <w:uiPriority w:val="99"/>
    <w:rsid w:val="006E2DF5"/>
    <w:rPr>
      <w:i/>
      <w:iCs/>
      <w:sz w:val="24"/>
      <w:szCs w:val="24"/>
    </w:rPr>
  </w:style>
  <w:style w:type="paragraph" w:customStyle="1" w:styleId="pA">
    <w:name w:val="pA"/>
    <w:uiPriority w:val="99"/>
    <w:rsid w:val="006E2DF5"/>
    <w:pPr>
      <w:spacing w:after="130" w:line="130" w:lineRule="exact"/>
      <w:ind w:left="720" w:hanging="432"/>
      <w:jc w:val="both"/>
    </w:pPr>
    <w:rPr>
      <w:sz w:val="24"/>
      <w:szCs w:val="24"/>
    </w:rPr>
  </w:style>
  <w:style w:type="paragraph" w:customStyle="1" w:styleId="pG">
    <w:name w:val="pG"/>
    <w:basedOn w:val="p2"/>
    <w:uiPriority w:val="99"/>
    <w:rsid w:val="006E2DF5"/>
    <w:pPr>
      <w:keepNext/>
    </w:pPr>
    <w:rPr>
      <w:sz w:val="24"/>
      <w:szCs w:val="24"/>
    </w:rPr>
  </w:style>
  <w:style w:type="paragraph" w:customStyle="1" w:styleId="pT">
    <w:name w:val="pT"/>
    <w:basedOn w:val="p2"/>
    <w:uiPriority w:val="99"/>
    <w:rsid w:val="006E2DF5"/>
    <w:pPr>
      <w:keepNext/>
    </w:pPr>
    <w:rPr>
      <w:sz w:val="24"/>
      <w:szCs w:val="24"/>
    </w:rPr>
  </w:style>
  <w:style w:type="paragraph" w:customStyle="1" w:styleId="pX">
    <w:name w:val="pX"/>
    <w:basedOn w:val="pF"/>
    <w:uiPriority w:val="99"/>
    <w:rsid w:val="006E2DF5"/>
    <w:pPr>
      <w:spacing w:line="240" w:lineRule="atLeast"/>
    </w:pPr>
  </w:style>
  <w:style w:type="paragraph" w:customStyle="1" w:styleId="TitlePage">
    <w:name w:val="Title Page"/>
    <w:basedOn w:val="p1"/>
    <w:uiPriority w:val="99"/>
    <w:rsid w:val="006E2DF5"/>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iPriority w:val="99"/>
    <w:locked/>
    <w:rsid w:val="006E2DF5"/>
    <w:pPr>
      <w:framePr w:w="7920" w:h="1980" w:hRule="exact" w:hSpace="180" w:wrap="auto" w:hAnchor="page" w:xAlign="center" w:yAlign="bottom"/>
      <w:ind w:left="2880"/>
    </w:pPr>
    <w:rPr>
      <w:rFonts w:ascii="Arial Narrow" w:hAnsi="Arial Narrow"/>
      <w:smallCaps/>
    </w:rPr>
  </w:style>
  <w:style w:type="paragraph" w:customStyle="1" w:styleId="Normal3">
    <w:name w:val="Normal3"/>
    <w:basedOn w:val="Normal"/>
    <w:next w:val="pF"/>
    <w:uiPriority w:val="99"/>
    <w:rsid w:val="006E2DF5"/>
    <w:rPr>
      <w:rFonts w:ascii="Times New Roman" w:hAnsi="Times New Roman"/>
    </w:rPr>
  </w:style>
  <w:style w:type="paragraph" w:customStyle="1" w:styleId="Large">
    <w:name w:val="Large"/>
    <w:basedOn w:val="pF"/>
    <w:next w:val="pF"/>
    <w:uiPriority w:val="99"/>
    <w:rsid w:val="006E2DF5"/>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6E2DF5"/>
    <w:rPr>
      <w:rFonts w:ascii="Times New Roman" w:hAnsi="Times New Roman"/>
    </w:rPr>
  </w:style>
  <w:style w:type="paragraph" w:customStyle="1" w:styleId="pA2">
    <w:name w:val="pA2"/>
    <w:basedOn w:val="pA"/>
    <w:next w:val="pA"/>
    <w:uiPriority w:val="99"/>
    <w:rsid w:val="006E2DF5"/>
  </w:style>
  <w:style w:type="paragraph" w:customStyle="1" w:styleId="pA3">
    <w:name w:val="pA3"/>
    <w:basedOn w:val="pA"/>
    <w:next w:val="pB"/>
    <w:uiPriority w:val="99"/>
    <w:rsid w:val="006E2DF5"/>
  </w:style>
  <w:style w:type="paragraph" w:customStyle="1" w:styleId="Normal4">
    <w:name w:val="Normal4"/>
    <w:basedOn w:val="Normal"/>
    <w:next w:val="pJ"/>
    <w:uiPriority w:val="99"/>
    <w:rsid w:val="006E2DF5"/>
    <w:pPr>
      <w:tabs>
        <w:tab w:val="left" w:pos="6210"/>
      </w:tabs>
    </w:pPr>
    <w:rPr>
      <w:rFonts w:ascii="Times New Roman" w:hAnsi="Times New Roman"/>
    </w:rPr>
  </w:style>
  <w:style w:type="paragraph" w:customStyle="1" w:styleId="resumeparagraph">
    <w:name w:val="resume paragraph"/>
    <w:uiPriority w:val="99"/>
    <w:rsid w:val="006E2DF5"/>
    <w:pPr>
      <w:spacing w:before="100" w:after="130" w:line="240" w:lineRule="exact"/>
      <w:ind w:left="720" w:hanging="288"/>
      <w:jc w:val="both"/>
    </w:pPr>
    <w:rPr>
      <w:sz w:val="24"/>
      <w:szCs w:val="24"/>
    </w:rPr>
  </w:style>
  <w:style w:type="paragraph" w:customStyle="1" w:styleId="Headline">
    <w:name w:val="Headline"/>
    <w:basedOn w:val="Normal"/>
    <w:uiPriority w:val="99"/>
    <w:rsid w:val="006E2DF5"/>
    <w:rPr>
      <w:rFonts w:ascii="Times New Roman" w:hAnsi="Times New Roman"/>
      <w:b/>
      <w:bCs/>
      <w:sz w:val="36"/>
      <w:szCs w:val="36"/>
    </w:rPr>
  </w:style>
  <w:style w:type="paragraph" w:customStyle="1" w:styleId="projtitle">
    <w:name w:val="projtitle"/>
    <w:basedOn w:val="Normal"/>
    <w:next w:val="For"/>
    <w:uiPriority w:val="99"/>
    <w:rsid w:val="006E2DF5"/>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6E2DF5"/>
    <w:pPr>
      <w:tabs>
        <w:tab w:val="left" w:pos="-1170"/>
      </w:tabs>
      <w:spacing w:after="240"/>
    </w:pPr>
  </w:style>
  <w:style w:type="paragraph" w:customStyle="1" w:styleId="For">
    <w:name w:val="For"/>
    <w:basedOn w:val="Normal"/>
    <w:next w:val="Contact"/>
    <w:uiPriority w:val="99"/>
    <w:rsid w:val="006E2DF5"/>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6E2DF5"/>
    <w:pPr>
      <w:keepNext/>
      <w:keepLines/>
      <w:spacing w:line="280" w:lineRule="exact"/>
      <w:ind w:left="1152" w:right="288"/>
    </w:pPr>
    <w:rPr>
      <w:rFonts w:ascii="Times New Roman" w:hAnsi="Times New Roman"/>
    </w:rPr>
  </w:style>
  <w:style w:type="paragraph" w:customStyle="1" w:styleId="pmi">
    <w:name w:val="pmi"/>
    <w:basedOn w:val="Normal"/>
    <w:uiPriority w:val="99"/>
    <w:rsid w:val="006E2DF5"/>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6E2DF5"/>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6E2DF5"/>
    <w:pPr>
      <w:ind w:hanging="720"/>
    </w:pPr>
  </w:style>
  <w:style w:type="paragraph" w:customStyle="1" w:styleId="Variabledefinition">
    <w:name w:val="Variable definition"/>
    <w:basedOn w:val="pD"/>
    <w:uiPriority w:val="99"/>
    <w:rsid w:val="006E2DF5"/>
  </w:style>
  <w:style w:type="paragraph" w:customStyle="1" w:styleId="tablefootnote">
    <w:name w:val="table footnote"/>
    <w:basedOn w:val="Normal2"/>
    <w:link w:val="tablefootnoteChar"/>
    <w:uiPriority w:val="99"/>
    <w:rsid w:val="006E2DF5"/>
  </w:style>
  <w:style w:type="paragraph" w:customStyle="1" w:styleId="WfxFaxNum">
    <w:name w:val="WfxFaxNum"/>
    <w:basedOn w:val="Normal"/>
    <w:uiPriority w:val="99"/>
    <w:rsid w:val="006E2DF5"/>
    <w:rPr>
      <w:rFonts w:ascii="Times New Roman" w:hAnsi="Times New Roman"/>
    </w:rPr>
  </w:style>
  <w:style w:type="paragraph" w:customStyle="1" w:styleId="WfxTime">
    <w:name w:val="WfxTime"/>
    <w:basedOn w:val="Normal"/>
    <w:uiPriority w:val="99"/>
    <w:rsid w:val="006E2DF5"/>
    <w:rPr>
      <w:rFonts w:ascii="Times New Roman" w:hAnsi="Times New Roman"/>
    </w:rPr>
  </w:style>
  <w:style w:type="paragraph" w:customStyle="1" w:styleId="WfxDate">
    <w:name w:val="WfxDate"/>
    <w:basedOn w:val="Normal"/>
    <w:uiPriority w:val="99"/>
    <w:rsid w:val="006E2DF5"/>
    <w:rPr>
      <w:rFonts w:ascii="Times New Roman" w:hAnsi="Times New Roman"/>
    </w:rPr>
  </w:style>
  <w:style w:type="paragraph" w:customStyle="1" w:styleId="WfxRecipient">
    <w:name w:val="WfxRecipient"/>
    <w:basedOn w:val="Normal"/>
    <w:uiPriority w:val="99"/>
    <w:rsid w:val="006E2DF5"/>
    <w:rPr>
      <w:rFonts w:ascii="Times New Roman" w:hAnsi="Times New Roman"/>
    </w:rPr>
  </w:style>
  <w:style w:type="paragraph" w:customStyle="1" w:styleId="WfxCompany">
    <w:name w:val="WfxCompany"/>
    <w:basedOn w:val="Normal"/>
    <w:uiPriority w:val="99"/>
    <w:rsid w:val="006E2DF5"/>
    <w:rPr>
      <w:rFonts w:ascii="Times New Roman" w:hAnsi="Times New Roman"/>
    </w:rPr>
  </w:style>
  <w:style w:type="paragraph" w:customStyle="1" w:styleId="WfxSubject">
    <w:name w:val="WfxSubject"/>
    <w:basedOn w:val="Normal"/>
    <w:uiPriority w:val="99"/>
    <w:rsid w:val="006E2DF5"/>
    <w:rPr>
      <w:rFonts w:ascii="Times New Roman" w:hAnsi="Times New Roman"/>
    </w:rPr>
  </w:style>
  <w:style w:type="paragraph" w:customStyle="1" w:styleId="WfxKeyword">
    <w:name w:val="WfxKeyword"/>
    <w:basedOn w:val="Normal"/>
    <w:uiPriority w:val="99"/>
    <w:rsid w:val="006E2DF5"/>
    <w:rPr>
      <w:rFonts w:ascii="Times New Roman" w:hAnsi="Times New Roman"/>
    </w:rPr>
  </w:style>
  <w:style w:type="paragraph" w:customStyle="1" w:styleId="WfxBillCode">
    <w:name w:val="WfxBillCode"/>
    <w:basedOn w:val="Normal"/>
    <w:uiPriority w:val="99"/>
    <w:rsid w:val="006E2DF5"/>
    <w:rPr>
      <w:rFonts w:ascii="Times New Roman" w:hAnsi="Times New Roman"/>
    </w:rPr>
  </w:style>
  <w:style w:type="paragraph" w:customStyle="1" w:styleId="pQ">
    <w:name w:val="pQ"/>
    <w:basedOn w:val="pS"/>
    <w:uiPriority w:val="99"/>
    <w:rsid w:val="006E2DF5"/>
  </w:style>
  <w:style w:type="character" w:customStyle="1" w:styleId="Normal2Char">
    <w:name w:val="Normal2 Char"/>
    <w:uiPriority w:val="99"/>
    <w:rsid w:val="006E2DF5"/>
    <w:rPr>
      <w:rFonts w:cs="Times New Roman"/>
      <w:sz w:val="24"/>
      <w:szCs w:val="24"/>
      <w:lang w:val="en-US" w:eastAsia="en-US" w:bidi="ar-SA"/>
    </w:rPr>
  </w:style>
  <w:style w:type="paragraph" w:customStyle="1" w:styleId="CEUSIndent5">
    <w:name w:val="CEUS_Indent5"/>
    <w:basedOn w:val="pE"/>
    <w:uiPriority w:val="99"/>
    <w:rsid w:val="006E2DF5"/>
  </w:style>
  <w:style w:type="paragraph" w:styleId="ListBullet2">
    <w:name w:val="List Bullet 2"/>
    <w:basedOn w:val="ListBullet"/>
    <w:locked/>
    <w:rsid w:val="006E2DF5"/>
    <w:pPr>
      <w:numPr>
        <w:numId w:val="9"/>
      </w:numPr>
      <w:spacing w:before="80"/>
    </w:pPr>
    <w:rPr>
      <w:rFonts w:ascii="Arial" w:hAnsi="Arial"/>
      <w:szCs w:val="20"/>
    </w:rPr>
  </w:style>
  <w:style w:type="paragraph" w:customStyle="1" w:styleId="CoverTitle">
    <w:name w:val="CoverTitle"/>
    <w:basedOn w:val="Normal"/>
    <w:link w:val="CoverTitleChar"/>
    <w:uiPriority w:val="99"/>
    <w:rsid w:val="006E2DF5"/>
    <w:pPr>
      <w:spacing w:after="120"/>
      <w:jc w:val="center"/>
    </w:pPr>
    <w:rPr>
      <w:b/>
      <w:sz w:val="40"/>
    </w:rPr>
  </w:style>
  <w:style w:type="character" w:customStyle="1" w:styleId="CoverTitleChar">
    <w:name w:val="CoverTitle Char"/>
    <w:link w:val="CoverTitle"/>
    <w:uiPriority w:val="99"/>
    <w:locked/>
    <w:rsid w:val="006E2DF5"/>
    <w:rPr>
      <w:rFonts w:ascii="Arial" w:hAnsi="Arial"/>
      <w:b/>
      <w:sz w:val="40"/>
      <w:szCs w:val="24"/>
    </w:rPr>
  </w:style>
  <w:style w:type="paragraph" w:customStyle="1" w:styleId="CoverNormal">
    <w:name w:val="CoverNormal"/>
    <w:basedOn w:val="Normal"/>
    <w:link w:val="CoverNormalChar"/>
    <w:uiPriority w:val="99"/>
    <w:rsid w:val="006E2DF5"/>
    <w:pPr>
      <w:jc w:val="center"/>
    </w:pPr>
  </w:style>
  <w:style w:type="character" w:customStyle="1" w:styleId="CoverNormalChar">
    <w:name w:val="CoverNormal Char"/>
    <w:link w:val="CoverNormal"/>
    <w:uiPriority w:val="99"/>
    <w:locked/>
    <w:rsid w:val="006E2DF5"/>
    <w:rPr>
      <w:rFonts w:ascii="Arial" w:hAnsi="Arial"/>
      <w:szCs w:val="24"/>
    </w:rPr>
  </w:style>
  <w:style w:type="paragraph" w:customStyle="1" w:styleId="Halfline">
    <w:name w:val="Halfline"/>
    <w:basedOn w:val="Normal"/>
    <w:link w:val="HalflineChar"/>
    <w:uiPriority w:val="99"/>
    <w:rsid w:val="006E2DF5"/>
    <w:pPr>
      <w:spacing w:after="130" w:line="130" w:lineRule="exact"/>
    </w:pPr>
    <w:rPr>
      <w:rFonts w:ascii="Times New Roman" w:hAnsi="Times New Roman"/>
    </w:rPr>
  </w:style>
  <w:style w:type="character" w:customStyle="1" w:styleId="HalflineChar">
    <w:name w:val="Halfline Char"/>
    <w:link w:val="Halfline"/>
    <w:uiPriority w:val="99"/>
    <w:locked/>
    <w:rsid w:val="006E2DF5"/>
    <w:rPr>
      <w:szCs w:val="24"/>
    </w:rPr>
  </w:style>
  <w:style w:type="paragraph" w:customStyle="1" w:styleId="LetterheadParagraph">
    <w:name w:val="Letterhead Paragraph"/>
    <w:basedOn w:val="Normal"/>
    <w:uiPriority w:val="99"/>
    <w:rsid w:val="006E2DF5"/>
    <w:rPr>
      <w:rFonts w:ascii="Arial Narrow" w:hAnsi="Arial Narrow"/>
    </w:rPr>
  </w:style>
  <w:style w:type="paragraph" w:customStyle="1" w:styleId="Bullettext">
    <w:name w:val="Bullet text"/>
    <w:basedOn w:val="List2"/>
    <w:uiPriority w:val="99"/>
    <w:rsid w:val="006E2DF5"/>
    <w:pPr>
      <w:ind w:left="360" w:firstLine="0"/>
      <w:contextualSpacing w:val="0"/>
      <w:jc w:val="both"/>
    </w:pPr>
    <w:rPr>
      <w:sz w:val="24"/>
    </w:rPr>
  </w:style>
  <w:style w:type="paragraph" w:styleId="List2">
    <w:name w:val="List 2"/>
    <w:basedOn w:val="Normal"/>
    <w:uiPriority w:val="99"/>
    <w:locked/>
    <w:rsid w:val="006E2DF5"/>
    <w:pPr>
      <w:ind w:left="720" w:hanging="360"/>
    </w:pPr>
    <w:rPr>
      <w:rFonts w:ascii="Times New Roman" w:hAnsi="Times New Roman"/>
    </w:rPr>
  </w:style>
  <w:style w:type="paragraph" w:styleId="PlainText">
    <w:name w:val="Plain Text"/>
    <w:basedOn w:val="Normal"/>
    <w:link w:val="PlainTextChar"/>
    <w:uiPriority w:val="99"/>
    <w:locked/>
    <w:rsid w:val="006E2DF5"/>
    <w:rPr>
      <w:rFonts w:ascii="Consolas" w:hAnsi="Consolas"/>
      <w:sz w:val="21"/>
      <w:szCs w:val="21"/>
    </w:rPr>
  </w:style>
  <w:style w:type="character" w:customStyle="1" w:styleId="PlainTextChar">
    <w:name w:val="Plain Text Char"/>
    <w:basedOn w:val="DefaultParagraphFont"/>
    <w:link w:val="PlainText"/>
    <w:uiPriority w:val="99"/>
    <w:locked/>
    <w:rsid w:val="006E2DF5"/>
    <w:rPr>
      <w:rFonts w:ascii="Consolas" w:hAnsi="Consolas"/>
      <w:sz w:val="21"/>
      <w:szCs w:val="21"/>
    </w:rPr>
  </w:style>
  <w:style w:type="character" w:customStyle="1" w:styleId="tablefootnoteChar">
    <w:name w:val="table footnote Char"/>
    <w:link w:val="tablefootnote"/>
    <w:uiPriority w:val="99"/>
    <w:locked/>
    <w:rsid w:val="006E2DF5"/>
    <w:rPr>
      <w:szCs w:val="24"/>
    </w:rPr>
  </w:style>
  <w:style w:type="paragraph" w:customStyle="1" w:styleId="TitleSub">
    <w:name w:val="TitleSub"/>
    <w:basedOn w:val="Title"/>
    <w:link w:val="TitleSubChar"/>
    <w:autoRedefine/>
    <w:uiPriority w:val="99"/>
    <w:rsid w:val="006E2DF5"/>
    <w:pPr>
      <w:jc w:val="right"/>
    </w:pPr>
    <w:rPr>
      <w:b w:val="0"/>
      <w:bCs/>
      <w:color w:val="17365D"/>
      <w:spacing w:val="5"/>
      <w:szCs w:val="52"/>
    </w:rPr>
  </w:style>
  <w:style w:type="character" w:customStyle="1" w:styleId="TitleSubChar">
    <w:name w:val="TitleSub Char"/>
    <w:link w:val="TitleSub"/>
    <w:uiPriority w:val="99"/>
    <w:locked/>
    <w:rsid w:val="006E2DF5"/>
    <w:rPr>
      <w:rFonts w:ascii="Arial" w:eastAsiaTheme="majorEastAsia" w:hAnsi="Arial" w:cstheme="majorBidi"/>
      <w:bCs/>
      <w:color w:val="17365D"/>
      <w:spacing w:val="5"/>
      <w:kern w:val="28"/>
      <w:sz w:val="48"/>
      <w:szCs w:val="52"/>
    </w:rPr>
  </w:style>
  <w:style w:type="paragraph" w:customStyle="1" w:styleId="TitleAdd">
    <w:name w:val="TitleAdd"/>
    <w:basedOn w:val="Title"/>
    <w:link w:val="TitleAddChar"/>
    <w:autoRedefine/>
    <w:uiPriority w:val="99"/>
    <w:rsid w:val="006E2DF5"/>
    <w:pPr>
      <w:jc w:val="right"/>
    </w:pPr>
    <w:rPr>
      <w:b w:val="0"/>
      <w:bCs/>
      <w:color w:val="17365D"/>
      <w:spacing w:val="5"/>
      <w:sz w:val="24"/>
    </w:rPr>
  </w:style>
  <w:style w:type="character" w:customStyle="1" w:styleId="TitleAddChar">
    <w:name w:val="TitleAdd Char"/>
    <w:link w:val="TitleAdd"/>
    <w:uiPriority w:val="99"/>
    <w:locked/>
    <w:rsid w:val="006E2DF5"/>
    <w:rPr>
      <w:rFonts w:ascii="Arial" w:eastAsiaTheme="majorEastAsia" w:hAnsi="Arial" w:cstheme="majorBidi"/>
      <w:bCs/>
      <w:color w:val="17365D"/>
      <w:spacing w:val="5"/>
      <w:kern w:val="28"/>
      <w:sz w:val="24"/>
      <w:szCs w:val="56"/>
    </w:rPr>
  </w:style>
  <w:style w:type="paragraph" w:styleId="NoSpacing">
    <w:name w:val="No Spacing"/>
    <w:uiPriority w:val="1"/>
    <w:qFormat/>
    <w:rsid w:val="006E2DF5"/>
    <w:pPr>
      <w:widowControl w:val="0"/>
    </w:pPr>
    <w:rPr>
      <w:rFonts w:ascii="Arial" w:eastAsiaTheme="minorHAnsi" w:hAnsi="Arial" w:cstheme="minorBidi"/>
      <w:color w:val="555759" w:themeColor="text2"/>
      <w:sz w:val="22"/>
      <w:szCs w:val="22"/>
    </w:rPr>
  </w:style>
  <w:style w:type="paragraph" w:customStyle="1" w:styleId="Default">
    <w:name w:val="Default"/>
    <w:rsid w:val="006E2DF5"/>
    <w:pPr>
      <w:autoSpaceDE w:val="0"/>
      <w:autoSpaceDN w:val="0"/>
      <w:adjustRightInd w:val="0"/>
    </w:pPr>
    <w:rPr>
      <w:rFonts w:ascii="Arial" w:hAnsi="Arial" w:cs="Arial"/>
      <w:color w:val="000000"/>
      <w:sz w:val="24"/>
      <w:szCs w:val="24"/>
    </w:rPr>
  </w:style>
  <w:style w:type="character" w:customStyle="1" w:styleId="pBChar">
    <w:name w:val="pB Char"/>
    <w:link w:val="pB"/>
    <w:locked/>
    <w:rsid w:val="006E2DF5"/>
    <w:rPr>
      <w:szCs w:val="24"/>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ListBullet"/>
    <w:uiPriority w:val="99"/>
    <w:locked/>
    <w:rsid w:val="006E2DF5"/>
    <w:pPr>
      <w:tabs>
        <w:tab w:val="clear" w:pos="360"/>
        <w:tab w:val="left" w:pos="851"/>
      </w:tabs>
      <w:spacing w:before="160"/>
      <w:ind w:left="851" w:hanging="284"/>
    </w:pPr>
    <w:rPr>
      <w:rFonts w:ascii="Arial" w:hAnsi="Arial"/>
      <w:szCs w:val="20"/>
    </w:rPr>
  </w:style>
  <w:style w:type="table" w:customStyle="1" w:styleId="TableGrid10">
    <w:name w:val="Table Grid1"/>
    <w:basedOn w:val="TableNormal"/>
    <w:next w:val="TableGrid"/>
    <w:uiPriority w:val="39"/>
    <w:rsid w:val="006E2D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locked/>
    <w:rsid w:val="006E2DF5"/>
    <w:rPr>
      <w:rFonts w:cs="Times New Roman"/>
      <w:color w:val="800080"/>
      <w:u w:val="single"/>
    </w:rPr>
  </w:style>
  <w:style w:type="numbering" w:customStyle="1" w:styleId="StyleNumberedLeft025Hanging025">
    <w:name w:val="Style Numbered Left:  0.25&quot; Hanging:  0.25&quot;"/>
    <w:basedOn w:val="NoList"/>
    <w:rsid w:val="006E2DF5"/>
    <w:pPr>
      <w:numPr>
        <w:numId w:val="22"/>
      </w:numPr>
    </w:pPr>
  </w:style>
  <w:style w:type="numbering" w:customStyle="1" w:styleId="StyleBulleted">
    <w:name w:val="Style Bulleted"/>
    <w:basedOn w:val="NoList"/>
    <w:rsid w:val="006E2DF5"/>
    <w:pPr>
      <w:numPr>
        <w:numId w:val="18"/>
      </w:numPr>
    </w:pPr>
  </w:style>
  <w:style w:type="numbering" w:customStyle="1" w:styleId="CnAListBullets">
    <w:name w:val="CnAListBullets"/>
    <w:rsid w:val="006E2DF5"/>
    <w:pPr>
      <w:numPr>
        <w:numId w:val="2"/>
      </w:numPr>
    </w:pPr>
  </w:style>
  <w:style w:type="numbering" w:customStyle="1" w:styleId="Style1">
    <w:name w:val="Style1"/>
    <w:rsid w:val="006E2DF5"/>
    <w:pPr>
      <w:numPr>
        <w:numId w:val="14"/>
      </w:numPr>
    </w:pPr>
  </w:style>
  <w:style w:type="numbering" w:customStyle="1" w:styleId="Itron">
    <w:name w:val="Itron"/>
    <w:rsid w:val="006E2DF5"/>
    <w:pPr>
      <w:numPr>
        <w:numId w:val="1"/>
      </w:numPr>
    </w:pPr>
  </w:style>
  <w:style w:type="numbering" w:customStyle="1" w:styleId="StyleNumbered">
    <w:name w:val="Style Numbered"/>
    <w:rsid w:val="006E2DF5"/>
    <w:pPr>
      <w:numPr>
        <w:numId w:val="13"/>
      </w:numPr>
    </w:pPr>
  </w:style>
  <w:style w:type="paragraph" w:customStyle="1" w:styleId="5thLevelHeadingStyle">
    <w:name w:val="5th Level Heading Style"/>
    <w:basedOn w:val="Normal"/>
    <w:link w:val="5thLevelHeadingStyleChar"/>
    <w:uiPriority w:val="99"/>
    <w:rsid w:val="006E2DF5"/>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6E2DF5"/>
    <w:rPr>
      <w:rFonts w:ascii="Arial Narrow" w:hAnsi="Arial Narrow" w:cs="Arial"/>
      <w:b/>
      <w:sz w:val="22"/>
      <w:szCs w:val="24"/>
      <w:u w:val="single"/>
    </w:rPr>
  </w:style>
  <w:style w:type="paragraph" w:customStyle="1" w:styleId="6thLevelHeadingStyle">
    <w:name w:val="6th Level Heading Style"/>
    <w:basedOn w:val="Normal"/>
    <w:link w:val="6thLevelHeadingStyleChar"/>
    <w:uiPriority w:val="99"/>
    <w:rsid w:val="006E2DF5"/>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6E2DF5"/>
    <w:rPr>
      <w:rFonts w:ascii="Arial Narrow" w:hAnsi="Arial Narrow"/>
      <w:b/>
      <w:color w:val="6F6754"/>
      <w:sz w:val="22"/>
      <w:szCs w:val="22"/>
    </w:rPr>
  </w:style>
  <w:style w:type="character" w:customStyle="1" w:styleId="acicollapsed1">
    <w:name w:val="acicollapsed1"/>
    <w:basedOn w:val="DefaultParagraphFont"/>
    <w:rsid w:val="006E2DF5"/>
    <w:rPr>
      <w:rFonts w:cs="Times New Roman"/>
      <w:vanish/>
    </w:rPr>
  </w:style>
  <w:style w:type="paragraph" w:customStyle="1" w:styleId="Alias">
    <w:name w:val="Alias"/>
    <w:uiPriority w:val="99"/>
    <w:rsid w:val="006E2DF5"/>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6E2DF5"/>
    <w:pPr>
      <w:widowControl w:val="0"/>
      <w:overflowPunct w:val="0"/>
      <w:autoSpaceDE w:val="0"/>
      <w:autoSpaceDN w:val="0"/>
      <w:adjustRightInd w:val="0"/>
      <w:ind w:left="720"/>
      <w:textAlignment w:val="baseline"/>
    </w:pPr>
    <w:rPr>
      <w:rFonts w:ascii="Palatino" w:hAnsi="Palatino"/>
      <w:color w:val="000000"/>
      <w:szCs w:val="20"/>
    </w:rPr>
  </w:style>
  <w:style w:type="paragraph" w:styleId="BodyTextIndent2">
    <w:name w:val="Body Text Indent 2"/>
    <w:basedOn w:val="Normal"/>
    <w:link w:val="BodyTextIndent2Char"/>
    <w:uiPriority w:val="99"/>
    <w:locked/>
    <w:rsid w:val="006E2DF5"/>
    <w:pPr>
      <w:overflowPunct w:val="0"/>
      <w:autoSpaceDE w:val="0"/>
      <w:autoSpaceDN w:val="0"/>
      <w:adjustRightInd w:val="0"/>
      <w:spacing w:after="120" w:line="480" w:lineRule="auto"/>
      <w:ind w:left="360"/>
      <w:textAlignment w:val="baseline"/>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6E2DF5"/>
    <w:rPr>
      <w:sz w:val="24"/>
    </w:rPr>
  </w:style>
  <w:style w:type="paragraph" w:customStyle="1" w:styleId="CoverFooter">
    <w:name w:val="Cover Footer"/>
    <w:basedOn w:val="Normal"/>
    <w:uiPriority w:val="99"/>
    <w:rsid w:val="006E2DF5"/>
    <w:pPr>
      <w:spacing w:before="160"/>
      <w:jc w:val="right"/>
    </w:pPr>
    <w:rPr>
      <w:sz w:val="16"/>
      <w:szCs w:val="20"/>
    </w:rPr>
  </w:style>
  <w:style w:type="paragraph" w:customStyle="1" w:styleId="ChapterFooter">
    <w:name w:val="Chapter Footer"/>
    <w:basedOn w:val="CoverFooter"/>
    <w:uiPriority w:val="99"/>
    <w:rsid w:val="006E2DF5"/>
  </w:style>
  <w:style w:type="character" w:customStyle="1" w:styleId="Char">
    <w:name w:val="Char"/>
    <w:basedOn w:val="DefaultParagraphFont"/>
    <w:uiPriority w:val="99"/>
    <w:rsid w:val="006E2DF5"/>
    <w:rPr>
      <w:rFonts w:ascii="Arial" w:hAnsi="Arial" w:cs="Times New Roman"/>
      <w:sz w:val="22"/>
      <w:lang w:val="en-US" w:eastAsia="en-US" w:bidi="ar-SA"/>
    </w:rPr>
  </w:style>
  <w:style w:type="paragraph" w:customStyle="1" w:styleId="Choice">
    <w:name w:val="Choice"/>
    <w:basedOn w:val="Normal"/>
    <w:uiPriority w:val="99"/>
    <w:rsid w:val="006E2DF5"/>
    <w:pPr>
      <w:keepNext/>
      <w:tabs>
        <w:tab w:val="right" w:leader="dot" w:pos="5812"/>
        <w:tab w:val="left" w:pos="5988"/>
        <w:tab w:val="left" w:pos="6441"/>
        <w:tab w:val="right" w:pos="7791"/>
        <w:tab w:val="right" w:pos="8640"/>
      </w:tabs>
    </w:pPr>
    <w:rPr>
      <w:rFonts w:ascii="Tms Rmn" w:hAnsi="Tms Rmn"/>
      <w:szCs w:val="20"/>
    </w:rPr>
  </w:style>
  <w:style w:type="paragraph" w:customStyle="1" w:styleId="Circulation">
    <w:name w:val="Circulation"/>
    <w:basedOn w:val="Normal"/>
    <w:uiPriority w:val="99"/>
    <w:rsid w:val="006E2DF5"/>
    <w:pPr>
      <w:spacing w:before="60"/>
    </w:pPr>
    <w:rPr>
      <w:szCs w:val="20"/>
    </w:rPr>
  </w:style>
  <w:style w:type="paragraph" w:customStyle="1" w:styleId="Confid">
    <w:name w:val="Confid"/>
    <w:basedOn w:val="Normal"/>
    <w:uiPriority w:val="99"/>
    <w:rsid w:val="006E2DF5"/>
    <w:pPr>
      <w:spacing w:after="240"/>
    </w:pPr>
    <w:rPr>
      <w:b/>
      <w:szCs w:val="20"/>
    </w:rPr>
  </w:style>
  <w:style w:type="paragraph" w:customStyle="1" w:styleId="CoverAddress">
    <w:name w:val="Cover Address"/>
    <w:basedOn w:val="Normal"/>
    <w:uiPriority w:val="99"/>
    <w:rsid w:val="006E2DF5"/>
    <w:pPr>
      <w:framePr w:hSpace="180" w:wrap="around" w:vAnchor="page" w:hAnchor="page" w:x="6912" w:y="576"/>
      <w:jc w:val="right"/>
    </w:pPr>
    <w:rPr>
      <w:noProof/>
      <w:szCs w:val="20"/>
    </w:rPr>
  </w:style>
  <w:style w:type="paragraph" w:customStyle="1" w:styleId="CoverClientName">
    <w:name w:val="Cover Client Name"/>
    <w:basedOn w:val="Normal"/>
    <w:next w:val="Normal"/>
    <w:uiPriority w:val="99"/>
    <w:rsid w:val="006E2DF5"/>
    <w:pPr>
      <w:spacing w:before="2220" w:line="720" w:lineRule="exact"/>
      <w:ind w:left="1985"/>
    </w:pPr>
    <w:rPr>
      <w:sz w:val="60"/>
      <w:szCs w:val="20"/>
    </w:rPr>
  </w:style>
  <w:style w:type="paragraph" w:customStyle="1" w:styleId="CoverConfidentiality">
    <w:name w:val="Cover Confidentiality"/>
    <w:basedOn w:val="Normal"/>
    <w:uiPriority w:val="99"/>
    <w:rsid w:val="006E2DF5"/>
    <w:pPr>
      <w:spacing w:before="800"/>
      <w:ind w:left="1985"/>
    </w:pPr>
    <w:rPr>
      <w:i/>
      <w:szCs w:val="20"/>
    </w:rPr>
  </w:style>
  <w:style w:type="paragraph" w:customStyle="1" w:styleId="CoverNarrative">
    <w:name w:val="Cover Narrative"/>
    <w:basedOn w:val="Normal"/>
    <w:uiPriority w:val="99"/>
    <w:rsid w:val="006E2DF5"/>
    <w:pPr>
      <w:shd w:val="solid" w:color="FFFFFF" w:fill="FFFFFF"/>
      <w:spacing w:before="200" w:line="360" w:lineRule="exact"/>
      <w:ind w:left="1985"/>
    </w:pPr>
    <w:rPr>
      <w:sz w:val="36"/>
      <w:szCs w:val="20"/>
    </w:rPr>
  </w:style>
  <w:style w:type="paragraph" w:customStyle="1" w:styleId="CoverCopyright">
    <w:name w:val="Cover Copyright"/>
    <w:basedOn w:val="CoverNarrative"/>
    <w:uiPriority w:val="99"/>
    <w:rsid w:val="006E2DF5"/>
    <w:pPr>
      <w:spacing w:line="240" w:lineRule="auto"/>
    </w:pPr>
    <w:rPr>
      <w:sz w:val="16"/>
    </w:rPr>
  </w:style>
  <w:style w:type="paragraph" w:customStyle="1" w:styleId="CoverDate">
    <w:name w:val="Cover Date"/>
    <w:basedOn w:val="CoverNarrative"/>
    <w:uiPriority w:val="99"/>
    <w:rsid w:val="006E2DF5"/>
  </w:style>
  <w:style w:type="character" w:customStyle="1" w:styleId="CoverText">
    <w:name w:val="Cover Text"/>
    <w:basedOn w:val="DefaultParagraphFont"/>
    <w:rsid w:val="006E2DF5"/>
    <w:rPr>
      <w:rFonts w:ascii="Arial" w:hAnsi="Arial"/>
      <w:color w:val="545759"/>
      <w:sz w:val="20"/>
    </w:rPr>
  </w:style>
  <w:style w:type="paragraph" w:customStyle="1" w:styleId="Enclosures">
    <w:name w:val="Enclosures"/>
    <w:basedOn w:val="Normal"/>
    <w:uiPriority w:val="99"/>
    <w:rsid w:val="006E2DF5"/>
    <w:pPr>
      <w:spacing w:before="240"/>
    </w:pPr>
    <w:rPr>
      <w:szCs w:val="20"/>
    </w:rPr>
  </w:style>
  <w:style w:type="paragraph" w:customStyle="1" w:styleId="EndQ">
    <w:name w:val="End Q"/>
    <w:basedOn w:val="Normal"/>
    <w:uiPriority w:val="99"/>
    <w:rsid w:val="006E2DF5"/>
    <w:pPr>
      <w:pBdr>
        <w:bottom w:val="double" w:sz="6" w:space="1" w:color="auto"/>
      </w:pBdr>
      <w:spacing w:after="60"/>
    </w:pPr>
    <w:rPr>
      <w:rFonts w:ascii="Tms Rmn" w:hAnsi="Tms Rmn"/>
      <w:szCs w:val="20"/>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641CE5"/>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basedOn w:val="DefaultParagraphFont"/>
    <w:link w:val="TOCHeading"/>
    <w:uiPriority w:val="39"/>
    <w:locked/>
    <w:rsid w:val="006E2DF5"/>
    <w:rPr>
      <w:rFonts w:ascii="Arial Bold" w:eastAsiaTheme="minorHAnsi" w:hAnsi="Arial Bold" w:cstheme="minorBidi"/>
      <w:b/>
      <w:caps/>
      <w:color w:val="95D600" w:themeColor="accent1"/>
      <w:sz w:val="28"/>
      <w:szCs w:val="22"/>
    </w:rPr>
  </w:style>
  <w:style w:type="paragraph" w:customStyle="1" w:styleId="ExecSummaryHead1">
    <w:name w:val="Exec Summary Head 1"/>
    <w:basedOn w:val="TOCHeading"/>
    <w:next w:val="Normal"/>
    <w:link w:val="ExecSummaryHead1Char"/>
    <w:rsid w:val="006E2DF5"/>
    <w:rPr>
      <w:caps/>
    </w:rPr>
  </w:style>
  <w:style w:type="character" w:customStyle="1" w:styleId="ExecSummaryHead1Char">
    <w:name w:val="Exec Summary Head 1 Char"/>
    <w:basedOn w:val="TOCHeadingChar"/>
    <w:link w:val="ExecSummaryHead1"/>
    <w:locked/>
    <w:rsid w:val="006E2DF5"/>
    <w:rPr>
      <w:rFonts w:ascii="Arial Bold" w:eastAsiaTheme="minorHAnsi" w:hAnsi="Arial Bold" w:cstheme="minorBidi"/>
      <w:b/>
      <w:caps w:val="0"/>
      <w:color w:val="95D600" w:themeColor="accent1"/>
      <w:sz w:val="28"/>
      <w:szCs w:val="22"/>
    </w:rPr>
  </w:style>
  <w:style w:type="paragraph" w:customStyle="1" w:styleId="Footnote">
    <w:name w:val="Footnote"/>
    <w:basedOn w:val="Normal"/>
    <w:link w:val="FootnoteChar"/>
    <w:autoRedefine/>
    <w:uiPriority w:val="99"/>
    <w:rsid w:val="006E2DF5"/>
    <w:pPr>
      <w:widowControl w:val="0"/>
    </w:pPr>
    <w:rPr>
      <w:rFonts w:ascii="Calibri" w:hAnsi="Calibri" w:cs="Calibri"/>
      <w:szCs w:val="20"/>
    </w:rPr>
  </w:style>
  <w:style w:type="character" w:customStyle="1" w:styleId="FootnoteChar">
    <w:name w:val="Footnote Char"/>
    <w:basedOn w:val="DefaultParagraphFont"/>
    <w:link w:val="Footnote"/>
    <w:uiPriority w:val="99"/>
    <w:locked/>
    <w:rsid w:val="006E2DF5"/>
    <w:rPr>
      <w:rFonts w:ascii="Calibri" w:hAnsi="Calibri" w:cs="Calibri"/>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6E2DF5"/>
    <w:rPr>
      <w:rFonts w:cs="Times New Roman"/>
    </w:rPr>
  </w:style>
  <w:style w:type="paragraph" w:customStyle="1" w:styleId="Foreword">
    <w:name w:val="Foreword"/>
    <w:basedOn w:val="Normal"/>
    <w:next w:val="Normal"/>
    <w:uiPriority w:val="99"/>
    <w:rsid w:val="006E2DF5"/>
    <w:pPr>
      <w:keepNext/>
      <w:pageBreakBefore/>
      <w:pBdr>
        <w:bottom w:val="single" w:sz="12" w:space="1" w:color="auto"/>
      </w:pBdr>
      <w:spacing w:after="120"/>
    </w:pPr>
    <w:rPr>
      <w:b/>
      <w:i/>
      <w:caps/>
      <w:kern w:val="28"/>
      <w:szCs w:val="20"/>
    </w:rPr>
  </w:style>
  <w:style w:type="paragraph" w:customStyle="1" w:styleId="From">
    <w:name w:val="From"/>
    <w:basedOn w:val="Normal"/>
    <w:uiPriority w:val="99"/>
    <w:rsid w:val="006E2DF5"/>
    <w:pPr>
      <w:spacing w:before="60" w:after="40"/>
    </w:pPr>
    <w:rPr>
      <w:szCs w:val="20"/>
    </w:rPr>
  </w:style>
  <w:style w:type="paragraph" w:customStyle="1" w:styleId="Ghost">
    <w:name w:val="Ghost"/>
    <w:basedOn w:val="Normal"/>
    <w:uiPriority w:val="99"/>
    <w:rsid w:val="006E2DF5"/>
    <w:pPr>
      <w:spacing w:after="240"/>
      <w:ind w:left="-567"/>
    </w:pPr>
    <w:rPr>
      <w:i/>
      <w:noProof/>
      <w:szCs w:val="20"/>
    </w:rPr>
  </w:style>
  <w:style w:type="character" w:customStyle="1" w:styleId="HeaderChar1">
    <w:name w:val="Header Char1"/>
    <w:aliases w:val="h Char1,Header/Footer Char1,header odd Char1,Hyphen Char1"/>
    <w:basedOn w:val="DefaultParagraphFont"/>
    <w:uiPriority w:val="99"/>
    <w:locked/>
    <w:rsid w:val="006E2DF5"/>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6E2DF5"/>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6E2DF5"/>
    <w:rPr>
      <w:rFonts w:ascii="Arial" w:hAnsi="Arial" w:cs="Times New Roman"/>
      <w:sz w:val="24"/>
      <w:szCs w:val="24"/>
      <w:lang w:val="en-US" w:eastAsia="en-US" w:bidi="ar-SA"/>
    </w:rPr>
  </w:style>
  <w:style w:type="paragraph" w:customStyle="1" w:styleId="L1Surv-Question">
    <w:name w:val="L1 Surv - Question"/>
    <w:next w:val="L1Surv-Answer"/>
    <w:uiPriority w:val="99"/>
    <w:rsid w:val="006E2DF5"/>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6E2DF5"/>
    <w:rPr>
      <w:rFonts w:ascii="Arial" w:hAnsi="Arial" w:cs="Times New Roman"/>
      <w:sz w:val="24"/>
      <w:szCs w:val="24"/>
      <w:lang w:val="en-US" w:eastAsia="en-US" w:bidi="ar-SA"/>
    </w:rPr>
  </w:style>
  <w:style w:type="paragraph" w:customStyle="1" w:styleId="L2Surv-Answer">
    <w:name w:val="L2 Surv - Answer"/>
    <w:basedOn w:val="L1Surv-Answer"/>
    <w:uiPriority w:val="99"/>
    <w:rsid w:val="006E2DF5"/>
    <w:pPr>
      <w:ind w:left="2520"/>
    </w:pPr>
    <w:rPr>
      <w:szCs w:val="20"/>
    </w:rPr>
  </w:style>
  <w:style w:type="paragraph" w:customStyle="1" w:styleId="L2Surv-Question">
    <w:name w:val="L2 Surv - Question"/>
    <w:basedOn w:val="L1Surv-Question"/>
    <w:uiPriority w:val="99"/>
    <w:rsid w:val="006E2DF5"/>
    <w:pPr>
      <w:ind w:left="1800"/>
    </w:pPr>
    <w:rPr>
      <w:szCs w:val="20"/>
    </w:rPr>
  </w:style>
  <w:style w:type="paragraph" w:customStyle="1" w:styleId="L3Surv-Answer">
    <w:name w:val="L3 Surv - Answer"/>
    <w:basedOn w:val="L1Surv-Answer"/>
    <w:uiPriority w:val="99"/>
    <w:rsid w:val="006E2DF5"/>
    <w:pPr>
      <w:ind w:left="3600"/>
    </w:pPr>
    <w:rPr>
      <w:szCs w:val="20"/>
    </w:rPr>
  </w:style>
  <w:style w:type="paragraph" w:customStyle="1" w:styleId="L3Surv-Question">
    <w:name w:val="L3 Surv - Question"/>
    <w:basedOn w:val="L1Surv-Question"/>
    <w:uiPriority w:val="99"/>
    <w:rsid w:val="006E2DF5"/>
    <w:pPr>
      <w:ind w:left="2880"/>
    </w:pPr>
    <w:rPr>
      <w:szCs w:val="20"/>
    </w:rPr>
  </w:style>
  <w:style w:type="paragraph" w:customStyle="1" w:styleId="Level1">
    <w:name w:val="Level 1"/>
    <w:basedOn w:val="Normal"/>
    <w:uiPriority w:val="99"/>
    <w:rsid w:val="006E2DF5"/>
    <w:pPr>
      <w:widowControl w:val="0"/>
    </w:pPr>
    <w:rPr>
      <w:rFonts w:ascii="Times New Roman" w:hAnsi="Times New Roman"/>
      <w:sz w:val="24"/>
      <w:szCs w:val="20"/>
    </w:rPr>
  </w:style>
  <w:style w:type="paragraph" w:styleId="ListBullet4">
    <w:name w:val="List Bullet 4"/>
    <w:basedOn w:val="ListBullet3"/>
    <w:uiPriority w:val="99"/>
    <w:locked/>
    <w:rsid w:val="006E2DF5"/>
    <w:pPr>
      <w:numPr>
        <w:numId w:val="10"/>
      </w:numPr>
      <w:tabs>
        <w:tab w:val="clear" w:pos="360"/>
        <w:tab w:val="clear" w:pos="720"/>
        <w:tab w:val="clear" w:pos="1440"/>
        <w:tab w:val="left" w:pos="1701"/>
      </w:tabs>
      <w:spacing w:before="80" w:after="0"/>
      <w:contextualSpacing w:val="0"/>
    </w:pPr>
    <w:rPr>
      <w:szCs w:val="20"/>
    </w:rPr>
  </w:style>
  <w:style w:type="paragraph" w:styleId="ListNumber2">
    <w:name w:val="List Number 2"/>
    <w:basedOn w:val="ListBullet2"/>
    <w:uiPriority w:val="99"/>
    <w:locked/>
    <w:rsid w:val="006E2DF5"/>
    <w:pPr>
      <w:numPr>
        <w:numId w:val="0"/>
      </w:numPr>
      <w:tabs>
        <w:tab w:val="num" w:pos="1134"/>
      </w:tabs>
      <w:ind w:left="1134" w:hanging="283"/>
    </w:pPr>
  </w:style>
  <w:style w:type="paragraph" w:styleId="ListNumber3">
    <w:name w:val="List Number 3"/>
    <w:basedOn w:val="ListBullet3"/>
    <w:uiPriority w:val="99"/>
    <w:locked/>
    <w:rsid w:val="006E2DF5"/>
    <w:pPr>
      <w:tabs>
        <w:tab w:val="clear" w:pos="360"/>
        <w:tab w:val="clear" w:pos="720"/>
        <w:tab w:val="clear" w:pos="1080"/>
        <w:tab w:val="clear" w:pos="1440"/>
        <w:tab w:val="num" w:pos="1418"/>
      </w:tabs>
      <w:spacing w:before="80" w:after="0"/>
      <w:ind w:left="1418" w:hanging="284"/>
      <w:contextualSpacing w:val="0"/>
    </w:pPr>
    <w:rPr>
      <w:szCs w:val="20"/>
    </w:rPr>
  </w:style>
  <w:style w:type="paragraph" w:customStyle="1" w:styleId="LongLabel">
    <w:name w:val="Long Label"/>
    <w:uiPriority w:val="99"/>
    <w:rsid w:val="006E2DF5"/>
    <w:pPr>
      <w:keepNext/>
      <w:ind w:right="1987"/>
      <w:jc w:val="both"/>
    </w:pPr>
    <w:rPr>
      <w:rFonts w:ascii="Tms Rmn" w:hAnsi="Tms Rmn"/>
    </w:rPr>
  </w:style>
  <w:style w:type="paragraph" w:customStyle="1" w:styleId="Normal0pt">
    <w:name w:val="Normal 0pt"/>
    <w:basedOn w:val="Normal"/>
    <w:uiPriority w:val="99"/>
    <w:rsid w:val="006E2DF5"/>
    <w:rPr>
      <w:szCs w:val="20"/>
    </w:rPr>
  </w:style>
  <w:style w:type="paragraph" w:customStyle="1" w:styleId="Number">
    <w:name w:val="Number"/>
    <w:basedOn w:val="NormalIndent"/>
    <w:uiPriority w:val="99"/>
    <w:rsid w:val="006E2DF5"/>
    <w:pPr>
      <w:numPr>
        <w:numId w:val="11"/>
      </w:numPr>
      <w:tabs>
        <w:tab w:val="clear" w:pos="360"/>
        <w:tab w:val="clear" w:pos="720"/>
        <w:tab w:val="clear" w:pos="1440"/>
      </w:tabs>
      <w:spacing w:before="0"/>
    </w:pPr>
    <w:rPr>
      <w:rFonts w:ascii="Century Schoolbook" w:hAnsi="Century Schoolbook"/>
      <w:sz w:val="24"/>
      <w:szCs w:val="20"/>
    </w:rPr>
  </w:style>
  <w:style w:type="paragraph" w:customStyle="1" w:styleId="PADate">
    <w:name w:val="PA Date"/>
    <w:basedOn w:val="Normal"/>
    <w:uiPriority w:val="99"/>
    <w:rsid w:val="006E2DF5"/>
    <w:pPr>
      <w:spacing w:before="280" w:after="240"/>
    </w:pPr>
    <w:rPr>
      <w:szCs w:val="20"/>
    </w:rPr>
  </w:style>
  <w:style w:type="paragraph" w:customStyle="1" w:styleId="quest">
    <w:name w:val="quest"/>
    <w:basedOn w:val="BodyText"/>
    <w:uiPriority w:val="99"/>
    <w:rsid w:val="006E2DF5"/>
    <w:pPr>
      <w:spacing w:after="240"/>
      <w:ind w:left="864" w:hanging="432"/>
      <w:jc w:val="both"/>
    </w:pPr>
    <w:rPr>
      <w:rFonts w:ascii="CG Times (W1)" w:hAnsi="CG Times (W1)"/>
      <w:szCs w:val="20"/>
    </w:rPr>
  </w:style>
  <w:style w:type="paragraph" w:customStyle="1" w:styleId="SignOff">
    <w:name w:val="Sign Off"/>
    <w:basedOn w:val="Normal"/>
    <w:uiPriority w:val="99"/>
    <w:rsid w:val="006E2DF5"/>
    <w:pPr>
      <w:spacing w:before="720"/>
    </w:pPr>
    <w:rPr>
      <w:szCs w:val="20"/>
    </w:rPr>
  </w:style>
  <w:style w:type="numbering" w:customStyle="1" w:styleId="StyleBulletedLeft0Hanging03">
    <w:name w:val="Style Bulleted Left:  0&quot; Hanging:  0.3&quot;"/>
    <w:basedOn w:val="NoList"/>
    <w:rsid w:val="006E2DF5"/>
    <w:pPr>
      <w:numPr>
        <w:numId w:val="19"/>
      </w:numPr>
    </w:pPr>
  </w:style>
  <w:style w:type="numbering" w:customStyle="1" w:styleId="StyleBulleted6">
    <w:name w:val="Style Bulleted6"/>
    <w:rsid w:val="006E2DF5"/>
    <w:pPr>
      <w:numPr>
        <w:numId w:val="20"/>
      </w:numPr>
    </w:pPr>
  </w:style>
  <w:style w:type="numbering" w:customStyle="1" w:styleId="StyleBulleted9">
    <w:name w:val="Style Bulleted9"/>
    <w:basedOn w:val="NoList"/>
    <w:rsid w:val="006E2DF5"/>
    <w:pPr>
      <w:numPr>
        <w:numId w:val="21"/>
      </w:numPr>
    </w:pPr>
  </w:style>
  <w:style w:type="paragraph" w:customStyle="1" w:styleId="Subject">
    <w:name w:val="Subject"/>
    <w:basedOn w:val="Normal"/>
    <w:uiPriority w:val="99"/>
    <w:rsid w:val="006E2DF5"/>
    <w:pPr>
      <w:spacing w:before="60"/>
    </w:pPr>
    <w:rPr>
      <w:b/>
      <w:caps/>
      <w:szCs w:val="20"/>
    </w:rPr>
  </w:style>
  <w:style w:type="paragraph" w:customStyle="1" w:styleId="Surv-Direction">
    <w:name w:val="Surv - Direction"/>
    <w:uiPriority w:val="99"/>
    <w:rsid w:val="006E2DF5"/>
    <w:rPr>
      <w:rFonts w:ascii="Arial" w:hAnsi="Arial"/>
      <w:caps/>
      <w:color w:val="FF0000"/>
      <w:szCs w:val="24"/>
    </w:rPr>
  </w:style>
  <w:style w:type="character" w:customStyle="1" w:styleId="Surv-DirectionChar">
    <w:name w:val="Surv - Direction Char"/>
    <w:basedOn w:val="DefaultParagraphFont"/>
    <w:uiPriority w:val="99"/>
    <w:rsid w:val="006E2DF5"/>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6E2DF5"/>
    <w:rPr>
      <w:rFonts w:ascii="Arial" w:hAnsi="Arial"/>
      <w:b/>
      <w:bCs/>
      <w:color w:val="0000FF"/>
      <w:szCs w:val="24"/>
    </w:rPr>
  </w:style>
  <w:style w:type="character" w:customStyle="1" w:styleId="Surv-ReplaceCodeCharChar">
    <w:name w:val="Surv - Replace Code Char Char"/>
    <w:basedOn w:val="DefaultParagraphFont"/>
    <w:uiPriority w:val="99"/>
    <w:rsid w:val="006E2DF5"/>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6E2DF5"/>
    <w:pPr>
      <w:numPr>
        <w:ilvl w:val="12"/>
      </w:numPr>
      <w:spacing w:before="120" w:after="80"/>
      <w:jc w:val="center"/>
    </w:pPr>
    <w:rPr>
      <w:rFonts w:ascii="Century Gothic" w:hAnsi="Century Gothic"/>
      <w:sz w:val="18"/>
      <w:szCs w:val="20"/>
    </w:rPr>
  </w:style>
  <w:style w:type="paragraph" w:customStyle="1" w:styleId="TableBodyHeading">
    <w:name w:val="Table Body Heading"/>
    <w:basedOn w:val="TableBody"/>
    <w:uiPriority w:val="99"/>
    <w:rsid w:val="006E2DF5"/>
    <w:pPr>
      <w:ind w:left="144" w:hanging="144"/>
      <w:jc w:val="left"/>
    </w:pPr>
    <w:rPr>
      <w:b/>
    </w:rPr>
  </w:style>
  <w:style w:type="table" w:styleId="TableClassic2">
    <w:name w:val="Table Classic 2"/>
    <w:basedOn w:val="TableNormal"/>
    <w:locked/>
    <w:rsid w:val="006E2DF5"/>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6E2DF5"/>
    <w:pPr>
      <w:keepNext/>
      <w:numPr>
        <w:ilvl w:val="12"/>
      </w:numPr>
      <w:spacing w:before="120" w:after="80"/>
      <w:jc w:val="center"/>
    </w:pPr>
    <w:rPr>
      <w:rFonts w:ascii="Century Gothic" w:hAnsi="Century Gothic"/>
      <w:b/>
      <w:caps/>
      <w:sz w:val="18"/>
      <w:szCs w:val="20"/>
    </w:rPr>
  </w:style>
  <w:style w:type="paragraph" w:customStyle="1" w:styleId="TableHeadings">
    <w:name w:val="Table Headings"/>
    <w:basedOn w:val="Normal"/>
    <w:uiPriority w:val="99"/>
    <w:rsid w:val="006E2DF5"/>
    <w:pPr>
      <w:spacing w:before="60"/>
      <w:jc w:val="right"/>
    </w:pPr>
    <w:rPr>
      <w:b/>
      <w:szCs w:val="20"/>
    </w:rPr>
  </w:style>
  <w:style w:type="table" w:styleId="TableList7">
    <w:name w:val="Table List 7"/>
    <w:basedOn w:val="TableNormal"/>
    <w:locked/>
    <w:rsid w:val="006E2D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6E2DF5"/>
    <w:pPr>
      <w:overflowPunct w:val="0"/>
      <w:autoSpaceDE w:val="0"/>
      <w:autoSpaceDN w:val="0"/>
      <w:adjustRightInd w:val="0"/>
      <w:spacing w:before="60" w:after="60"/>
      <w:textAlignment w:val="baseline"/>
    </w:pPr>
    <w:rPr>
      <w:rFonts w:ascii="Helvetica" w:hAnsi="Helvetica"/>
      <w:szCs w:val="20"/>
    </w:rPr>
  </w:style>
  <w:style w:type="paragraph" w:customStyle="1" w:styleId="TableText1">
    <w:name w:val="Table Text"/>
    <w:basedOn w:val="Normal"/>
    <w:autoRedefine/>
    <w:uiPriority w:val="99"/>
    <w:rsid w:val="006E2DF5"/>
    <w:pPr>
      <w:widowControl w:val="0"/>
      <w:jc w:val="center"/>
    </w:pPr>
    <w:rPr>
      <w:rFonts w:ascii="Calibri" w:hAnsi="Calibri" w:cs="Arial"/>
      <w:noProof/>
      <w:szCs w:val="18"/>
    </w:rPr>
  </w:style>
  <w:style w:type="paragraph" w:customStyle="1" w:styleId="TOCNormal">
    <w:name w:val="TOC Normal"/>
    <w:basedOn w:val="TOCHeading"/>
    <w:uiPriority w:val="99"/>
    <w:rsid w:val="006E2DF5"/>
    <w:pPr>
      <w:widowControl/>
      <w:spacing w:before="240" w:after="0"/>
    </w:pPr>
    <w:rPr>
      <w:rFonts w:ascii="Arial" w:hAnsi="Arial"/>
      <w:color w:val="auto"/>
      <w:sz w:val="26"/>
      <w:szCs w:val="20"/>
    </w:rPr>
  </w:style>
  <w:style w:type="paragraph" w:customStyle="1" w:styleId="FaxBodyText">
    <w:name w:val="Fax Body Text"/>
    <w:basedOn w:val="Normal"/>
    <w:qFormat/>
    <w:rsid w:val="006E2DF5"/>
    <w:pPr>
      <w:framePr w:hSpace="180" w:wrap="around" w:vAnchor="text" w:hAnchor="text" w:y="55"/>
    </w:pPr>
    <w:rPr>
      <w:sz w:val="18"/>
    </w:rPr>
  </w:style>
  <w:style w:type="table" w:styleId="ColorfulList-Accent5">
    <w:name w:val="Colorful List Accent 5"/>
    <w:basedOn w:val="TableNormal"/>
    <w:uiPriority w:val="72"/>
    <w:rsid w:val="006E2DF5"/>
    <w:rPr>
      <w:color w:val="000000" w:themeColor="text1"/>
    </w:rPr>
    <w:tblPr>
      <w:tblStyleRowBandSize w:val="1"/>
      <w:tblStyleColBandSize w:val="1"/>
    </w:tblPr>
    <w:tcPr>
      <w:shd w:val="clear" w:color="auto" w:fill="FEF2E5" w:themeFill="accent5" w:themeFillTint="19"/>
    </w:tcPr>
    <w:tblStylePr w:type="firstRow">
      <w:rPr>
        <w:b/>
        <w:bCs/>
        <w:color w:val="FFFFFF" w:themeColor="background1"/>
      </w:rPr>
      <w:tblPr/>
      <w:tcPr>
        <w:tcBorders>
          <w:bottom w:val="single" w:sz="12" w:space="0" w:color="FFFFFF" w:themeColor="background1"/>
        </w:tcBorders>
        <w:shd w:val="clear" w:color="auto" w:fill="890032" w:themeFill="accent6" w:themeFillShade="CC"/>
      </w:tcPr>
    </w:tblStylePr>
    <w:tblStylePr w:type="lastRow">
      <w:rPr>
        <w:b/>
        <w:bCs/>
        <w:color w:val="89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EBE" w:themeFill="accent5" w:themeFillTint="3F"/>
      </w:tcPr>
    </w:tblStylePr>
    <w:tblStylePr w:type="band1Horz">
      <w:tblPr/>
      <w:tcPr>
        <w:shd w:val="clear" w:color="auto" w:fill="FEE4CB" w:themeFill="accent5" w:themeFillTint="33"/>
      </w:tcPr>
    </w:tblStylePr>
  </w:style>
  <w:style w:type="table" w:styleId="ColorfulList-Accent4">
    <w:name w:val="Colorful List Accent 4"/>
    <w:basedOn w:val="TableNormal"/>
    <w:uiPriority w:val="72"/>
    <w:rsid w:val="006E2DF5"/>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0075A0" w:themeFill="accent3" w:themeFillShade="CC"/>
      </w:tcPr>
    </w:tblStylePr>
    <w:tblStylePr w:type="lastRow">
      <w:rPr>
        <w:b/>
        <w:bCs/>
        <w:color w:val="0075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C5" w:themeFill="accent4" w:themeFillTint="3F"/>
      </w:tcPr>
    </w:tblStylePr>
    <w:tblStylePr w:type="band1Horz">
      <w:tblPr/>
      <w:tcPr>
        <w:shd w:val="clear" w:color="auto" w:fill="FFF0D0" w:themeFill="accent4" w:themeFillTint="33"/>
      </w:tcPr>
    </w:tblStylePr>
  </w:style>
  <w:style w:type="table" w:styleId="LightList-Accent6">
    <w:name w:val="Light List Accent 6"/>
    <w:basedOn w:val="TableNormal"/>
    <w:uiPriority w:val="61"/>
    <w:rsid w:val="006E2DF5"/>
    <w:tblPr>
      <w:tblStyleRowBandSize w:val="1"/>
      <w:tblStyleColBandSize w:val="1"/>
      <w:tblBorders>
        <w:top w:val="single" w:sz="8" w:space="0" w:color="AC0040" w:themeColor="accent6"/>
        <w:left w:val="single" w:sz="8" w:space="0" w:color="AC0040" w:themeColor="accent6"/>
        <w:bottom w:val="single" w:sz="8" w:space="0" w:color="AC0040" w:themeColor="accent6"/>
        <w:right w:val="single" w:sz="8" w:space="0" w:color="AC0040" w:themeColor="accent6"/>
      </w:tblBorders>
    </w:tblPr>
    <w:tblStylePr w:type="firstRow">
      <w:pPr>
        <w:spacing w:before="0" w:after="0" w:line="240" w:lineRule="auto"/>
      </w:pPr>
      <w:rPr>
        <w:b/>
        <w:bCs/>
        <w:color w:val="FFFFFF" w:themeColor="background1"/>
      </w:rPr>
      <w:tblPr/>
      <w:tcPr>
        <w:shd w:val="clear" w:color="auto" w:fill="AC0040" w:themeFill="accent6"/>
      </w:tcPr>
    </w:tblStylePr>
    <w:tblStylePr w:type="lastRow">
      <w:pPr>
        <w:spacing w:before="0" w:after="0" w:line="240" w:lineRule="auto"/>
      </w:pPr>
      <w:rPr>
        <w:b/>
        <w:bCs/>
      </w:rPr>
      <w:tblPr/>
      <w:tcPr>
        <w:tcBorders>
          <w:top w:val="double" w:sz="6" w:space="0" w:color="AC0040" w:themeColor="accent6"/>
          <w:left w:val="single" w:sz="8" w:space="0" w:color="AC0040" w:themeColor="accent6"/>
          <w:bottom w:val="single" w:sz="8" w:space="0" w:color="AC0040" w:themeColor="accent6"/>
          <w:right w:val="single" w:sz="8" w:space="0" w:color="AC0040" w:themeColor="accent6"/>
        </w:tcBorders>
      </w:tcPr>
    </w:tblStylePr>
    <w:tblStylePr w:type="firstCol">
      <w:rPr>
        <w:b/>
        <w:bCs/>
      </w:rPr>
    </w:tblStylePr>
    <w:tblStylePr w:type="lastCol">
      <w:rPr>
        <w:b/>
        <w:bCs/>
      </w:rPr>
    </w:tblStylePr>
    <w:tblStylePr w:type="band1Vert">
      <w:tblPr/>
      <w:tcPr>
        <w:tcBorders>
          <w:top w:val="single" w:sz="8" w:space="0" w:color="AC0040" w:themeColor="accent6"/>
          <w:left w:val="single" w:sz="8" w:space="0" w:color="AC0040" w:themeColor="accent6"/>
          <w:bottom w:val="single" w:sz="8" w:space="0" w:color="AC0040" w:themeColor="accent6"/>
          <w:right w:val="single" w:sz="8" w:space="0" w:color="AC0040" w:themeColor="accent6"/>
        </w:tcBorders>
      </w:tcPr>
    </w:tblStylePr>
    <w:tblStylePr w:type="band1Horz">
      <w:tblPr/>
      <w:tcPr>
        <w:tcBorders>
          <w:top w:val="single" w:sz="8" w:space="0" w:color="AC0040" w:themeColor="accent6"/>
          <w:left w:val="single" w:sz="8" w:space="0" w:color="AC0040" w:themeColor="accent6"/>
          <w:bottom w:val="single" w:sz="8" w:space="0" w:color="AC0040" w:themeColor="accent6"/>
          <w:right w:val="single" w:sz="8" w:space="0" w:color="AC0040"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qFormat/>
    <w:rsid w:val="006E2DF5"/>
    <w:pPr>
      <w:ind w:left="1080" w:hanging="360"/>
    </w:pPr>
  </w:style>
  <w:style w:type="character" w:customStyle="1" w:styleId="FindingChar">
    <w:name w:val="Finding Char"/>
    <w:basedOn w:val="DefaultParagraphFont"/>
    <w:link w:val="Finding"/>
    <w:rsid w:val="006E2DF5"/>
    <w:rPr>
      <w:rFonts w:ascii="Arial" w:hAnsi="Arial"/>
      <w:szCs w:val="24"/>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6E2D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6E2DF5"/>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6E2DF5"/>
    <w:rPr>
      <w:color w:val="000080"/>
    </w:rPr>
  </w:style>
  <w:style w:type="character" w:customStyle="1" w:styleId="SourceChar">
    <w:name w:val="Source Char"/>
    <w:basedOn w:val="DefaultParagraphFont"/>
    <w:link w:val="Source"/>
    <w:rsid w:val="00A83863"/>
    <w:rPr>
      <w:rFonts w:ascii="Arial" w:eastAsiaTheme="minorHAnsi" w:hAnsi="Arial" w:cstheme="minorBidi"/>
      <w:i/>
      <w:color w:val="000000" w:themeColor="text1"/>
      <w:sz w:val="16"/>
    </w:rPr>
  </w:style>
  <w:style w:type="table" w:styleId="TableContemporary">
    <w:name w:val="Table Contemporary"/>
    <w:basedOn w:val="TableNormal"/>
    <w:locked/>
    <w:rsid w:val="006E2D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qFormat/>
    <w:rsid w:val="006E2DF5"/>
    <w:rPr>
      <w:b/>
      <w:bCs/>
      <w:i/>
      <w:iCs/>
      <w:color w:val="95D6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6E2DF5"/>
    <w:rPr>
      <w:b/>
      <w:bCs/>
      <w:smallCaps/>
      <w:color w:val="648C1A" w:themeColor="accent2"/>
      <w:spacing w:val="5"/>
      <w:u w:val="single"/>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2DF5"/>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customStyle="1" w:styleId="TableBullet">
    <w:name w:val="Table Bullet"/>
    <w:basedOn w:val="ListParagraph"/>
    <w:link w:val="TableBulletChar"/>
    <w:qFormat/>
    <w:rsid w:val="006E2DF5"/>
    <w:pPr>
      <w:numPr>
        <w:numId w:val="23"/>
      </w:numPr>
      <w:spacing w:before="0"/>
    </w:pPr>
  </w:style>
  <w:style w:type="character" w:customStyle="1" w:styleId="TableBulletChar">
    <w:name w:val="Table Bullet Char"/>
    <w:basedOn w:val="DefaultParagraphFont"/>
    <w:link w:val="TableBullet"/>
    <w:rsid w:val="006E2DF5"/>
    <w:rPr>
      <w:rFonts w:ascii="Arial" w:eastAsiaTheme="minorHAnsi" w:hAnsi="Arial" w:cstheme="minorBidi"/>
      <w:szCs w:val="22"/>
    </w:rPr>
  </w:style>
  <w:style w:type="paragraph" w:customStyle="1" w:styleId="FooterAddress">
    <w:name w:val="Footer Address"/>
    <w:basedOn w:val="Footer"/>
    <w:link w:val="FooterAddressChar"/>
    <w:qFormat/>
    <w:rsid w:val="006E2DF5"/>
    <w:pPr>
      <w:tabs>
        <w:tab w:val="left" w:pos="360"/>
        <w:tab w:val="left" w:pos="720"/>
        <w:tab w:val="left" w:pos="1080"/>
        <w:tab w:val="left" w:pos="1440"/>
      </w:tabs>
      <w:spacing w:line="240" w:lineRule="exact"/>
    </w:pPr>
    <w:rPr>
      <w:color w:val="555759"/>
      <w:sz w:val="16"/>
    </w:rPr>
  </w:style>
  <w:style w:type="character" w:customStyle="1" w:styleId="FooterAddressChar">
    <w:name w:val="Footer Address Char"/>
    <w:basedOn w:val="DefaultParagraphFont"/>
    <w:link w:val="FooterAddress"/>
    <w:rsid w:val="006E2DF5"/>
    <w:rPr>
      <w:rFonts w:ascii="Arial" w:hAnsi="Arial"/>
      <w:color w:val="555759"/>
      <w:sz w:val="16"/>
      <w:szCs w:val="24"/>
    </w:rPr>
  </w:style>
  <w:style w:type="paragraph" w:customStyle="1" w:styleId="Headerinfo">
    <w:name w:val="Header info"/>
    <w:basedOn w:val="Normal"/>
    <w:qFormat/>
    <w:rsid w:val="006E2DF5"/>
    <w:pPr>
      <w:tabs>
        <w:tab w:val="right" w:pos="9000"/>
      </w:tabs>
      <w:spacing w:line="276" w:lineRule="auto"/>
    </w:pPr>
    <w:rPr>
      <w:rFonts w:cs="Arial"/>
      <w:noProof/>
      <w:color w:val="545759"/>
      <w:sz w:val="24"/>
      <w:szCs w:val="21"/>
      <w:lang w:val="fr-FR"/>
    </w:rPr>
  </w:style>
  <w:style w:type="paragraph" w:customStyle="1" w:styleId="Heading4b">
    <w:name w:val="Heading 4b"/>
    <w:basedOn w:val="Normal"/>
    <w:qFormat/>
    <w:rsid w:val="00641CE5"/>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6E2DF5"/>
    <w:pPr>
      <w:keepLines/>
      <w:numPr>
        <w:numId w:val="17"/>
      </w:numPr>
      <w:spacing w:after="240"/>
    </w:pPr>
    <w:rPr>
      <w:bCs/>
      <w:color w:val="545759"/>
      <w:szCs w:val="20"/>
      <w:lang w:val="en-GB" w:eastAsia="x-none"/>
    </w:rPr>
  </w:style>
  <w:style w:type="character" w:customStyle="1" w:styleId="ResumeBulletChar">
    <w:name w:val="Resume Bullet Char"/>
    <w:link w:val="ResumeBullet"/>
    <w:rsid w:val="006E2DF5"/>
    <w:rPr>
      <w:rFonts w:ascii="Arial" w:eastAsiaTheme="minorHAnsi" w:hAnsi="Arial" w:cstheme="minorBidi"/>
      <w:bCs/>
      <w:color w:val="545759"/>
      <w:lang w:val="en-GB" w:eastAsia="x-none"/>
    </w:rPr>
  </w:style>
  <w:style w:type="paragraph" w:customStyle="1" w:styleId="SectionHeading">
    <w:name w:val="Section Heading"/>
    <w:basedOn w:val="Normal"/>
    <w:autoRedefine/>
    <w:qFormat/>
    <w:rsid w:val="006E2DF5"/>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ubHeaderBold">
    <w:name w:val="Sub Header Bold"/>
    <w:basedOn w:val="Normal"/>
    <w:qFormat/>
    <w:rsid w:val="006E2DF5"/>
    <w:pPr>
      <w:spacing w:after="120"/>
      <w:ind w:left="360" w:hanging="360"/>
    </w:pPr>
    <w:rPr>
      <w:rFonts w:cs="Arial"/>
      <w:b/>
      <w:noProof/>
      <w:sz w:val="28"/>
      <w:lang w:val="en-GB"/>
    </w:rPr>
  </w:style>
  <w:style w:type="character" w:customStyle="1" w:styleId="ProposalBodyHeading">
    <w:name w:val="Proposal Body Heading"/>
    <w:basedOn w:val="DefaultParagraphFont"/>
    <w:uiPriority w:val="1"/>
    <w:qFormat/>
    <w:rsid w:val="006E2DF5"/>
    <w:rPr>
      <w:rFonts w:ascii="Arial" w:hAnsi="Arial"/>
      <w:b/>
      <w:color w:val="555759"/>
      <w:sz w:val="22"/>
    </w:rPr>
  </w:style>
  <w:style w:type="character" w:customStyle="1" w:styleId="TOC1Char">
    <w:name w:val="TOC 1 Char"/>
    <w:basedOn w:val="DefaultParagraphFont"/>
    <w:link w:val="TOC1"/>
    <w:uiPriority w:val="39"/>
    <w:rsid w:val="00D95761"/>
    <w:rPr>
      <w:rFonts w:ascii="Arial" w:eastAsiaTheme="minorHAnsi" w:hAnsi="Arial" w:cstheme="minorBidi"/>
      <w:szCs w:val="22"/>
    </w:rPr>
  </w:style>
  <w:style w:type="table" w:styleId="ListTable3-Accent1">
    <w:name w:val="List Table 3 Accent 1"/>
    <w:basedOn w:val="TableNormal"/>
    <w:uiPriority w:val="48"/>
    <w:rsid w:val="006E2DF5"/>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blStylePr w:type="firstRow">
      <w:rPr>
        <w:b/>
        <w:bCs/>
        <w:color w:val="FFFFFF" w:themeColor="background1"/>
      </w:rPr>
      <w:tblPr/>
      <w:tcPr>
        <w:shd w:val="clear" w:color="auto" w:fill="95D600" w:themeFill="accent1"/>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qFormat/>
    <w:rsid w:val="006E2DF5"/>
    <w:pPr>
      <w:spacing w:after="120" w:line="276" w:lineRule="auto"/>
      <w:ind w:left="360" w:hanging="360"/>
    </w:pPr>
    <w:rPr>
      <w:rFonts w:cs="Arial"/>
      <w:b/>
      <w:lang w:val="en-GB"/>
    </w:rPr>
  </w:style>
  <w:style w:type="paragraph" w:customStyle="1" w:styleId="ResumeParagraphText">
    <w:name w:val="Resume Paragraph Text"/>
    <w:basedOn w:val="Normal"/>
    <w:link w:val="ResumeParagraphTextChar"/>
    <w:qFormat/>
    <w:rsid w:val="006E2DF5"/>
    <w:pPr>
      <w:spacing w:line="276" w:lineRule="auto"/>
    </w:pPr>
    <w:rPr>
      <w:szCs w:val="20"/>
      <w:lang w:val="en-GB"/>
    </w:rPr>
  </w:style>
  <w:style w:type="character" w:customStyle="1" w:styleId="ResumeParagraphTextChar">
    <w:name w:val="Resume Paragraph Text Char"/>
    <w:basedOn w:val="DefaultParagraphFont"/>
    <w:link w:val="ResumeParagraphText"/>
    <w:rsid w:val="006E2DF5"/>
    <w:rPr>
      <w:rFonts w:ascii="Arial" w:hAnsi="Arial"/>
      <w:lang w:val="en-GB"/>
    </w:rPr>
  </w:style>
  <w:style w:type="paragraph" w:customStyle="1" w:styleId="ProposalTitleGreen">
    <w:name w:val="Proposal Title Green"/>
    <w:basedOn w:val="Header"/>
    <w:link w:val="ProposalTitleGreenChar"/>
    <w:qFormat/>
    <w:rsid w:val="006E2DF5"/>
    <w:pPr>
      <w:widowControl w:val="0"/>
      <w:tabs>
        <w:tab w:val="clear" w:pos="4320"/>
        <w:tab w:val="clear" w:pos="8640"/>
      </w:tabs>
      <w:spacing w:before="240" w:after="240"/>
    </w:pPr>
    <w:rPr>
      <w:b/>
      <w:color w:val="95D600"/>
      <w:sz w:val="24"/>
    </w:rPr>
  </w:style>
  <w:style w:type="character" w:customStyle="1" w:styleId="ProposalTitleGreenChar">
    <w:name w:val="Proposal Title Green Char"/>
    <w:basedOn w:val="HeaderChar"/>
    <w:link w:val="ProposalTitleGreen"/>
    <w:rsid w:val="006E2DF5"/>
    <w:rPr>
      <w:rFonts w:ascii="Arial" w:eastAsiaTheme="minorHAnsi" w:hAnsi="Arial" w:cstheme="minorBidi"/>
      <w:b/>
      <w:color w:val="95D600"/>
      <w:sz w:val="24"/>
      <w:szCs w:val="22"/>
    </w:rPr>
  </w:style>
  <w:style w:type="paragraph" w:customStyle="1" w:styleId="Heading3Appendix">
    <w:name w:val="Heading 3 Appendix"/>
    <w:basedOn w:val="Heading3"/>
    <w:qFormat/>
    <w:rsid w:val="00641CE5"/>
    <w:pPr>
      <w:spacing w:before="240"/>
      <w:ind w:left="2160" w:hanging="180"/>
    </w:pPr>
    <w:rPr>
      <w:rFonts w:ascii="Palatino Linotype" w:hAnsi="Palatino Linotype"/>
      <w:i w:val="0"/>
      <w:color w:val="auto"/>
    </w:rPr>
  </w:style>
  <w:style w:type="paragraph" w:customStyle="1" w:styleId="StyleSourceFirstline044">
    <w:name w:val="Style Source + First line:  0.44&quot;"/>
    <w:basedOn w:val="Source"/>
    <w:rsid w:val="007F7753"/>
    <w:pPr>
      <w:ind w:firstLine="634"/>
    </w:pPr>
    <w:rPr>
      <w:rFonts w:eastAsia="Times New Roman" w:cs="Times New Roman"/>
      <w:iCs/>
    </w:rPr>
  </w:style>
  <w:style w:type="paragraph" w:customStyle="1" w:styleId="StyleSourceFirstline106">
    <w:name w:val="Style Source + First line:  1.06&quot;"/>
    <w:basedOn w:val="Source"/>
    <w:rsid w:val="007F7753"/>
    <w:pPr>
      <w:ind w:firstLine="1526"/>
    </w:pPr>
    <w:rPr>
      <w:rFonts w:eastAsia="Times New Roman" w:cs="Times New Roman"/>
      <w:iCs/>
    </w:rPr>
  </w:style>
  <w:style w:type="paragraph" w:customStyle="1" w:styleId="Instructions">
    <w:name w:val="Instructions"/>
    <w:basedOn w:val="Normal"/>
    <w:qFormat/>
    <w:rsid w:val="004C7DDC"/>
    <w:rPr>
      <w:rFonts w:asciiTheme="minorHAnsi" w:hAnsiTheme="minorHAnsi" w:cstheme="minorHAnsi"/>
      <w:i/>
      <w:color w:val="AC0040" w:themeColor="accent6"/>
    </w:rPr>
  </w:style>
  <w:style w:type="character" w:styleId="UnresolvedMention">
    <w:name w:val="Unresolved Mention"/>
    <w:basedOn w:val="DefaultParagraphFont"/>
    <w:uiPriority w:val="99"/>
    <w:semiHidden/>
    <w:unhideWhenUsed/>
    <w:rsid w:val="004D1882"/>
    <w:rPr>
      <w:color w:val="808080"/>
      <w:shd w:val="clear" w:color="auto" w:fill="E6E6E6"/>
    </w:rPr>
  </w:style>
  <w:style w:type="table" w:styleId="PlainTable5">
    <w:name w:val="Plain Table 5"/>
    <w:basedOn w:val="TableNormal"/>
    <w:uiPriority w:val="45"/>
    <w:rsid w:val="00E163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662">
      <w:bodyDiv w:val="1"/>
      <w:marLeft w:val="0"/>
      <w:marRight w:val="0"/>
      <w:marTop w:val="0"/>
      <w:marBottom w:val="0"/>
      <w:divBdr>
        <w:top w:val="none" w:sz="0" w:space="0" w:color="auto"/>
        <w:left w:val="none" w:sz="0" w:space="0" w:color="auto"/>
        <w:bottom w:val="none" w:sz="0" w:space="0" w:color="auto"/>
        <w:right w:val="none" w:sz="0" w:space="0" w:color="auto"/>
      </w:divBdr>
    </w:div>
    <w:div w:id="8525969">
      <w:bodyDiv w:val="1"/>
      <w:marLeft w:val="0"/>
      <w:marRight w:val="0"/>
      <w:marTop w:val="0"/>
      <w:marBottom w:val="0"/>
      <w:divBdr>
        <w:top w:val="none" w:sz="0" w:space="0" w:color="auto"/>
        <w:left w:val="none" w:sz="0" w:space="0" w:color="auto"/>
        <w:bottom w:val="none" w:sz="0" w:space="0" w:color="auto"/>
        <w:right w:val="none" w:sz="0" w:space="0" w:color="auto"/>
      </w:divBdr>
    </w:div>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13717879">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32273982">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11858266">
      <w:bodyDiv w:val="1"/>
      <w:marLeft w:val="0"/>
      <w:marRight w:val="0"/>
      <w:marTop w:val="0"/>
      <w:marBottom w:val="0"/>
      <w:divBdr>
        <w:top w:val="none" w:sz="0" w:space="0" w:color="auto"/>
        <w:left w:val="none" w:sz="0" w:space="0" w:color="auto"/>
        <w:bottom w:val="none" w:sz="0" w:space="0" w:color="auto"/>
        <w:right w:val="none" w:sz="0" w:space="0" w:color="auto"/>
      </w:divBdr>
    </w:div>
    <w:div w:id="462314574">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19246695">
      <w:bodyDiv w:val="1"/>
      <w:marLeft w:val="0"/>
      <w:marRight w:val="0"/>
      <w:marTop w:val="0"/>
      <w:marBottom w:val="0"/>
      <w:divBdr>
        <w:top w:val="none" w:sz="0" w:space="0" w:color="auto"/>
        <w:left w:val="none" w:sz="0" w:space="0" w:color="auto"/>
        <w:bottom w:val="none" w:sz="0" w:space="0" w:color="auto"/>
        <w:right w:val="none" w:sz="0" w:space="0" w:color="auto"/>
      </w:divBdr>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00009503">
      <w:bodyDiv w:val="1"/>
      <w:marLeft w:val="0"/>
      <w:marRight w:val="0"/>
      <w:marTop w:val="0"/>
      <w:marBottom w:val="0"/>
      <w:divBdr>
        <w:top w:val="none" w:sz="0" w:space="0" w:color="auto"/>
        <w:left w:val="none" w:sz="0" w:space="0" w:color="auto"/>
        <w:bottom w:val="none" w:sz="0" w:space="0" w:color="auto"/>
        <w:right w:val="none" w:sz="0" w:space="0" w:color="auto"/>
      </w:divBdr>
    </w:div>
    <w:div w:id="711154754">
      <w:bodyDiv w:val="1"/>
      <w:marLeft w:val="0"/>
      <w:marRight w:val="0"/>
      <w:marTop w:val="0"/>
      <w:marBottom w:val="0"/>
      <w:divBdr>
        <w:top w:val="none" w:sz="0" w:space="0" w:color="auto"/>
        <w:left w:val="none" w:sz="0" w:space="0" w:color="auto"/>
        <w:bottom w:val="none" w:sz="0" w:space="0" w:color="auto"/>
        <w:right w:val="none" w:sz="0" w:space="0" w:color="auto"/>
      </w:divBdr>
    </w:div>
    <w:div w:id="743795771">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71166479">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2696175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327613">
      <w:bodyDiv w:val="1"/>
      <w:marLeft w:val="0"/>
      <w:marRight w:val="0"/>
      <w:marTop w:val="0"/>
      <w:marBottom w:val="0"/>
      <w:divBdr>
        <w:top w:val="none" w:sz="0" w:space="0" w:color="auto"/>
        <w:left w:val="none" w:sz="0" w:space="0" w:color="auto"/>
        <w:bottom w:val="none" w:sz="0" w:space="0" w:color="auto"/>
        <w:right w:val="none" w:sz="0" w:space="0" w:color="auto"/>
      </w:divBdr>
    </w:div>
    <w:div w:id="963272835">
      <w:bodyDiv w:val="1"/>
      <w:marLeft w:val="0"/>
      <w:marRight w:val="0"/>
      <w:marTop w:val="0"/>
      <w:marBottom w:val="0"/>
      <w:divBdr>
        <w:top w:val="none" w:sz="0" w:space="0" w:color="auto"/>
        <w:left w:val="none" w:sz="0" w:space="0" w:color="auto"/>
        <w:bottom w:val="none" w:sz="0" w:space="0" w:color="auto"/>
        <w:right w:val="none" w:sz="0" w:space="0" w:color="auto"/>
      </w:divBdr>
    </w:div>
    <w:div w:id="102787658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07044648">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372338676">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394112214">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25513411">
      <w:bodyDiv w:val="1"/>
      <w:marLeft w:val="0"/>
      <w:marRight w:val="0"/>
      <w:marTop w:val="0"/>
      <w:marBottom w:val="0"/>
      <w:divBdr>
        <w:top w:val="none" w:sz="0" w:space="0" w:color="auto"/>
        <w:left w:val="none" w:sz="0" w:space="0" w:color="auto"/>
        <w:bottom w:val="none" w:sz="0" w:space="0" w:color="auto"/>
        <w:right w:val="none" w:sz="0" w:space="0" w:color="auto"/>
      </w:divBdr>
    </w:div>
    <w:div w:id="159320363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19142529">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44893595">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53681702">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1855022">
      <w:bodyDiv w:val="1"/>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01399526">
      <w:bodyDiv w:val="1"/>
      <w:marLeft w:val="0"/>
      <w:marRight w:val="0"/>
      <w:marTop w:val="0"/>
      <w:marBottom w:val="0"/>
      <w:divBdr>
        <w:top w:val="none" w:sz="0" w:space="0" w:color="auto"/>
        <w:left w:val="none" w:sz="0" w:space="0" w:color="auto"/>
        <w:bottom w:val="none" w:sz="0" w:space="0" w:color="auto"/>
        <w:right w:val="none" w:sz="0" w:space="0" w:color="auto"/>
      </w:divBdr>
    </w:div>
    <w:div w:id="1705136500">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46610166">
      <w:bodyDiv w:val="1"/>
      <w:marLeft w:val="0"/>
      <w:marRight w:val="0"/>
      <w:marTop w:val="0"/>
      <w:marBottom w:val="0"/>
      <w:divBdr>
        <w:top w:val="none" w:sz="0" w:space="0" w:color="auto"/>
        <w:left w:val="none" w:sz="0" w:space="0" w:color="auto"/>
        <w:bottom w:val="none" w:sz="0" w:space="0" w:color="auto"/>
        <w:right w:val="none" w:sz="0" w:space="0" w:color="auto"/>
      </w:divBdr>
    </w:div>
    <w:div w:id="1747877462">
      <w:bodyDiv w:val="1"/>
      <w:marLeft w:val="0"/>
      <w:marRight w:val="0"/>
      <w:marTop w:val="0"/>
      <w:marBottom w:val="0"/>
      <w:divBdr>
        <w:top w:val="none" w:sz="0" w:space="0" w:color="auto"/>
        <w:left w:val="none" w:sz="0" w:space="0" w:color="auto"/>
        <w:bottom w:val="none" w:sz="0" w:space="0" w:color="auto"/>
        <w:right w:val="none" w:sz="0" w:space="0" w:color="auto"/>
      </w:divBdr>
    </w:div>
    <w:div w:id="1765375528">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18899828">
      <w:bodyDiv w:val="1"/>
      <w:marLeft w:val="0"/>
      <w:marRight w:val="0"/>
      <w:marTop w:val="0"/>
      <w:marBottom w:val="0"/>
      <w:divBdr>
        <w:top w:val="none" w:sz="0" w:space="0" w:color="auto"/>
        <w:left w:val="none" w:sz="0" w:space="0" w:color="auto"/>
        <w:bottom w:val="none" w:sz="0" w:space="0" w:color="auto"/>
        <w:right w:val="none" w:sz="0" w:space="0" w:color="auto"/>
      </w:divBdr>
    </w:div>
    <w:div w:id="1927880109">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18801296">
      <w:bodyDiv w:val="1"/>
      <w:marLeft w:val="0"/>
      <w:marRight w:val="0"/>
      <w:marTop w:val="0"/>
      <w:marBottom w:val="0"/>
      <w:divBdr>
        <w:top w:val="none" w:sz="0" w:space="0" w:color="auto"/>
        <w:left w:val="none" w:sz="0" w:space="0" w:color="auto"/>
        <w:bottom w:val="none" w:sz="0" w:space="0" w:color="auto"/>
        <w:right w:val="none" w:sz="0" w:space="0" w:color="auto"/>
      </w:divBdr>
    </w:div>
    <w:div w:id="2057463274">
      <w:bodyDiv w:val="1"/>
      <w:marLeft w:val="0"/>
      <w:marRight w:val="0"/>
      <w:marTop w:val="0"/>
      <w:marBottom w:val="0"/>
      <w:divBdr>
        <w:top w:val="none" w:sz="0" w:space="0" w:color="auto"/>
        <w:left w:val="none" w:sz="0" w:space="0" w:color="auto"/>
        <w:bottom w:val="none" w:sz="0" w:space="0" w:color="auto"/>
        <w:right w:val="none" w:sz="0" w:space="0" w:color="auto"/>
      </w:divBdr>
    </w:div>
    <w:div w:id="2058896078">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128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ff.erickson@navigant.com" TargetMode="External"/><Relationship Id="rId20" Type="http://schemas.openxmlformats.org/officeDocument/2006/relationships/image" Target="media/image3.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dehouse.co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andy.gunn@navigant.com" TargetMode="Externa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avigant 2016">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440758-6050-4137-ACAF-6556A3F60567}">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C4CAE6E53154698811A8D539EBDA1" ma:contentTypeVersion="12" ma:contentTypeDescription="Create a new document." ma:contentTypeScope="" ma:versionID="f88cbe72bff9b37aedf104c670fa7b13">
  <xsd:schema xmlns:xsd="http://www.w3.org/2001/XMLSchema" xmlns:xs="http://www.w3.org/2001/XMLSchema" xmlns:p="http://schemas.microsoft.com/office/2006/metadata/properties" xmlns:ns3="e3d62054-4879-4db1-814a-5d911369b12d" xmlns:ns4="e6fb9c52-8cb8-48ae-9d9d-bc80800c010b" targetNamespace="http://schemas.microsoft.com/office/2006/metadata/properties" ma:root="true" ma:fieldsID="338bc662e26f5d57d90536ce91e4f57c" ns3:_="" ns4:_="">
    <xsd:import namespace="e3d62054-4879-4db1-814a-5d911369b12d"/>
    <xsd:import namespace="e6fb9c52-8cb8-48ae-9d9d-bc80800c01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62054-4879-4db1-814a-5d911369b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fb9c52-8cb8-48ae-9d9d-bc80800c01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3F5A-1772-41A0-8AFB-173320E94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62054-4879-4db1-814a-5d911369b12d"/>
    <ds:schemaRef ds:uri="e6fb9c52-8cb8-48ae-9d9d-bc80800c0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A7332-C2CB-4308-A0D1-D5DFDE49B856}">
  <ds:schemaRefs>
    <ds:schemaRef ds:uri="http://purl.org/dc/elements/1.1/"/>
    <ds:schemaRef ds:uri="e6fb9c52-8cb8-48ae-9d9d-bc80800c010b"/>
    <ds:schemaRef ds:uri="e3d62054-4879-4db1-814a-5d911369b12d"/>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6A4F647-EAF2-47C9-B882-56E7496C070A}">
  <ds:schemaRefs>
    <ds:schemaRef ds:uri="http://schemas.microsoft.com/sharepoint/v3/contenttype/forms"/>
  </ds:schemaRefs>
</ds:datastoreItem>
</file>

<file path=customXml/itemProps4.xml><?xml version="1.0" encoding="utf-8"?>
<ds:datastoreItem xmlns:ds="http://schemas.openxmlformats.org/officeDocument/2006/customXml" ds:itemID="{B34A4B65-F9E9-47B5-B0CD-FC6900E5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3955</Words>
  <Characters>24909</Characters>
  <Application>Microsoft Office Word</Application>
  <DocSecurity>4</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Thony</dc:creator>
  <cp:keywords/>
  <dc:description/>
  <cp:lastModifiedBy>Celia Johnson</cp:lastModifiedBy>
  <cp:revision>2</cp:revision>
  <cp:lastPrinted>2018-12-20T19:11:00Z</cp:lastPrinted>
  <dcterms:created xsi:type="dcterms:W3CDTF">2019-11-14T11:17:00Z</dcterms:created>
  <dcterms:modified xsi:type="dcterms:W3CDTF">2019-11-14T11:17:00Z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0x0101004DAC4CAE6E53154698811A8D539EBDA1</vt:lpwstr>
  </property>
</Properties>
</file>