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E2B5" w14:textId="77777777" w:rsidR="006313E5" w:rsidRDefault="006313E5"/>
    <w:tbl>
      <w:tblPr>
        <w:tblW w:w="5000" w:type="pct"/>
        <w:jc w:val="center"/>
        <w:tblLayout w:type="fixed"/>
        <w:tblLook w:val="01E0" w:firstRow="1" w:lastRow="1" w:firstColumn="1" w:lastColumn="1" w:noHBand="0" w:noVBand="0"/>
      </w:tblPr>
      <w:tblGrid>
        <w:gridCol w:w="2214"/>
        <w:gridCol w:w="4948"/>
        <w:gridCol w:w="2198"/>
      </w:tblGrid>
      <w:tr w:rsidR="00D3154E" w:rsidRPr="00FD0661" w14:paraId="1071E2B7" w14:textId="77777777">
        <w:trPr>
          <w:trHeight w:val="1152"/>
          <w:jc w:val="center"/>
        </w:trPr>
        <w:tc>
          <w:tcPr>
            <w:tcW w:w="10224" w:type="dxa"/>
            <w:gridSpan w:val="3"/>
            <w:vAlign w:val="center"/>
          </w:tcPr>
          <w:p w14:paraId="1071E2B6" w14:textId="77777777" w:rsidR="006313E5" w:rsidRPr="00FD0661" w:rsidRDefault="006313E5">
            <w:pPr>
              <w:pStyle w:val="Title"/>
              <w:rPr>
                <w:rFonts w:cs="Arial"/>
                <w:bCs/>
              </w:rPr>
            </w:pPr>
          </w:p>
        </w:tc>
      </w:tr>
      <w:tr w:rsidR="00D3154E" w:rsidRPr="00FD0661" w14:paraId="1071E2BA" w14:textId="77777777">
        <w:trPr>
          <w:trHeight w:val="2114"/>
          <w:jc w:val="center"/>
        </w:trPr>
        <w:tc>
          <w:tcPr>
            <w:tcW w:w="10224" w:type="dxa"/>
            <w:gridSpan w:val="3"/>
            <w:vAlign w:val="center"/>
          </w:tcPr>
          <w:p w14:paraId="1071E2B8" w14:textId="77777777" w:rsidR="006313E5" w:rsidRPr="00FD0661" w:rsidRDefault="006313E5">
            <w:pPr>
              <w:pStyle w:val="Title"/>
              <w:rPr>
                <w:rFonts w:cs="Arial"/>
                <w:b w:val="0"/>
                <w:bCs/>
              </w:rPr>
            </w:pPr>
            <w:r w:rsidRPr="00FD0661">
              <w:rPr>
                <w:rFonts w:cs="Arial"/>
                <w:bCs/>
              </w:rPr>
              <w:t xml:space="preserve">ComEd </w:t>
            </w:r>
            <w:bookmarkStart w:id="0" w:name="Title_Program_Name"/>
            <w:r w:rsidRPr="003B3336">
              <w:rPr>
                <w:rFonts w:cs="Arial"/>
                <w:bCs/>
              </w:rPr>
              <w:t>Behavior - Res/IE</w:t>
            </w:r>
            <w:bookmarkEnd w:id="0"/>
            <w:r w:rsidRPr="00FD0661">
              <w:rPr>
                <w:rFonts w:cs="Arial"/>
                <w:bCs/>
              </w:rPr>
              <w:t xml:space="preserve"> Program Impact Evaluation Report</w:t>
            </w:r>
          </w:p>
          <w:p w14:paraId="1071E2B9" w14:textId="77777777" w:rsidR="006313E5" w:rsidRPr="00FD0661" w:rsidRDefault="006313E5">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D3154E" w:rsidRPr="00FD0661" w14:paraId="1071E2C0" w14:textId="77777777">
        <w:trPr>
          <w:trHeight w:val="2263"/>
          <w:jc w:val="center"/>
        </w:trPr>
        <w:tc>
          <w:tcPr>
            <w:tcW w:w="10224" w:type="dxa"/>
            <w:gridSpan w:val="3"/>
          </w:tcPr>
          <w:p w14:paraId="1071E2BB" w14:textId="77777777" w:rsidR="006313E5" w:rsidRPr="00FD0661" w:rsidRDefault="006313E5">
            <w:pPr>
              <w:pStyle w:val="Preparedfor"/>
              <w:spacing w:before="0" w:after="240"/>
              <w:rPr>
                <w:rFonts w:cs="Arial"/>
              </w:rPr>
            </w:pPr>
            <w:r w:rsidRPr="00FD0661">
              <w:rPr>
                <w:rFonts w:cs="Arial"/>
              </w:rPr>
              <w:t>Prepared for:</w:t>
            </w:r>
          </w:p>
          <w:p w14:paraId="1071E2BC" w14:textId="77777777" w:rsidR="006313E5" w:rsidRPr="00FD0661" w:rsidRDefault="006313E5">
            <w:pPr>
              <w:pStyle w:val="Preparedfor"/>
              <w:rPr>
                <w:rFonts w:cs="Arial"/>
              </w:rPr>
            </w:pPr>
            <w:r w:rsidRPr="00FD0661">
              <w:rPr>
                <w:rFonts w:cs="Arial"/>
              </w:rPr>
              <w:t>ComEd</w:t>
            </w:r>
          </w:p>
          <w:p w14:paraId="1071E2BD" w14:textId="77777777" w:rsidR="006313E5" w:rsidRPr="00FD0661" w:rsidRDefault="006313E5">
            <w:pPr>
              <w:pStyle w:val="CoverClientName"/>
              <w:spacing w:after="0"/>
              <w:rPr>
                <w:rFonts w:cs="Arial"/>
                <w:sz w:val="48"/>
                <w:szCs w:val="48"/>
              </w:rPr>
            </w:pPr>
            <w:r w:rsidRPr="00FD0661">
              <w:rPr>
                <w:rFonts w:cs="Arial"/>
                <w:sz w:val="48"/>
                <w:szCs w:val="48"/>
              </w:rPr>
              <w:t>DRAFT</w:t>
            </w:r>
          </w:p>
          <w:p w14:paraId="1071E2BE" w14:textId="77777777" w:rsidR="006313E5" w:rsidRPr="00FD0661" w:rsidRDefault="006313E5">
            <w:pPr>
              <w:pStyle w:val="CoverClientName"/>
              <w:spacing w:after="0"/>
              <w:rPr>
                <w:rFonts w:cs="Arial"/>
              </w:rPr>
            </w:pPr>
          </w:p>
          <w:p w14:paraId="1071E2BF" w14:textId="469C46FF" w:rsidR="006313E5" w:rsidRPr="00FD0661" w:rsidRDefault="00AB7288">
            <w:pPr>
              <w:pStyle w:val="CoverClientName"/>
              <w:spacing w:after="0"/>
              <w:rPr>
                <w:rFonts w:cs="Arial"/>
              </w:rPr>
            </w:pPr>
            <w:r>
              <w:rPr>
                <w:rFonts w:cs="Arial"/>
              </w:rPr>
              <w:t>March 1</w:t>
            </w:r>
            <w:r w:rsidR="00223586">
              <w:rPr>
                <w:rFonts w:cs="Arial"/>
              </w:rPr>
              <w:t>1</w:t>
            </w:r>
            <w:r w:rsidR="006313E5" w:rsidRPr="00FD0661">
              <w:rPr>
                <w:rFonts w:cs="Arial"/>
              </w:rPr>
              <w:t xml:space="preserve">, </w:t>
            </w:r>
            <w:r>
              <w:rPr>
                <w:rFonts w:cs="Arial"/>
              </w:rPr>
              <w:t>2025</w:t>
            </w:r>
          </w:p>
        </w:tc>
      </w:tr>
      <w:tr w:rsidR="00D3154E" w:rsidRPr="00FD0661" w14:paraId="1071E2C4" w14:textId="77777777">
        <w:trPr>
          <w:trHeight w:val="419"/>
          <w:jc w:val="center"/>
        </w:trPr>
        <w:tc>
          <w:tcPr>
            <w:tcW w:w="7830" w:type="dxa"/>
            <w:gridSpan w:val="2"/>
          </w:tcPr>
          <w:p w14:paraId="1071E2C1" w14:textId="77777777" w:rsidR="006313E5" w:rsidRPr="00FD0661" w:rsidRDefault="006313E5">
            <w:pPr>
              <w:rPr>
                <w:rStyle w:val="CoverText"/>
                <w:rFonts w:cs="Arial"/>
              </w:rPr>
            </w:pPr>
          </w:p>
          <w:p w14:paraId="1071E2C2" w14:textId="2FBBB81D" w:rsidR="006313E5" w:rsidRPr="00FD0661" w:rsidRDefault="006313E5">
            <w:pPr>
              <w:rPr>
                <w:rStyle w:val="CoverText"/>
                <w:rFonts w:cs="Arial"/>
              </w:rPr>
            </w:pPr>
            <w:r w:rsidRPr="00FD0661">
              <w:rPr>
                <w:rStyle w:val="CoverText"/>
                <w:rFonts w:cs="Arial"/>
              </w:rPr>
              <w:t xml:space="preserve">Prepared by: </w:t>
            </w:r>
          </w:p>
        </w:tc>
        <w:tc>
          <w:tcPr>
            <w:tcW w:w="2394" w:type="dxa"/>
          </w:tcPr>
          <w:p w14:paraId="1071E2C3" w14:textId="77777777" w:rsidR="006313E5" w:rsidRPr="00FD0661" w:rsidRDefault="006313E5">
            <w:pPr>
              <w:rPr>
                <w:rStyle w:val="CoverText"/>
                <w:rFonts w:cs="Arial"/>
              </w:rPr>
            </w:pPr>
          </w:p>
        </w:tc>
      </w:tr>
      <w:tr w:rsidR="00D3154E" w:rsidRPr="00FD0661" w14:paraId="1071E2CA" w14:textId="77777777">
        <w:trPr>
          <w:trHeight w:val="1296"/>
          <w:jc w:val="center"/>
        </w:trPr>
        <w:tc>
          <w:tcPr>
            <w:tcW w:w="2411" w:type="dxa"/>
            <w:vAlign w:val="center"/>
          </w:tcPr>
          <w:p w14:paraId="1071E2C5" w14:textId="580EA663" w:rsidR="006313E5" w:rsidRPr="00C84E9D" w:rsidRDefault="00AB7288">
            <w:pPr>
              <w:rPr>
                <w:rFonts w:ascii="Arial" w:hAnsi="Arial" w:cs="Arial"/>
                <w:noProof/>
              </w:rPr>
            </w:pPr>
            <w:r>
              <w:rPr>
                <w:rFonts w:ascii="Arial" w:hAnsi="Arial" w:cs="Arial"/>
                <w:noProof/>
              </w:rPr>
              <w:t>Carly Olig</w:t>
            </w:r>
          </w:p>
          <w:p w14:paraId="1071E2C6" w14:textId="316618BD" w:rsidR="006313E5" w:rsidRPr="00FD0661" w:rsidRDefault="00AB7288">
            <w:pPr>
              <w:rPr>
                <w:rFonts w:ascii="Arial" w:hAnsi="Arial" w:cs="Arial"/>
                <w:bCs/>
              </w:rPr>
            </w:pPr>
            <w:r>
              <w:rPr>
                <w:rFonts w:ascii="Arial" w:hAnsi="Arial" w:cs="Arial"/>
                <w:noProof/>
              </w:rPr>
              <w:t>Guidehouse</w:t>
            </w:r>
            <w:r w:rsidR="006313E5" w:rsidRPr="00FD0661">
              <w:rPr>
                <w:rFonts w:ascii="Arial" w:hAnsi="Arial" w:cs="Arial"/>
                <w:bCs/>
              </w:rPr>
              <w:t xml:space="preserve"> </w:t>
            </w:r>
          </w:p>
        </w:tc>
        <w:tc>
          <w:tcPr>
            <w:tcW w:w="5419" w:type="dxa"/>
            <w:vAlign w:val="center"/>
          </w:tcPr>
          <w:p w14:paraId="1071E2C7" w14:textId="09DCBADB" w:rsidR="006313E5" w:rsidRPr="00C84E9D" w:rsidRDefault="00AB7288">
            <w:pPr>
              <w:rPr>
                <w:rFonts w:ascii="Arial" w:hAnsi="Arial" w:cs="Arial"/>
                <w:noProof/>
              </w:rPr>
            </w:pPr>
            <w:r>
              <w:rPr>
                <w:rFonts w:ascii="Arial" w:hAnsi="Arial" w:cs="Arial"/>
                <w:noProof/>
              </w:rPr>
              <w:t>Hannah Merriam</w:t>
            </w:r>
          </w:p>
          <w:p w14:paraId="1071E2C8" w14:textId="2FA2AF3B" w:rsidR="006313E5" w:rsidRPr="00FD0661" w:rsidRDefault="00AB7288">
            <w:pPr>
              <w:rPr>
                <w:rStyle w:val="CoverText"/>
                <w:rFonts w:cs="Arial"/>
                <w:bCs/>
              </w:rPr>
            </w:pPr>
            <w:r>
              <w:rPr>
                <w:rFonts w:ascii="Arial" w:hAnsi="Arial" w:cs="Arial"/>
                <w:noProof/>
              </w:rPr>
              <w:t>Opinion Dynamics</w:t>
            </w:r>
          </w:p>
        </w:tc>
        <w:tc>
          <w:tcPr>
            <w:tcW w:w="2394" w:type="dxa"/>
          </w:tcPr>
          <w:p w14:paraId="1071E2C9" w14:textId="77777777" w:rsidR="006313E5" w:rsidRPr="00FD0661" w:rsidRDefault="006313E5">
            <w:pPr>
              <w:pStyle w:val="PresentedBy"/>
              <w:spacing w:after="120"/>
              <w:rPr>
                <w:rStyle w:val="CoverText"/>
                <w:rFonts w:cs="Arial"/>
                <w:bCs/>
                <w:iCs/>
              </w:rPr>
            </w:pPr>
          </w:p>
        </w:tc>
      </w:tr>
      <w:tr w:rsidR="00D3154E" w:rsidRPr="00FD0661" w14:paraId="1071E2CE" w14:textId="77777777">
        <w:trPr>
          <w:trHeight w:val="900"/>
          <w:jc w:val="center"/>
        </w:trPr>
        <w:tc>
          <w:tcPr>
            <w:tcW w:w="2411" w:type="dxa"/>
            <w:vAlign w:val="center"/>
          </w:tcPr>
          <w:p w14:paraId="1071E2CB" w14:textId="480C1E88" w:rsidR="006313E5" w:rsidRPr="00FD0661" w:rsidRDefault="00AB7288">
            <w:pPr>
              <w:pStyle w:val="PresentedBy"/>
              <w:jc w:val="center"/>
              <w:rPr>
                <w:rFonts w:cs="Arial"/>
                <w:bCs/>
                <w:color w:val="auto"/>
              </w:rPr>
            </w:pPr>
            <w:r w:rsidRPr="00FD0661">
              <w:rPr>
                <w:rFonts w:cs="Arial"/>
                <w:noProof/>
              </w:rPr>
              <w:drawing>
                <wp:inline distT="0" distB="0" distL="0" distR="0" wp14:anchorId="13FC169C" wp14:editId="48FC11EC">
                  <wp:extent cx="1152525" cy="536961"/>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536961"/>
                          </a:xfrm>
                          <a:prstGeom prst="rect">
                            <a:avLst/>
                          </a:prstGeom>
                        </pic:spPr>
                      </pic:pic>
                    </a:graphicData>
                  </a:graphic>
                </wp:inline>
              </w:drawing>
            </w:r>
          </w:p>
        </w:tc>
        <w:tc>
          <w:tcPr>
            <w:tcW w:w="5419" w:type="dxa"/>
            <w:vAlign w:val="center"/>
          </w:tcPr>
          <w:p w14:paraId="1071E2CC" w14:textId="22A07DCE" w:rsidR="006313E5" w:rsidRPr="00FD0661" w:rsidRDefault="006313E5">
            <w:pPr>
              <w:jc w:val="center"/>
              <w:rPr>
                <w:rStyle w:val="CoverText"/>
                <w:rFonts w:cs="Arial"/>
                <w:bCs/>
              </w:rPr>
            </w:pPr>
          </w:p>
        </w:tc>
        <w:tc>
          <w:tcPr>
            <w:tcW w:w="2394" w:type="dxa"/>
            <w:vAlign w:val="center"/>
          </w:tcPr>
          <w:p w14:paraId="1071E2CD" w14:textId="02071A30" w:rsidR="006313E5" w:rsidRPr="00FD0661" w:rsidRDefault="006313E5">
            <w:pPr>
              <w:pStyle w:val="PresentedBy"/>
              <w:jc w:val="center"/>
              <w:rPr>
                <w:rStyle w:val="CoverText"/>
                <w:rFonts w:cs="Arial"/>
                <w:bCs/>
                <w:iCs/>
              </w:rPr>
            </w:pPr>
          </w:p>
        </w:tc>
      </w:tr>
      <w:tr w:rsidR="00D3154E" w:rsidRPr="00FD0661" w14:paraId="1071E2D2" w14:textId="77777777">
        <w:trPr>
          <w:trHeight w:val="900"/>
          <w:jc w:val="center"/>
        </w:trPr>
        <w:tc>
          <w:tcPr>
            <w:tcW w:w="2411" w:type="dxa"/>
            <w:vAlign w:val="center"/>
          </w:tcPr>
          <w:p w14:paraId="1071E2CF" w14:textId="1C71D945" w:rsidR="006313E5" w:rsidRPr="00FD0661" w:rsidRDefault="006313E5">
            <w:pPr>
              <w:pStyle w:val="PresentedBy"/>
              <w:jc w:val="center"/>
              <w:rPr>
                <w:rFonts w:cs="Arial"/>
                <w:bCs/>
                <w:color w:val="auto"/>
              </w:rPr>
            </w:pPr>
          </w:p>
        </w:tc>
        <w:tc>
          <w:tcPr>
            <w:tcW w:w="5419" w:type="dxa"/>
            <w:vAlign w:val="center"/>
          </w:tcPr>
          <w:p w14:paraId="1071E2D0" w14:textId="77777777" w:rsidR="006313E5" w:rsidRPr="00FD0661" w:rsidRDefault="006313E5">
            <w:pPr>
              <w:jc w:val="center"/>
              <w:rPr>
                <w:rStyle w:val="CoverText"/>
                <w:rFonts w:cs="Arial"/>
                <w:bCs/>
              </w:rPr>
            </w:pPr>
          </w:p>
        </w:tc>
        <w:tc>
          <w:tcPr>
            <w:tcW w:w="2394" w:type="dxa"/>
            <w:vAlign w:val="center"/>
          </w:tcPr>
          <w:p w14:paraId="1071E2D1" w14:textId="7AABA543" w:rsidR="006313E5" w:rsidRPr="00FD0661" w:rsidRDefault="006313E5">
            <w:pPr>
              <w:pStyle w:val="PresentedBy"/>
              <w:jc w:val="center"/>
              <w:rPr>
                <w:rStyle w:val="CoverText"/>
                <w:rFonts w:cs="Arial"/>
                <w:bCs/>
                <w:iCs/>
              </w:rPr>
            </w:pPr>
          </w:p>
        </w:tc>
      </w:tr>
    </w:tbl>
    <w:p w14:paraId="1071E2D3" w14:textId="77777777" w:rsidR="006313E5" w:rsidRDefault="006313E5"/>
    <w:p w14:paraId="1071E2D4" w14:textId="77777777" w:rsidR="006313E5" w:rsidRDefault="006313E5">
      <w:pPr>
        <w:suppressAutoHyphens w:val="0"/>
        <w:spacing w:before="0" w:after="0"/>
      </w:pPr>
      <w:r>
        <w:br w:type="page"/>
      </w:r>
    </w:p>
    <w:p w14:paraId="1071E2D5" w14:textId="77777777" w:rsidR="006313E5" w:rsidRPr="00CE32C9" w:rsidRDefault="006313E5">
      <w:pPr>
        <w:rPr>
          <w:rFonts w:ascii="Arial" w:hAnsi="Arial" w:cs="Arial"/>
          <w:sz w:val="20"/>
          <w:szCs w:val="20"/>
        </w:rPr>
      </w:pPr>
    </w:p>
    <w:p w14:paraId="1071E2D6" w14:textId="77777777" w:rsidR="006313E5" w:rsidRPr="006C7A52" w:rsidRDefault="006313E5">
      <w:pPr>
        <w:spacing w:before="0" w:after="0"/>
        <w:rPr>
          <w:rFonts w:ascii="Arial" w:hAnsi="Arial" w:cs="Arial"/>
          <w:b/>
          <w:bCs/>
        </w:rPr>
      </w:pPr>
      <w:r w:rsidRPr="006C7A52">
        <w:rPr>
          <w:rFonts w:ascii="Arial" w:hAnsi="Arial" w:cs="Arial"/>
          <w:b/>
          <w:bCs/>
        </w:rPr>
        <w:t>Submitted to:</w:t>
      </w:r>
    </w:p>
    <w:p w14:paraId="1071E2D7" w14:textId="77777777" w:rsidR="006313E5" w:rsidRPr="006C7A52" w:rsidRDefault="006313E5">
      <w:pPr>
        <w:spacing w:before="0" w:after="0"/>
        <w:rPr>
          <w:rFonts w:ascii="Arial" w:hAnsi="Arial" w:cs="Arial"/>
        </w:rPr>
      </w:pPr>
      <w:r w:rsidRPr="006C7A52">
        <w:rPr>
          <w:rFonts w:ascii="Arial" w:hAnsi="Arial" w:cs="Arial"/>
        </w:rPr>
        <w:t>ComEd</w:t>
      </w:r>
    </w:p>
    <w:p w14:paraId="1071E2D8" w14:textId="77777777" w:rsidR="006313E5" w:rsidRPr="006C7A52" w:rsidRDefault="006313E5">
      <w:pPr>
        <w:spacing w:before="0" w:after="0"/>
        <w:rPr>
          <w:rFonts w:ascii="Arial" w:hAnsi="Arial" w:cs="Arial"/>
        </w:rPr>
      </w:pPr>
      <w:r w:rsidRPr="006C7A52">
        <w:rPr>
          <w:rFonts w:ascii="Arial" w:hAnsi="Arial" w:cs="Arial"/>
        </w:rPr>
        <w:t>2011 Swift Drive</w:t>
      </w:r>
    </w:p>
    <w:p w14:paraId="1071E2D9" w14:textId="77777777" w:rsidR="006313E5" w:rsidRPr="006C7A52" w:rsidRDefault="006313E5">
      <w:pPr>
        <w:spacing w:before="0" w:after="0"/>
        <w:rPr>
          <w:rFonts w:ascii="Arial" w:hAnsi="Arial" w:cs="Arial"/>
        </w:rPr>
      </w:pPr>
      <w:r w:rsidRPr="006C7A52">
        <w:rPr>
          <w:rFonts w:ascii="Arial" w:hAnsi="Arial" w:cs="Arial"/>
        </w:rPr>
        <w:t>Oak Brook, IL 60523</w:t>
      </w:r>
    </w:p>
    <w:p w14:paraId="1071E2DA" w14:textId="77777777" w:rsidR="006313E5" w:rsidRPr="006C7A52" w:rsidRDefault="006313E5">
      <w:pPr>
        <w:spacing w:before="0" w:after="0"/>
        <w:rPr>
          <w:rFonts w:ascii="Arial" w:hAnsi="Arial" w:cs="Arial"/>
        </w:rPr>
      </w:pPr>
    </w:p>
    <w:p w14:paraId="1071E2DB" w14:textId="77777777" w:rsidR="006313E5" w:rsidRPr="006C7A52" w:rsidRDefault="006313E5">
      <w:pPr>
        <w:spacing w:before="0" w:after="0"/>
        <w:rPr>
          <w:rFonts w:ascii="Arial" w:hAnsi="Arial" w:cs="Arial"/>
          <w:b/>
          <w:bCs/>
        </w:rPr>
      </w:pPr>
      <w:r w:rsidRPr="006C7A52">
        <w:rPr>
          <w:rFonts w:ascii="Arial" w:hAnsi="Arial" w:cs="Arial"/>
          <w:b/>
          <w:bCs/>
        </w:rPr>
        <w:t>Submitted by:</w:t>
      </w:r>
    </w:p>
    <w:p w14:paraId="1071E2DC" w14:textId="77777777" w:rsidR="006313E5" w:rsidRPr="006C7A52" w:rsidRDefault="006313E5">
      <w:pPr>
        <w:spacing w:before="0" w:after="0"/>
        <w:rPr>
          <w:rFonts w:ascii="Arial" w:hAnsi="Arial" w:cs="Arial"/>
        </w:rPr>
      </w:pPr>
      <w:r w:rsidRPr="006C7A52">
        <w:rPr>
          <w:rFonts w:ascii="Arial" w:hAnsi="Arial" w:cs="Arial"/>
        </w:rPr>
        <w:t>Guidehouse Inc.</w:t>
      </w:r>
    </w:p>
    <w:p w14:paraId="1071E2DD" w14:textId="77777777" w:rsidR="006313E5" w:rsidRPr="006C7A52" w:rsidRDefault="006313E5">
      <w:pPr>
        <w:spacing w:before="0" w:after="0"/>
        <w:rPr>
          <w:rFonts w:ascii="Arial" w:hAnsi="Arial" w:cs="Arial"/>
        </w:rPr>
      </w:pPr>
      <w:r w:rsidRPr="006C7A52">
        <w:rPr>
          <w:rFonts w:ascii="Arial" w:hAnsi="Arial" w:cs="Arial"/>
        </w:rPr>
        <w:t>150 N. Riverside Plaza, Suite 2100</w:t>
      </w:r>
    </w:p>
    <w:p w14:paraId="1071E2DE" w14:textId="77777777" w:rsidR="006313E5" w:rsidRPr="006C7A52" w:rsidRDefault="006313E5">
      <w:pPr>
        <w:spacing w:before="0" w:after="0"/>
        <w:rPr>
          <w:rFonts w:ascii="Arial" w:hAnsi="Arial" w:cs="Arial"/>
        </w:rPr>
      </w:pPr>
      <w:r w:rsidRPr="006C7A52">
        <w:rPr>
          <w:rFonts w:ascii="Arial" w:hAnsi="Arial" w:cs="Arial"/>
        </w:rPr>
        <w:t>Chicago, IL 60606</w:t>
      </w:r>
    </w:p>
    <w:p w14:paraId="1071E2DF" w14:textId="77777777" w:rsidR="006313E5" w:rsidRPr="006C7A52" w:rsidRDefault="006313E5">
      <w:pPr>
        <w:spacing w:before="0" w:after="0"/>
        <w:rPr>
          <w:rFonts w:ascii="Arial" w:hAnsi="Arial" w:cs="Arial"/>
        </w:rPr>
      </w:pPr>
    </w:p>
    <w:p w14:paraId="1071E2E0" w14:textId="77777777" w:rsidR="006313E5" w:rsidRPr="006C7A52" w:rsidRDefault="006313E5">
      <w:pPr>
        <w:spacing w:before="0" w:after="0"/>
        <w:rPr>
          <w:rFonts w:ascii="Arial" w:hAnsi="Arial" w:cs="Arial"/>
        </w:rPr>
      </w:pPr>
    </w:p>
    <w:p w14:paraId="1071E2E1" w14:textId="77777777" w:rsidR="006313E5" w:rsidRPr="006C7A52" w:rsidRDefault="006313E5">
      <w:pPr>
        <w:spacing w:before="0" w:after="0"/>
        <w:rPr>
          <w:rFonts w:ascii="Arial" w:hAnsi="Arial" w:cs="Arial"/>
        </w:rPr>
      </w:pPr>
      <w:r w:rsidRPr="006C7A52">
        <w:rPr>
          <w:rFonts w:ascii="Arial" w:hAnsi="Arial" w:cs="Arial"/>
          <w:b/>
        </w:rPr>
        <w:t>Contact:</w:t>
      </w:r>
    </w:p>
    <w:p w14:paraId="1071E2E2" w14:textId="77777777" w:rsidR="006313E5" w:rsidRPr="006C7A52" w:rsidRDefault="006313E5">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600"/>
        <w:gridCol w:w="3330"/>
      </w:tblGrid>
      <w:tr w:rsidR="00D3154E" w:rsidRPr="00601FE0" w14:paraId="1071E2EB" w14:textId="77777777">
        <w:tc>
          <w:tcPr>
            <w:tcW w:w="3330" w:type="dxa"/>
          </w:tcPr>
          <w:p w14:paraId="1071E2E3" w14:textId="77777777" w:rsidR="006313E5" w:rsidRPr="00601FE0" w:rsidRDefault="006313E5">
            <w:pPr>
              <w:spacing w:before="0" w:after="0"/>
              <w:rPr>
                <w:rFonts w:ascii="Arial" w:hAnsi="Arial" w:cs="Arial"/>
                <w:sz w:val="21"/>
                <w:szCs w:val="21"/>
              </w:rPr>
            </w:pPr>
            <w:r w:rsidRPr="00601FE0">
              <w:rPr>
                <w:rFonts w:ascii="Arial" w:eastAsia="Arial" w:hAnsi="Arial" w:cs="Arial"/>
                <w:sz w:val="21"/>
                <w:szCs w:val="21"/>
              </w:rPr>
              <w:t>Charles Maglione, Partner</w:t>
            </w:r>
          </w:p>
          <w:p w14:paraId="1071E2E4" w14:textId="77777777" w:rsidR="006313E5" w:rsidRPr="00601FE0" w:rsidRDefault="006313E5">
            <w:pPr>
              <w:spacing w:before="0" w:after="0"/>
              <w:rPr>
                <w:rFonts w:ascii="Arial" w:hAnsi="Arial" w:cs="Arial"/>
                <w:sz w:val="21"/>
                <w:szCs w:val="21"/>
              </w:rPr>
            </w:pPr>
            <w:r w:rsidRPr="00601FE0">
              <w:rPr>
                <w:rFonts w:ascii="Arial" w:eastAsia="Arial" w:hAnsi="Arial" w:cs="Arial"/>
                <w:sz w:val="21"/>
                <w:szCs w:val="21"/>
              </w:rPr>
              <w:t>703.431.1983</w:t>
            </w:r>
          </w:p>
          <w:p w14:paraId="1071E2E5" w14:textId="068CC280" w:rsidR="006313E5" w:rsidRPr="00601FE0" w:rsidRDefault="00000000">
            <w:pPr>
              <w:spacing w:before="0" w:after="0"/>
              <w:rPr>
                <w:rFonts w:cs="Arial"/>
                <w:sz w:val="21"/>
                <w:szCs w:val="21"/>
              </w:rPr>
            </w:pPr>
            <w:hyperlink r:id="rId12">
              <w:r w:rsidR="006313E5" w:rsidRPr="00601FE0">
                <w:rPr>
                  <w:rFonts w:ascii="Arial" w:hAnsi="Arial" w:cs="Arial"/>
                  <w:b/>
                  <w:sz w:val="21"/>
                  <w:szCs w:val="21"/>
                  <w:u w:val="single" w:color="93D500" w:themeColor="accent1"/>
                </w:rPr>
                <w:t>cmaglione@guidehouse.com</w:t>
              </w:r>
            </w:hyperlink>
          </w:p>
        </w:tc>
        <w:tc>
          <w:tcPr>
            <w:tcW w:w="3600" w:type="dxa"/>
          </w:tcPr>
          <w:p w14:paraId="1071E2E6" w14:textId="77777777" w:rsidR="006313E5" w:rsidRPr="00601FE0" w:rsidRDefault="006313E5">
            <w:pPr>
              <w:spacing w:before="0" w:after="0"/>
              <w:rPr>
                <w:rFonts w:ascii="Arial" w:hAnsi="Arial" w:cs="Arial"/>
                <w:sz w:val="21"/>
                <w:szCs w:val="21"/>
              </w:rPr>
            </w:pPr>
            <w:r w:rsidRPr="00601FE0">
              <w:rPr>
                <w:rFonts w:ascii="Arial" w:hAnsi="Arial" w:cs="Arial"/>
                <w:sz w:val="21"/>
                <w:szCs w:val="21"/>
              </w:rPr>
              <w:t>Jeff Erickson, Director</w:t>
            </w:r>
          </w:p>
          <w:p w14:paraId="1071E2E7" w14:textId="77777777" w:rsidR="006313E5" w:rsidRPr="00601FE0" w:rsidRDefault="006313E5">
            <w:pPr>
              <w:spacing w:before="0" w:after="0"/>
              <w:rPr>
                <w:rFonts w:ascii="Arial" w:hAnsi="Arial" w:cs="Arial"/>
                <w:sz w:val="21"/>
                <w:szCs w:val="21"/>
              </w:rPr>
            </w:pPr>
            <w:r w:rsidRPr="00601FE0">
              <w:rPr>
                <w:rFonts w:ascii="Arial" w:hAnsi="Arial" w:cs="Arial"/>
                <w:sz w:val="21"/>
                <w:szCs w:val="21"/>
              </w:rPr>
              <w:t>608.616.4962</w:t>
            </w:r>
          </w:p>
          <w:p w14:paraId="1071E2E8" w14:textId="006F660A" w:rsidR="006313E5" w:rsidRPr="00601FE0" w:rsidRDefault="00000000">
            <w:pPr>
              <w:spacing w:before="0" w:after="0"/>
              <w:rPr>
                <w:rFonts w:ascii="Arial" w:hAnsi="Arial" w:cs="Arial"/>
                <w:sz w:val="21"/>
                <w:szCs w:val="21"/>
                <w:u w:color="93D500" w:themeColor="accent1"/>
              </w:rPr>
            </w:pPr>
            <w:hyperlink r:id="rId13" w:history="1">
              <w:r w:rsidR="006313E5" w:rsidRPr="00601FE0">
                <w:rPr>
                  <w:rFonts w:ascii="Arial" w:hAnsi="Arial" w:cs="Arial"/>
                  <w:b/>
                  <w:sz w:val="21"/>
                  <w:szCs w:val="21"/>
                  <w:u w:val="single" w:color="93D500" w:themeColor="accent1"/>
                </w:rPr>
                <w:t>jeff.erickson@guidehouse.com</w:t>
              </w:r>
            </w:hyperlink>
          </w:p>
        </w:tc>
        <w:tc>
          <w:tcPr>
            <w:tcW w:w="3330" w:type="dxa"/>
          </w:tcPr>
          <w:p w14:paraId="027CD26B" w14:textId="77777777" w:rsidR="00733DFA" w:rsidRDefault="00733DFA" w:rsidP="00733DFA">
            <w:pPr>
              <w:spacing w:before="0" w:after="0"/>
              <w:rPr>
                <w:rFonts w:ascii="Arial" w:hAnsi="Arial" w:cs="Arial"/>
                <w:sz w:val="21"/>
                <w:szCs w:val="21"/>
              </w:rPr>
            </w:pPr>
            <w:r w:rsidRPr="00ED3095">
              <w:rPr>
                <w:rFonts w:ascii="Arial" w:hAnsi="Arial" w:cs="Arial"/>
                <w:sz w:val="21"/>
                <w:szCs w:val="21"/>
              </w:rPr>
              <w:t>Natasha Herring, Managing Consultant</w:t>
            </w:r>
          </w:p>
          <w:p w14:paraId="09A10CF2" w14:textId="77777777" w:rsidR="00733DFA" w:rsidRPr="00601FE0" w:rsidRDefault="00733DFA" w:rsidP="00733DFA">
            <w:pPr>
              <w:spacing w:before="0" w:after="0"/>
              <w:rPr>
                <w:rFonts w:ascii="Arial" w:hAnsi="Arial" w:cs="Arial"/>
                <w:sz w:val="21"/>
                <w:szCs w:val="21"/>
              </w:rPr>
            </w:pPr>
            <w:r w:rsidRPr="00ED3095">
              <w:rPr>
                <w:rFonts w:ascii="Arial" w:hAnsi="Arial" w:cs="Arial"/>
                <w:sz w:val="21"/>
                <w:szCs w:val="21"/>
              </w:rPr>
              <w:t>303</w:t>
            </w:r>
            <w:r>
              <w:rPr>
                <w:rFonts w:ascii="Arial" w:hAnsi="Arial" w:cs="Arial"/>
                <w:sz w:val="21"/>
                <w:szCs w:val="21"/>
              </w:rPr>
              <w:t>.</w:t>
            </w:r>
            <w:r w:rsidRPr="00ED3095">
              <w:rPr>
                <w:rFonts w:ascii="Arial" w:hAnsi="Arial" w:cs="Arial"/>
                <w:sz w:val="21"/>
                <w:szCs w:val="21"/>
              </w:rPr>
              <w:t>600</w:t>
            </w:r>
            <w:r>
              <w:rPr>
                <w:rFonts w:ascii="Arial" w:hAnsi="Arial" w:cs="Arial"/>
                <w:sz w:val="21"/>
                <w:szCs w:val="21"/>
              </w:rPr>
              <w:t>.</w:t>
            </w:r>
            <w:r w:rsidRPr="00ED3095">
              <w:rPr>
                <w:rFonts w:ascii="Arial" w:hAnsi="Arial" w:cs="Arial"/>
                <w:sz w:val="21"/>
                <w:szCs w:val="21"/>
              </w:rPr>
              <w:t xml:space="preserve">3934  </w:t>
            </w:r>
          </w:p>
          <w:p w14:paraId="1071E2EA" w14:textId="027A4AA1" w:rsidR="006313E5" w:rsidRPr="00601FE0" w:rsidRDefault="00733DFA" w:rsidP="00733DFA">
            <w:pPr>
              <w:spacing w:before="0" w:after="0"/>
              <w:rPr>
                <w:rFonts w:ascii="Arial" w:hAnsi="Arial" w:cs="Arial"/>
                <w:sz w:val="21"/>
                <w:szCs w:val="21"/>
              </w:rPr>
            </w:pPr>
            <w:r w:rsidRPr="00C3703D">
              <w:rPr>
                <w:rFonts w:ascii="Arial" w:hAnsi="Arial" w:cs="Arial"/>
                <w:b/>
                <w:sz w:val="21"/>
                <w:szCs w:val="21"/>
                <w:u w:val="single" w:color="93D500" w:themeColor="accent1"/>
              </w:rPr>
              <w:t>naherring@guidehouse.com</w:t>
            </w:r>
          </w:p>
        </w:tc>
      </w:tr>
    </w:tbl>
    <w:p w14:paraId="1071E2EC" w14:textId="77777777" w:rsidR="006313E5" w:rsidRPr="00CE32C9" w:rsidRDefault="006313E5">
      <w:pPr>
        <w:pStyle w:val="Contactinfo"/>
        <w:rPr>
          <w:rFonts w:cs="Arial"/>
          <w:sz w:val="20"/>
        </w:rPr>
      </w:pPr>
    </w:p>
    <w:p w14:paraId="1071E2ED" w14:textId="77777777" w:rsidR="006313E5" w:rsidRPr="00CE32C9" w:rsidRDefault="006313E5">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1071E2EE" w14:textId="77777777" w:rsidR="006313E5" w:rsidRPr="00CE32C9" w:rsidRDefault="006313E5">
      <w:pPr>
        <w:rPr>
          <w:rFonts w:ascii="Arial" w:hAnsi="Arial" w:cs="Arial"/>
          <w:sz w:val="20"/>
          <w:szCs w:val="20"/>
        </w:rPr>
      </w:pPr>
    </w:p>
    <w:p w14:paraId="1071E2EF" w14:textId="77777777" w:rsidR="006313E5" w:rsidRDefault="006313E5">
      <w:pPr>
        <w:suppressAutoHyphens w:val="0"/>
        <w:spacing w:before="0" w:after="0"/>
      </w:pPr>
    </w:p>
    <w:p w14:paraId="1071E2F0" w14:textId="77777777" w:rsidR="006313E5" w:rsidRDefault="006313E5">
      <w:pPr>
        <w:suppressAutoHyphens w:val="0"/>
        <w:spacing w:before="0" w:after="0"/>
        <w:rPr>
          <w:rFonts w:ascii="Arial" w:eastAsia="Calibri" w:hAnsi="Arial"/>
          <w:b/>
          <w:i/>
          <w:sz w:val="44"/>
          <w:szCs w:val="22"/>
        </w:rPr>
        <w:sectPr w:rsidR="006313E5">
          <w:headerReference w:type="default" r:id="rId14"/>
          <w:footerReference w:type="default" r:id="rId15"/>
          <w:headerReference w:type="first" r:id="rId16"/>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1071E2F1" w14:textId="77777777" w:rsidR="006313E5" w:rsidRDefault="006313E5">
      <w:pPr>
        <w:pStyle w:val="TOCHeading"/>
      </w:pPr>
      <w:r>
        <w:lastRenderedPageBreak/>
        <w:t>Table of Contents</w:t>
      </w:r>
      <w:bookmarkEnd w:id="1"/>
      <w:bookmarkEnd w:id="2"/>
    </w:p>
    <w:p w14:paraId="6C42187C" w14:textId="49972C13" w:rsidR="00223586" w:rsidRDefault="006313E5">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92581586" w:history="1">
        <w:r w:rsidR="00223586" w:rsidRPr="00DD535F">
          <w:rPr>
            <w:rStyle w:val="Hyperlink"/>
            <w:noProof/>
          </w:rPr>
          <w:t>Introduction</w:t>
        </w:r>
        <w:r w:rsidR="00223586">
          <w:rPr>
            <w:noProof/>
            <w:webHidden/>
          </w:rPr>
          <w:tab/>
        </w:r>
        <w:r w:rsidR="00223586">
          <w:rPr>
            <w:noProof/>
            <w:webHidden/>
          </w:rPr>
          <w:fldChar w:fldCharType="begin"/>
        </w:r>
        <w:r w:rsidR="00223586">
          <w:rPr>
            <w:noProof/>
            <w:webHidden/>
          </w:rPr>
          <w:instrText xml:space="preserve"> PAGEREF _Toc192581586 \h </w:instrText>
        </w:r>
        <w:r w:rsidR="00223586">
          <w:rPr>
            <w:noProof/>
            <w:webHidden/>
          </w:rPr>
        </w:r>
        <w:r w:rsidR="00223586">
          <w:rPr>
            <w:noProof/>
            <w:webHidden/>
          </w:rPr>
          <w:fldChar w:fldCharType="separate"/>
        </w:r>
        <w:r w:rsidR="00223586">
          <w:rPr>
            <w:noProof/>
            <w:webHidden/>
          </w:rPr>
          <w:t>1</w:t>
        </w:r>
        <w:r w:rsidR="00223586">
          <w:rPr>
            <w:noProof/>
            <w:webHidden/>
          </w:rPr>
          <w:fldChar w:fldCharType="end"/>
        </w:r>
      </w:hyperlink>
    </w:p>
    <w:p w14:paraId="3EB24AB4" w14:textId="2DA1311A" w:rsidR="00223586" w:rsidRDefault="00223586">
      <w:pPr>
        <w:pStyle w:val="TOC1"/>
        <w:rPr>
          <w:rFonts w:asciiTheme="minorHAnsi" w:eastAsiaTheme="minorEastAsia" w:hAnsiTheme="minorHAnsi" w:cstheme="minorBidi"/>
          <w:b w:val="0"/>
          <w:noProof/>
          <w:kern w:val="2"/>
          <w14:ligatures w14:val="standardContextual"/>
        </w:rPr>
      </w:pPr>
      <w:hyperlink w:anchor="_Toc192581587" w:history="1">
        <w:r w:rsidRPr="00DD535F">
          <w:rPr>
            <w:rStyle w:val="Hyperlink"/>
            <w:noProof/>
          </w:rPr>
          <w:t>Program Savings Detail</w:t>
        </w:r>
        <w:r>
          <w:rPr>
            <w:noProof/>
            <w:webHidden/>
          </w:rPr>
          <w:tab/>
        </w:r>
        <w:r>
          <w:rPr>
            <w:noProof/>
            <w:webHidden/>
          </w:rPr>
          <w:fldChar w:fldCharType="begin"/>
        </w:r>
        <w:r>
          <w:rPr>
            <w:noProof/>
            <w:webHidden/>
          </w:rPr>
          <w:instrText xml:space="preserve"> PAGEREF _Toc192581587 \h </w:instrText>
        </w:r>
        <w:r>
          <w:rPr>
            <w:noProof/>
            <w:webHidden/>
          </w:rPr>
        </w:r>
        <w:r>
          <w:rPr>
            <w:noProof/>
            <w:webHidden/>
          </w:rPr>
          <w:fldChar w:fldCharType="separate"/>
        </w:r>
        <w:r>
          <w:rPr>
            <w:noProof/>
            <w:webHidden/>
          </w:rPr>
          <w:t>1</w:t>
        </w:r>
        <w:r>
          <w:rPr>
            <w:noProof/>
            <w:webHidden/>
          </w:rPr>
          <w:fldChar w:fldCharType="end"/>
        </w:r>
      </w:hyperlink>
    </w:p>
    <w:p w14:paraId="58E8A665" w14:textId="2F985161" w:rsidR="00223586" w:rsidRDefault="00223586">
      <w:pPr>
        <w:pStyle w:val="TOC1"/>
        <w:rPr>
          <w:rFonts w:asciiTheme="minorHAnsi" w:eastAsiaTheme="minorEastAsia" w:hAnsiTheme="minorHAnsi" w:cstheme="minorBidi"/>
          <w:b w:val="0"/>
          <w:noProof/>
          <w:kern w:val="2"/>
          <w14:ligatures w14:val="standardContextual"/>
        </w:rPr>
      </w:pPr>
      <w:hyperlink w:anchor="_Toc192581588" w:history="1">
        <w:r w:rsidRPr="00DD535F">
          <w:rPr>
            <w:rStyle w:val="Hyperlink"/>
            <w:noProof/>
          </w:rPr>
          <w:t>Cumulative Persisting Annual Savings</w:t>
        </w:r>
        <w:r>
          <w:rPr>
            <w:noProof/>
            <w:webHidden/>
          </w:rPr>
          <w:tab/>
        </w:r>
        <w:r>
          <w:rPr>
            <w:noProof/>
            <w:webHidden/>
          </w:rPr>
          <w:fldChar w:fldCharType="begin"/>
        </w:r>
        <w:r>
          <w:rPr>
            <w:noProof/>
            <w:webHidden/>
          </w:rPr>
          <w:instrText xml:space="preserve"> PAGEREF _Toc192581588 \h </w:instrText>
        </w:r>
        <w:r>
          <w:rPr>
            <w:noProof/>
            <w:webHidden/>
          </w:rPr>
        </w:r>
        <w:r>
          <w:rPr>
            <w:noProof/>
            <w:webHidden/>
          </w:rPr>
          <w:fldChar w:fldCharType="separate"/>
        </w:r>
        <w:r>
          <w:rPr>
            <w:noProof/>
            <w:webHidden/>
          </w:rPr>
          <w:t>3</w:t>
        </w:r>
        <w:r>
          <w:rPr>
            <w:noProof/>
            <w:webHidden/>
          </w:rPr>
          <w:fldChar w:fldCharType="end"/>
        </w:r>
      </w:hyperlink>
    </w:p>
    <w:p w14:paraId="1071E2F8" w14:textId="704443B6" w:rsidR="006313E5" w:rsidRDefault="006313E5" w:rsidP="00F33382">
      <w:pPr>
        <w:pStyle w:val="GHBodytext"/>
      </w:pPr>
      <w:r>
        <w:fldChar w:fldCharType="end"/>
      </w:r>
    </w:p>
    <w:p w14:paraId="1071E2F9" w14:textId="35F24604" w:rsidR="006313E5" w:rsidRDefault="006313E5">
      <w:pPr>
        <w:pStyle w:val="GHTOC"/>
      </w:pPr>
      <w:bookmarkStart w:id="3" w:name="_Toc181693457"/>
      <w:bookmarkStart w:id="4" w:name="_Toc181693478"/>
      <w:bookmarkStart w:id="5" w:name="_Toc186529827"/>
      <w:r>
        <w:t>List of Tables</w:t>
      </w:r>
      <w:bookmarkEnd w:id="3"/>
      <w:bookmarkEnd w:id="4"/>
      <w:bookmarkEnd w:id="5"/>
      <w:r>
        <w:t xml:space="preserve"> </w:t>
      </w:r>
    </w:p>
    <w:p w14:paraId="1A7E646C" w14:textId="44E72D9D" w:rsidR="00223586" w:rsidRDefault="006313E5">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92581589" w:history="1">
        <w:r w:rsidR="00223586" w:rsidRPr="0086740C">
          <w:rPr>
            <w:rStyle w:val="Hyperlink"/>
            <w:noProof/>
          </w:rPr>
          <w:t>Table 1. Total Annual Incremental Electric Savings - Total</w:t>
        </w:r>
        <w:r w:rsidR="00223586">
          <w:rPr>
            <w:noProof/>
            <w:webHidden/>
          </w:rPr>
          <w:tab/>
        </w:r>
        <w:r w:rsidR="00223586">
          <w:rPr>
            <w:noProof/>
            <w:webHidden/>
          </w:rPr>
          <w:fldChar w:fldCharType="begin"/>
        </w:r>
        <w:r w:rsidR="00223586">
          <w:rPr>
            <w:noProof/>
            <w:webHidden/>
          </w:rPr>
          <w:instrText xml:space="preserve"> PAGEREF _Toc192581589 \h </w:instrText>
        </w:r>
        <w:r w:rsidR="00223586">
          <w:rPr>
            <w:noProof/>
            <w:webHidden/>
          </w:rPr>
        </w:r>
        <w:r w:rsidR="00223586">
          <w:rPr>
            <w:noProof/>
            <w:webHidden/>
          </w:rPr>
          <w:fldChar w:fldCharType="separate"/>
        </w:r>
        <w:r w:rsidR="00223586">
          <w:rPr>
            <w:noProof/>
            <w:webHidden/>
          </w:rPr>
          <w:t>1</w:t>
        </w:r>
        <w:r w:rsidR="00223586">
          <w:rPr>
            <w:noProof/>
            <w:webHidden/>
          </w:rPr>
          <w:fldChar w:fldCharType="end"/>
        </w:r>
      </w:hyperlink>
    </w:p>
    <w:p w14:paraId="7DDF3A87" w14:textId="33133525" w:rsidR="00223586" w:rsidRDefault="00223586">
      <w:pPr>
        <w:pStyle w:val="TableofFigures"/>
        <w:rPr>
          <w:rFonts w:asciiTheme="minorHAnsi" w:eastAsiaTheme="minorEastAsia" w:hAnsiTheme="minorHAnsi" w:cstheme="minorBidi"/>
          <w:noProof/>
          <w:kern w:val="2"/>
          <w14:ligatures w14:val="standardContextual"/>
        </w:rPr>
      </w:pPr>
      <w:hyperlink w:anchor="_Toc192581590" w:history="1">
        <w:r w:rsidRPr="0086740C">
          <w:rPr>
            <w:rStyle w:val="Hyperlink"/>
            <w:noProof/>
          </w:rPr>
          <w:t>Table 2. Total Program Net Electric Savings - Total</w:t>
        </w:r>
        <w:r>
          <w:rPr>
            <w:noProof/>
            <w:webHidden/>
          </w:rPr>
          <w:tab/>
        </w:r>
        <w:r>
          <w:rPr>
            <w:noProof/>
            <w:webHidden/>
          </w:rPr>
          <w:fldChar w:fldCharType="begin"/>
        </w:r>
        <w:r>
          <w:rPr>
            <w:noProof/>
            <w:webHidden/>
          </w:rPr>
          <w:instrText xml:space="preserve"> PAGEREF _Toc192581590 \h </w:instrText>
        </w:r>
        <w:r>
          <w:rPr>
            <w:noProof/>
            <w:webHidden/>
          </w:rPr>
        </w:r>
        <w:r>
          <w:rPr>
            <w:noProof/>
            <w:webHidden/>
          </w:rPr>
          <w:fldChar w:fldCharType="separate"/>
        </w:r>
        <w:r>
          <w:rPr>
            <w:noProof/>
            <w:webHidden/>
          </w:rPr>
          <w:t>2</w:t>
        </w:r>
        <w:r>
          <w:rPr>
            <w:noProof/>
            <w:webHidden/>
          </w:rPr>
          <w:fldChar w:fldCharType="end"/>
        </w:r>
      </w:hyperlink>
    </w:p>
    <w:p w14:paraId="77D54F31" w14:textId="3AF8E2D4" w:rsidR="00223586" w:rsidRDefault="00223586">
      <w:pPr>
        <w:pStyle w:val="TableofFigures"/>
        <w:rPr>
          <w:rFonts w:asciiTheme="minorHAnsi" w:eastAsiaTheme="minorEastAsia" w:hAnsiTheme="minorHAnsi" w:cstheme="minorBidi"/>
          <w:noProof/>
          <w:kern w:val="2"/>
          <w14:ligatures w14:val="standardContextual"/>
        </w:rPr>
      </w:pPr>
      <w:hyperlink w:anchor="_Toc192581591" w:history="1">
        <w:r w:rsidRPr="0086740C">
          <w:rPr>
            <w:rStyle w:val="Hyperlink"/>
            <w:noProof/>
          </w:rPr>
          <w:t>Table 3. CPAS – Electric</w:t>
        </w:r>
        <w:r>
          <w:rPr>
            <w:noProof/>
            <w:webHidden/>
          </w:rPr>
          <w:tab/>
        </w:r>
        <w:r>
          <w:rPr>
            <w:noProof/>
            <w:webHidden/>
          </w:rPr>
          <w:fldChar w:fldCharType="begin"/>
        </w:r>
        <w:r>
          <w:rPr>
            <w:noProof/>
            <w:webHidden/>
          </w:rPr>
          <w:instrText xml:space="preserve"> PAGEREF _Toc192581591 \h </w:instrText>
        </w:r>
        <w:r>
          <w:rPr>
            <w:noProof/>
            <w:webHidden/>
          </w:rPr>
        </w:r>
        <w:r>
          <w:rPr>
            <w:noProof/>
            <w:webHidden/>
          </w:rPr>
          <w:fldChar w:fldCharType="separate"/>
        </w:r>
        <w:r>
          <w:rPr>
            <w:noProof/>
            <w:webHidden/>
          </w:rPr>
          <w:t>3</w:t>
        </w:r>
        <w:r>
          <w:rPr>
            <w:noProof/>
            <w:webHidden/>
          </w:rPr>
          <w:fldChar w:fldCharType="end"/>
        </w:r>
      </w:hyperlink>
    </w:p>
    <w:p w14:paraId="1071E300" w14:textId="4D4BF845" w:rsidR="006313E5" w:rsidRPr="00FA4A7C" w:rsidRDefault="006313E5">
      <w:r>
        <w:fldChar w:fldCharType="end"/>
      </w:r>
      <w:bookmarkStart w:id="6" w:name="_Toc151371877"/>
      <w:bookmarkStart w:id="7" w:name="_Toc181693463"/>
      <w:bookmarkStart w:id="8" w:name="_Toc181693484"/>
    </w:p>
    <w:p w14:paraId="1071E301" w14:textId="77777777" w:rsidR="006313E5" w:rsidRDefault="006313E5">
      <w:pPr>
        <w:suppressAutoHyphens w:val="0"/>
        <w:spacing w:before="0" w:after="0"/>
        <w:rPr>
          <w:rFonts w:ascii="Arial" w:eastAsia="Calibri" w:hAnsi="Arial"/>
          <w:b/>
          <w:sz w:val="32"/>
          <w:szCs w:val="22"/>
        </w:rPr>
        <w:sectPr w:rsidR="006313E5" w:rsidSect="00900686">
          <w:pgSz w:w="12240" w:h="15840" w:code="1"/>
          <w:pgMar w:top="1440" w:right="1440" w:bottom="1440" w:left="1440" w:header="720" w:footer="720" w:gutter="0"/>
          <w:pgNumType w:fmt="lowerRoman"/>
          <w:cols w:space="720"/>
          <w:docGrid w:linePitch="360"/>
        </w:sectPr>
      </w:pPr>
    </w:p>
    <w:p w14:paraId="602F21B3" w14:textId="77777777" w:rsidR="00BD499D" w:rsidRDefault="00BD499D" w:rsidP="00BD499D">
      <w:pPr>
        <w:pStyle w:val="Heading10"/>
      </w:pPr>
      <w:bookmarkStart w:id="9" w:name="_Toc151976667"/>
      <w:bookmarkStart w:id="10" w:name="_Toc192581586"/>
      <w:bookmarkEnd w:id="6"/>
      <w:bookmarkEnd w:id="7"/>
      <w:bookmarkEnd w:id="8"/>
      <w:r>
        <w:lastRenderedPageBreak/>
        <w:t>Introduction</w:t>
      </w:r>
      <w:bookmarkEnd w:id="9"/>
      <w:bookmarkEnd w:id="10"/>
    </w:p>
    <w:p w14:paraId="0B2CCAC3" w14:textId="77777777" w:rsidR="00BD499D" w:rsidRPr="00D937E4" w:rsidRDefault="00BD499D" w:rsidP="00BD499D">
      <w:pPr>
        <w:pStyle w:val="BodyText"/>
      </w:pPr>
      <w:r w:rsidRPr="00F64B8B">
        <w:t xml:space="preserve">This report presents </w:t>
      </w:r>
      <w:r>
        <w:t>the results of the impact evaluation of the Residential Behavior Program from the program year from January 1 to December 31, 2024 (CY2024)</w:t>
      </w:r>
      <w:r w:rsidRPr="00B52A58">
        <w:t xml:space="preserve">. </w:t>
      </w:r>
      <w:r>
        <w:t>The program was designed to generate energy savings by providing residential customers with information about energy use and conservation strategies. Program participants receive information from regularly mailed and emailed home energy reports.</w:t>
      </w:r>
    </w:p>
    <w:p w14:paraId="506B628C" w14:textId="77777777" w:rsidR="00BD499D" w:rsidRDefault="00BD499D" w:rsidP="00BD499D">
      <w:pPr>
        <w:pStyle w:val="Heading10"/>
      </w:pPr>
      <w:bookmarkStart w:id="11" w:name="_Toc151976668"/>
      <w:bookmarkStart w:id="12" w:name="_Toc192581587"/>
      <w:r>
        <w:t>Program Savings Detail</w:t>
      </w:r>
      <w:bookmarkEnd w:id="11"/>
      <w:bookmarkEnd w:id="12"/>
    </w:p>
    <w:bookmarkStart w:id="13" w:name="_Hlk117035428"/>
    <w:p w14:paraId="1071E30A" w14:textId="7AC161CB" w:rsidR="006313E5" w:rsidRDefault="00BD499D" w:rsidP="00BD499D">
      <w:pPr>
        <w:pStyle w:val="BodyText"/>
      </w:pPr>
      <w:r w:rsidRPr="008E2DD7">
        <w:fldChar w:fldCharType="begin"/>
      </w:r>
      <w:r w:rsidRPr="008E2DD7">
        <w:instrText xml:space="preserve"> REF _Ref482008337 \h </w:instrText>
      </w:r>
      <w:r>
        <w:instrText xml:space="preserve"> \* MERGEFORMAT </w:instrText>
      </w:r>
      <w:r w:rsidRPr="008E2DD7">
        <w:fldChar w:fldCharType="separate"/>
      </w:r>
      <w:r w:rsidR="00223586">
        <w:t xml:space="preserve">Table </w:t>
      </w:r>
      <w:r w:rsidR="00223586">
        <w:rPr>
          <w:noProof/>
        </w:rPr>
        <w:t>1</w:t>
      </w:r>
      <w:r w:rsidRPr="008E2DD7">
        <w:fldChar w:fldCharType="end"/>
      </w:r>
      <w:bookmarkEnd w:id="13"/>
      <w:r w:rsidRPr="008E2DD7">
        <w:t xml:space="preserve"> summarizes the incremental energy and demand savings the </w:t>
      </w:r>
      <w:r>
        <w:t>Residential</w:t>
      </w:r>
      <w:r w:rsidRPr="008E2DD7">
        <w:t xml:space="preserve"> </w:t>
      </w:r>
      <w:r>
        <w:t xml:space="preserve">Behavior </w:t>
      </w:r>
      <w:r w:rsidRPr="008E2DD7">
        <w:t>Program achieved in CY202</w:t>
      </w:r>
      <w:r>
        <w:t>4</w:t>
      </w:r>
      <w:r w:rsidRPr="008E2DD7">
        <w:t xml:space="preserve">. </w:t>
      </w:r>
      <w:r>
        <w:t>Since the randomized control trial (RCT) design of the Residential Behavior Program inherently estimates net savings, neither the evaluation team nor the implementer estimated gross savings and there is no gross realization rate or net-to-gross ratio. Similarly, the RCT cannot identify specific measures that produce savings and so cannot calculate electrification savings, and it is based on electricity consumption and so cannot calculate savings from other fuels</w:t>
      </w:r>
      <w:r w:rsidR="006313E5" w:rsidRPr="008E2DD7">
        <w:t>.</w:t>
      </w:r>
    </w:p>
    <w:p w14:paraId="1071E30B" w14:textId="17084177" w:rsidR="006313E5" w:rsidRDefault="006313E5">
      <w:pPr>
        <w:pStyle w:val="Caption"/>
      </w:pPr>
      <w:bookmarkStart w:id="14" w:name="_Ref482008337"/>
      <w:bookmarkStart w:id="15" w:name="_Toc398546653"/>
      <w:bookmarkStart w:id="16" w:name="_Toc423009515"/>
      <w:bookmarkStart w:id="17" w:name="_Toc426278633"/>
      <w:bookmarkStart w:id="18" w:name="_Toc88241752"/>
      <w:bookmarkStart w:id="19" w:name="_Toc159919732"/>
      <w:bookmarkStart w:id="20" w:name="_Toc192581589"/>
      <w:r>
        <w:t xml:space="preserve">Table </w:t>
      </w:r>
      <w:r>
        <w:fldChar w:fldCharType="begin"/>
      </w:r>
      <w:r>
        <w:instrText>SEQ Table \* ARABIC</w:instrText>
      </w:r>
      <w:r>
        <w:fldChar w:fldCharType="separate"/>
      </w:r>
      <w:r w:rsidR="00223586">
        <w:rPr>
          <w:noProof/>
        </w:rPr>
        <w:t>1</w:t>
      </w:r>
      <w:r>
        <w:fldChar w:fldCharType="end"/>
      </w:r>
      <w:bookmarkEnd w:id="14"/>
      <w:r w:rsidRPr="00F7087A">
        <w:t>. Total Annual Incremen</w:t>
      </w:r>
      <w:r>
        <w:t>t</w:t>
      </w:r>
      <w:r w:rsidRPr="00F7087A">
        <w:t>al Electric Savings</w:t>
      </w:r>
      <w:bookmarkEnd w:id="15"/>
      <w:bookmarkEnd w:id="16"/>
      <w:bookmarkEnd w:id="17"/>
      <w:bookmarkEnd w:id="18"/>
      <w:r>
        <w:t xml:space="preserve"> - Total</w:t>
      </w:r>
      <w:bookmarkStart w:id="21" w:name="Table_1"/>
      <w:bookmarkEnd w:id="19"/>
      <w:bookmarkEnd w:id="20"/>
      <w:bookmarkEnd w:id="21"/>
    </w:p>
    <w:tbl>
      <w:tblPr>
        <w:tblW w:w="5000" w:type="pct"/>
        <w:jc w:val="center"/>
        <w:tblLook w:val="0420" w:firstRow="1" w:lastRow="0" w:firstColumn="0" w:lastColumn="0" w:noHBand="0" w:noVBand="1"/>
      </w:tblPr>
      <w:tblGrid>
        <w:gridCol w:w="2114"/>
        <w:gridCol w:w="325"/>
        <w:gridCol w:w="854"/>
        <w:gridCol w:w="1114"/>
        <w:gridCol w:w="849"/>
        <w:gridCol w:w="1055"/>
        <w:gridCol w:w="1041"/>
        <w:gridCol w:w="1041"/>
        <w:gridCol w:w="967"/>
      </w:tblGrid>
      <w:tr w:rsidR="008E35B0" w14:paraId="1071E315" w14:textId="77777777" w:rsidTr="002B31E0">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71E30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71E30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71E30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71E30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71E31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71E31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71E31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71E31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71E31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8E35B0" w14:paraId="1071E31F" w14:textId="77777777" w:rsidTr="002B31E0">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1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1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18"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19"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1A"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1B"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1C"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1D"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1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100,555,672</w:t>
            </w:r>
          </w:p>
        </w:tc>
      </w:tr>
      <w:tr w:rsidR="008E35B0" w14:paraId="1071E329" w14:textId="77777777" w:rsidTr="002B31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2"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3"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4"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5"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6"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7"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333" w14:textId="77777777" w:rsidTr="002B31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C"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D"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E"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2F"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0"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1"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33D" w14:textId="77777777" w:rsidTr="002B31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6"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7"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8"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9"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A"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B"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347" w14:textId="77777777" w:rsidTr="002B31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3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0"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1"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2"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3"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4"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5"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100,555,672</w:t>
            </w:r>
          </w:p>
        </w:tc>
      </w:tr>
      <w:tr w:rsidR="008E35B0" w14:paraId="1071E351" w14:textId="77777777" w:rsidTr="002B31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A"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B"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C"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D"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E"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4F"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50" w14:textId="7CCA3393" w:rsidR="008E35B0" w:rsidRDefault="001D237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r>
      <w:tr w:rsidR="008E35B0" w14:paraId="1071E35B" w14:textId="77777777" w:rsidTr="002B31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5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5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54"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55"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56"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57"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58"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59"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35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17,356</w:t>
            </w:r>
          </w:p>
        </w:tc>
      </w:tr>
      <w:tr w:rsidR="008E35B0" w14:paraId="1071E365" w14:textId="77777777" w:rsidTr="002B31E0">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35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w:t>
            </w:r>
            <w:r>
              <w:rPr>
                <w:rFonts w:ascii="Arial" w:eastAsia="DejaVu Sans" w:hAnsi="DejaVu Sans" w:cs="DejaVu Sans"/>
                <w:color w:val="000000"/>
                <w:sz w:val="14"/>
                <w:szCs w:val="14"/>
              </w:rPr>
              <w:br/>
              <w:t xml:space="preserve">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35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35E"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35F"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360"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361"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362"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363"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364" w14:textId="617636F5" w:rsidR="008E35B0" w:rsidRDefault="001D237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r>
    </w:tbl>
    <w:p w14:paraId="5B5B9E21" w14:textId="572695F8" w:rsidR="002B31E0" w:rsidRDefault="002B31E0">
      <w:pPr>
        <w:pStyle w:val="TableFigureNote"/>
      </w:pPr>
      <w:r>
        <w:t>All gross savings columns are intentionally blank as the RCT design inherently estimates net savings and therefore neither the evaluation team nor the implementer estimated gross savings.</w:t>
      </w:r>
    </w:p>
    <w:p w14:paraId="1071E366" w14:textId="5C845271" w:rsidR="006313E5" w:rsidRPr="0085537E" w:rsidRDefault="006313E5">
      <w:pPr>
        <w:pStyle w:val="TableFigureNote"/>
      </w:pPr>
      <w:r w:rsidRPr="0085537E">
        <w:t>N/A = not applicable (refers to a piece of data that cannot be produced or does not apply).</w:t>
      </w:r>
    </w:p>
    <w:p w14:paraId="1071E367" w14:textId="77777777" w:rsidR="006313E5" w:rsidRDefault="006313E5">
      <w:pPr>
        <w:pStyle w:val="TableFigureNote"/>
      </w:pPr>
      <w:r>
        <w:t xml:space="preserve">* The “Ex Ante Gross Savings" and “Verified Gross Savings" in row one (Electric Energy Savings - Direct) and row seven (Summer Peak Demand Savings) exclude gross carryover savings from CY2022 and CY2023. </w:t>
      </w:r>
    </w:p>
    <w:p w14:paraId="1071E368" w14:textId="77777777" w:rsidR="006313E5" w:rsidRDefault="006313E5">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1071E36A" w14:textId="61099159" w:rsidR="006313E5" w:rsidRDefault="006313E5">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secondary kWh savings from wastewater treatment, and electric heating penalties.</w:t>
      </w:r>
    </w:p>
    <w:p w14:paraId="1071E36B" w14:textId="77777777" w:rsidR="006313E5" w:rsidRDefault="006313E5">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 xml:space="preserve">using an efficiency baseline, which can be claimable towards ComEd’s electric savings goal (applied to only midstream </w:t>
      </w:r>
      <w:r>
        <w:lastRenderedPageBreak/>
        <w:t>programs).</w:t>
      </w:r>
      <w:r>
        <w:rPr>
          <w:rStyle w:val="FootnoteReference"/>
        </w:rPr>
        <w:footnoteReference w:id="2"/>
      </w:r>
      <w:r>
        <w:t xml:space="preserve"> The evaluation team determined which electrification savings are allocated toward ComEd's electrification savings goal, and which portion of electrification are converted to traditional efficiency electric savings based on analysis of portfolio-wide verified savings.</w:t>
      </w:r>
    </w:p>
    <w:p w14:paraId="1071E36C" w14:textId="77777777" w:rsidR="006313E5" w:rsidRDefault="006313E5">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1071E36D" w14:textId="77777777" w:rsidR="006313E5" w:rsidRDefault="006313E5">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1071E36F" w14:textId="77777777" w:rsidR="006313E5" w:rsidRPr="008812EE" w:rsidRDefault="006313E5">
      <w:pPr>
        <w:pStyle w:val="TableFigureSource"/>
      </w:pPr>
      <w:r w:rsidRPr="008812EE">
        <w:t>Source: Evaluation team analysis</w:t>
      </w:r>
    </w:p>
    <w:p w14:paraId="22DF1F16" w14:textId="6BF7BDDC" w:rsidR="00E859D1" w:rsidRPr="00BE20F8" w:rsidRDefault="00DF10F3" w:rsidP="00E859D1">
      <w:pPr>
        <w:pStyle w:val="BodyText"/>
      </w:pPr>
      <w:r>
        <w:fldChar w:fldCharType="begin"/>
      </w:r>
      <w:r>
        <w:instrText xml:space="preserve"> REF _Ref187399174 \h </w:instrText>
      </w:r>
      <w:r>
        <w:fldChar w:fldCharType="separate"/>
      </w:r>
      <w:r w:rsidR="00223586">
        <w:t xml:space="preserve">Table </w:t>
      </w:r>
      <w:r w:rsidR="00223586">
        <w:rPr>
          <w:noProof/>
        </w:rPr>
        <w:t>2</w:t>
      </w:r>
      <w:r>
        <w:fldChar w:fldCharType="end"/>
      </w:r>
      <w:r w:rsidR="00E859D1">
        <w:t xml:space="preserve"> provides the detailed adjustments made to arrive at the final verified net savings for CY2024 and reports the program net realization rate. Of the model</w:t>
      </w:r>
      <w:r w:rsidR="2EB833C9">
        <w:t>ed</w:t>
      </w:r>
      <w:r w:rsidR="00E859D1">
        <w:t xml:space="preserve"> savings, 4% are from uplift into other ComEd energy efficiency programs</w:t>
      </w:r>
      <w:r>
        <w:t>,</w:t>
      </w:r>
      <w:r w:rsidR="00E859D1">
        <w:t xml:space="preserve"> and over half (57%) are attributable to prior program years. After the uplift and persistence adjustments, the program achieved a net realization rate of 0.99. </w:t>
      </w:r>
    </w:p>
    <w:p w14:paraId="64B864C8" w14:textId="26CCE414" w:rsidR="00E859D1" w:rsidRDefault="00E859D1" w:rsidP="00E859D1">
      <w:pPr>
        <w:pStyle w:val="Caption"/>
      </w:pPr>
      <w:bookmarkStart w:id="22" w:name="_Ref187399174"/>
      <w:bookmarkStart w:id="23" w:name="_Toc159919733"/>
      <w:bookmarkStart w:id="24" w:name="_Ref191630397"/>
      <w:bookmarkStart w:id="25" w:name="_Toc191639515"/>
      <w:bookmarkStart w:id="26" w:name="_Toc192581590"/>
      <w:r>
        <w:t xml:space="preserve">Table </w:t>
      </w:r>
      <w:r>
        <w:fldChar w:fldCharType="begin"/>
      </w:r>
      <w:r>
        <w:instrText>SEQ Table \* ARABIC</w:instrText>
      </w:r>
      <w:r>
        <w:fldChar w:fldCharType="separate"/>
      </w:r>
      <w:r w:rsidR="00223586">
        <w:rPr>
          <w:noProof/>
        </w:rPr>
        <w:t>2</w:t>
      </w:r>
      <w:r>
        <w:fldChar w:fldCharType="end"/>
      </w:r>
      <w:bookmarkEnd w:id="22"/>
      <w:r w:rsidRPr="00F7087A">
        <w:t xml:space="preserve">. </w:t>
      </w:r>
      <w:bookmarkEnd w:id="23"/>
      <w:bookmarkEnd w:id="24"/>
      <w:r>
        <w:t>Total Program Net Electric Savings - Total</w:t>
      </w:r>
      <w:bookmarkEnd w:id="25"/>
      <w:bookmarkEnd w:id="26"/>
    </w:p>
    <w:tbl>
      <w:tblPr>
        <w:tblW w:w="2212" w:type="pct"/>
        <w:jc w:val="center"/>
        <w:tblLook w:val="0420" w:firstRow="1" w:lastRow="0" w:firstColumn="0" w:lastColumn="0" w:noHBand="0" w:noVBand="1"/>
      </w:tblPr>
      <w:tblGrid>
        <w:gridCol w:w="2610"/>
        <w:gridCol w:w="1531"/>
      </w:tblGrid>
      <w:tr w:rsidR="00E859D1" w:rsidRPr="002B1830" w14:paraId="1123C4D0" w14:textId="77777777">
        <w:trPr>
          <w:tblHeader/>
          <w:jc w:val="center"/>
        </w:trPr>
        <w:tc>
          <w:tcPr>
            <w:tcW w:w="315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FF4C0A"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FFFFFF"/>
                <w:sz w:val="18"/>
                <w:szCs w:val="18"/>
              </w:rPr>
            </w:pPr>
            <w:r w:rsidRPr="002B1830">
              <w:rPr>
                <w:rFonts w:ascii="Arial" w:eastAsia="DejaVu Sans" w:hAnsi="DejaVu Sans" w:cs="DejaVu Sans"/>
                <w:color w:val="FFFFFF"/>
                <w:sz w:val="18"/>
                <w:szCs w:val="18"/>
              </w:rPr>
              <w:t>Savings Category</w:t>
            </w:r>
          </w:p>
        </w:tc>
        <w:tc>
          <w:tcPr>
            <w:tcW w:w="184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D14C705"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FFFFFF"/>
                <w:sz w:val="18"/>
                <w:szCs w:val="18"/>
              </w:rPr>
            </w:pPr>
            <w:r w:rsidRPr="002B1830">
              <w:rPr>
                <w:rFonts w:ascii="Arial" w:eastAsia="DejaVu Sans" w:hAnsi="DejaVu Sans" w:cs="DejaVu Sans"/>
                <w:color w:val="FFFFFF"/>
                <w:sz w:val="18"/>
                <w:szCs w:val="18"/>
              </w:rPr>
              <w:t>Energy Savings (kWh)</w:t>
            </w:r>
          </w:p>
        </w:tc>
      </w:tr>
      <w:tr w:rsidR="00E859D1" w:rsidRPr="002B1830" w14:paraId="134ACCB5" w14:textId="77777777">
        <w:trPr>
          <w:jc w:val="center"/>
        </w:trPr>
        <w:tc>
          <w:tcPr>
            <w:tcW w:w="315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229AB"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Ex Ante Savings</w:t>
            </w:r>
          </w:p>
        </w:tc>
        <w:tc>
          <w:tcPr>
            <w:tcW w:w="184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55140"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101,492,000</w:t>
            </w:r>
          </w:p>
        </w:tc>
      </w:tr>
      <w:tr w:rsidR="00E859D1" w:rsidRPr="002B1830" w14:paraId="57F1DB02" w14:textId="77777777">
        <w:trPr>
          <w:jc w:val="center"/>
        </w:trPr>
        <w:tc>
          <w:tcPr>
            <w:tcW w:w="31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9C0808"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Modeled Savings</w:t>
            </w:r>
          </w:p>
        </w:tc>
        <w:tc>
          <w:tcPr>
            <w:tcW w:w="18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CF14C"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257,516,041</w:t>
            </w:r>
          </w:p>
        </w:tc>
      </w:tr>
      <w:tr w:rsidR="00E859D1" w:rsidRPr="002B1830" w14:paraId="0DBA44D0" w14:textId="77777777">
        <w:trPr>
          <w:jc w:val="center"/>
        </w:trPr>
        <w:tc>
          <w:tcPr>
            <w:tcW w:w="31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6BB2DE"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Current Year Uplift Adjustment</w:t>
            </w:r>
          </w:p>
        </w:tc>
        <w:tc>
          <w:tcPr>
            <w:tcW w:w="18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9D200"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(345,149)</w:t>
            </w:r>
          </w:p>
        </w:tc>
      </w:tr>
      <w:tr w:rsidR="00E859D1" w:rsidRPr="002B1830" w14:paraId="502EC004" w14:textId="77777777">
        <w:trPr>
          <w:jc w:val="center"/>
        </w:trPr>
        <w:tc>
          <w:tcPr>
            <w:tcW w:w="31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EE87E0"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Legacy Uplift Adjustment</w:t>
            </w:r>
          </w:p>
        </w:tc>
        <w:tc>
          <w:tcPr>
            <w:tcW w:w="18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DF6B94"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(11,100,331)</w:t>
            </w:r>
          </w:p>
        </w:tc>
      </w:tr>
      <w:tr w:rsidR="00E859D1" w:rsidRPr="002B1830" w14:paraId="41EEF480" w14:textId="77777777">
        <w:trPr>
          <w:jc w:val="center"/>
        </w:trPr>
        <w:tc>
          <w:tcPr>
            <w:tcW w:w="31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893C96"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Verified Unadjusted Net Savings</w:t>
            </w:r>
          </w:p>
        </w:tc>
        <w:tc>
          <w:tcPr>
            <w:tcW w:w="18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61CE3"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246,070,561</w:t>
            </w:r>
          </w:p>
        </w:tc>
      </w:tr>
      <w:tr w:rsidR="00E859D1" w:rsidRPr="002B1830" w14:paraId="4670341E" w14:textId="77777777">
        <w:trPr>
          <w:jc w:val="center"/>
        </w:trPr>
        <w:tc>
          <w:tcPr>
            <w:tcW w:w="31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26A9A5"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 xml:space="preserve">Persistence Adjustment </w:t>
            </w:r>
          </w:p>
        </w:tc>
        <w:tc>
          <w:tcPr>
            <w:tcW w:w="18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6DBEE"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(145,514,890)</w:t>
            </w:r>
          </w:p>
        </w:tc>
      </w:tr>
      <w:tr w:rsidR="00E859D1" w:rsidRPr="002B1830" w14:paraId="5CC066CE" w14:textId="77777777">
        <w:trPr>
          <w:jc w:val="center"/>
        </w:trPr>
        <w:tc>
          <w:tcPr>
            <w:tcW w:w="31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8C4A13"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Final Verified Net Savings</w:t>
            </w:r>
          </w:p>
        </w:tc>
        <w:tc>
          <w:tcPr>
            <w:tcW w:w="18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02994F"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100,555,672</w:t>
            </w:r>
          </w:p>
        </w:tc>
      </w:tr>
      <w:tr w:rsidR="00E859D1" w:rsidRPr="002B1830" w14:paraId="4BA1EB37" w14:textId="77777777">
        <w:trPr>
          <w:jc w:val="center"/>
        </w:trPr>
        <w:tc>
          <w:tcPr>
            <w:tcW w:w="315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34D775"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Program Net Realization Rate</w:t>
            </w:r>
          </w:p>
        </w:tc>
        <w:tc>
          <w:tcPr>
            <w:tcW w:w="184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23A8F8C" w14:textId="77777777" w:rsidR="00E859D1" w:rsidRPr="002B1830" w:rsidRDefault="00E859D1">
            <w:pPr>
              <w:pBdr>
                <w:top w:val="none" w:sz="0" w:space="0" w:color="000000"/>
                <w:left w:val="none" w:sz="0" w:space="0" w:color="000000"/>
                <w:bottom w:val="none" w:sz="0" w:space="0" w:color="000000"/>
                <w:right w:val="none" w:sz="0" w:space="0" w:color="000000"/>
              </w:pBdr>
              <w:spacing w:before="6" w:after="6"/>
              <w:ind w:left="6" w:right="6"/>
              <w:jc w:val="right"/>
              <w:rPr>
                <w:rFonts w:ascii="Arial" w:eastAsia="DejaVu Sans" w:hAnsi="DejaVu Sans" w:cs="DejaVu Sans"/>
                <w:color w:val="000000"/>
                <w:sz w:val="18"/>
                <w:szCs w:val="18"/>
              </w:rPr>
            </w:pPr>
            <w:r w:rsidRPr="002B1830">
              <w:rPr>
                <w:rFonts w:ascii="Arial" w:eastAsia="DejaVu Sans" w:hAnsi="DejaVu Sans" w:cs="DejaVu Sans"/>
                <w:color w:val="000000"/>
                <w:sz w:val="18"/>
                <w:szCs w:val="18"/>
              </w:rPr>
              <w:t>0.99</w:t>
            </w:r>
          </w:p>
        </w:tc>
      </w:tr>
    </w:tbl>
    <w:p w14:paraId="1DC9727A" w14:textId="77777777" w:rsidR="00E859D1" w:rsidRDefault="00E859D1" w:rsidP="00E859D1">
      <w:pPr>
        <w:pStyle w:val="TableFigureSource"/>
      </w:pPr>
      <w:r>
        <w:tab/>
      </w:r>
      <w:r>
        <w:tab/>
      </w:r>
      <w:r>
        <w:tab/>
        <w:t xml:space="preserve">        </w:t>
      </w:r>
      <w:r w:rsidRPr="537FA5AC">
        <w:rPr>
          <w:rFonts w:eastAsia="Arial" w:cs="Arial"/>
        </w:rPr>
        <w:t>Source: Evaluation team analysis</w:t>
      </w:r>
    </w:p>
    <w:p w14:paraId="1071E42F" w14:textId="77777777" w:rsidR="006313E5" w:rsidRPr="00470CF3" w:rsidRDefault="006313E5">
      <w:pPr>
        <w:suppressAutoHyphens w:val="0"/>
        <w:spacing w:before="0" w:after="0"/>
        <w:rPr>
          <w:rFonts w:ascii="Arial" w:hAnsi="Arial"/>
          <w:sz w:val="22"/>
          <w:szCs w:val="20"/>
        </w:rPr>
      </w:pPr>
      <w:r>
        <w:br w:type="page"/>
      </w:r>
    </w:p>
    <w:p w14:paraId="1071E430" w14:textId="77777777" w:rsidR="006313E5" w:rsidRDefault="006313E5">
      <w:pPr>
        <w:pStyle w:val="Heading10"/>
        <w:sectPr w:rsidR="006313E5">
          <w:pgSz w:w="12240" w:h="15840" w:code="1"/>
          <w:pgMar w:top="1440" w:right="1440" w:bottom="1440" w:left="1440" w:header="720" w:footer="720" w:gutter="0"/>
          <w:pgNumType w:start="1"/>
          <w:cols w:space="720"/>
          <w:docGrid w:linePitch="360"/>
        </w:sectPr>
      </w:pPr>
      <w:bookmarkStart w:id="27" w:name="_Toc151976669"/>
    </w:p>
    <w:p w14:paraId="1071E431" w14:textId="77777777" w:rsidR="006313E5" w:rsidRDefault="006313E5">
      <w:pPr>
        <w:pStyle w:val="Heading10"/>
      </w:pPr>
      <w:bookmarkStart w:id="28" w:name="_Toc192581588"/>
      <w:r>
        <w:lastRenderedPageBreak/>
        <w:t>Cumulative Persisting Annual Savings</w:t>
      </w:r>
      <w:bookmarkEnd w:id="27"/>
      <w:bookmarkEnd w:id="28"/>
    </w:p>
    <w:bookmarkStart w:id="29" w:name="_Ref105417109"/>
    <w:bookmarkStart w:id="30" w:name="_Toc159919735"/>
    <w:p w14:paraId="42705618" w14:textId="4266FF6A" w:rsidR="009D34B4" w:rsidRDefault="009B43E7" w:rsidP="009D34B4">
      <w:pPr>
        <w:pStyle w:val="BodyText"/>
      </w:pPr>
      <w:r>
        <w:fldChar w:fldCharType="begin"/>
      </w:r>
      <w:r>
        <w:instrText xml:space="preserve"> REF _Ref191993632 \h </w:instrText>
      </w:r>
      <w:r>
        <w:fldChar w:fldCharType="separate"/>
      </w:r>
      <w:r w:rsidR="00223586">
        <w:t xml:space="preserve">Table </w:t>
      </w:r>
      <w:r w:rsidR="00223586">
        <w:rPr>
          <w:noProof/>
        </w:rPr>
        <w:t>3</w:t>
      </w:r>
      <w:r>
        <w:fldChar w:fldCharType="end"/>
      </w:r>
      <w:r w:rsidR="009D34B4">
        <w:t xml:space="preserve"> shows the </w:t>
      </w:r>
      <w:r w:rsidR="009D34B4" w:rsidRPr="00B52A58">
        <w:t xml:space="preserve">cumulative </w:t>
      </w:r>
      <w:r w:rsidR="009D34B4" w:rsidRPr="008419F0">
        <w:t xml:space="preserve">persisting annual savings (CPAS) for the measures installed in </w:t>
      </w:r>
      <w:r w:rsidR="009D34B4">
        <w:t>CY2024.</w:t>
      </w:r>
      <w:r w:rsidR="009D34B4" w:rsidRPr="008419F0">
        <w:t xml:space="preserve"> </w:t>
      </w:r>
    </w:p>
    <w:p w14:paraId="1071E435" w14:textId="42EBA5C5" w:rsidR="006313E5" w:rsidRDefault="006313E5">
      <w:pPr>
        <w:pStyle w:val="Caption"/>
      </w:pPr>
      <w:bookmarkStart w:id="31" w:name="_Ref191993632"/>
      <w:bookmarkStart w:id="32" w:name="_Toc192581591"/>
      <w:r>
        <w:t xml:space="preserve">Table </w:t>
      </w:r>
      <w:r>
        <w:fldChar w:fldCharType="begin"/>
      </w:r>
      <w:r>
        <w:instrText>SEQ Table \* ARABIC</w:instrText>
      </w:r>
      <w:r>
        <w:fldChar w:fldCharType="separate"/>
      </w:r>
      <w:r w:rsidR="00223586">
        <w:rPr>
          <w:noProof/>
        </w:rPr>
        <w:t>3</w:t>
      </w:r>
      <w:r>
        <w:fldChar w:fldCharType="end"/>
      </w:r>
      <w:bookmarkEnd w:id="29"/>
      <w:bookmarkEnd w:id="31"/>
      <w:r>
        <w:t>. CPAS – Electric</w:t>
      </w:r>
      <w:bookmarkStart w:id="33" w:name="Table_4"/>
      <w:bookmarkEnd w:id="30"/>
      <w:bookmarkEnd w:id="32"/>
      <w:bookmarkEnd w:id="33"/>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8E35B0" w14:paraId="1071E439" w14:textId="77777777">
        <w:trPr>
          <w:tblHeader/>
          <w:jc w:val="center"/>
        </w:trPr>
        <w:tc>
          <w:tcPr>
            <w:tcW w:w="603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1071E436"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1071E43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7056"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1071E438"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8E35B0" w14:paraId="1071E448"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3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3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3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3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3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3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4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4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4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4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4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4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4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4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8E35B0" w14:paraId="1071E457"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4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4A" w14:textId="4CA42B30"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4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358,650,175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4C"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4D"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4E"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4F"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0"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1"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100,555,672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73,528,138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53,909,309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38,942,953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28,744,286</w:t>
            </w:r>
          </w:p>
        </w:tc>
      </w:tr>
      <w:tr w:rsidR="008E35B0" w14:paraId="1071E466"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9"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A"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279,539,772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255,950,948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240,435,808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249,725,611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5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259,799,415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228,488,841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145,460,772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91,482,189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57,945,186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41,797,893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30,247,195</w:t>
            </w:r>
          </w:p>
        </w:tc>
      </w:tr>
      <w:tr w:rsidR="008E35B0" w14:paraId="1071E475"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8" w14:textId="5119B1B2"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358,650,175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279,539,772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255,950,948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240,435,808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249,725,611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259,799,415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6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228,488,841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246,016,444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165,010,327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111,854,495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80,740,846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58,991,481</w:t>
            </w:r>
          </w:p>
        </w:tc>
      </w:tr>
      <w:tr w:rsidR="008E35B0" w14:paraId="1071E484"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7"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8"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9"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A"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B"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C"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D"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E"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7F"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27,027,534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19,618,828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14,966,356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10,198,667</w:t>
            </w:r>
          </w:p>
        </w:tc>
      </w:tr>
      <w:tr w:rsidR="008E35B0" w14:paraId="1071E493"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6"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7"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8"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9"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A"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B"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C"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D"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83,028,069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8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53,978,583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9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33,537,003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9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16,147,293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9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11,550,698</w:t>
            </w:r>
          </w:p>
        </w:tc>
      </w:tr>
      <w:tr w:rsidR="008E35B0" w14:paraId="1071E4A2"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5"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6"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7"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8"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9"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A"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B"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C"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83,028,069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81,006,117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9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53,155,831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A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31,113,649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A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21,749,365</w:t>
            </w:r>
          </w:p>
        </w:tc>
      </w:tr>
    </w:tbl>
    <w:p w14:paraId="1071E4A3" w14:textId="77777777" w:rsidR="006313E5" w:rsidRDefault="006313E5">
      <w:pPr>
        <w:spacing w:before="0" w:after="0"/>
      </w:pPr>
      <w:bookmarkStart w:id="34" w:name="Table_4_2"/>
      <w:bookmarkEnd w:id="34"/>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8E35B0" w14:paraId="1071E4B2"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A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B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4B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8E35B0" w14:paraId="1071E4C1"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4" w14:textId="526FC50B"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358,650,175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21,124,567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15,710,084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11,529,339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8,409,325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6,196,502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B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4D0"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3"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4"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21,918,696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15,731,435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11,301,848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4,948,028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C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4DF"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2" w14:textId="24E718DB"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358,650,175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43,043,263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31,441,519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22,831,187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13,357,353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6,196,502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D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4EE"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1"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2"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7,619,719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5,414,484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4,180,745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3,120,013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2,212,823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6,196,502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4FD"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E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0"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1"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8,328,499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6,187,261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4,429,587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6,353,820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4,948,028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4F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50C"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F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4FF"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0"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15,948,218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11,601,745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8,610,332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9,473,833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7,160,851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6,196,502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0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1071E50D" w14:textId="77777777" w:rsidR="006313E5" w:rsidRPr="00944D07" w:rsidRDefault="006313E5">
      <w:pPr>
        <w:spacing w:before="0" w:after="0"/>
      </w:pPr>
      <w:bookmarkStart w:id="35" w:name="Table_4_3"/>
      <w:bookmarkEnd w:id="35"/>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8E35B0" w14:paraId="1071E51C"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0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0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71E51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8E35B0" w14:paraId="1071E52B"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1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1E" w14:textId="4B7989F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1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358,650,175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53A"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D"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E"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2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549"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C" w14:textId="10AE9EFA"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358,650,175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3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558"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A"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B"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C"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4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7"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567"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9"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A"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B"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5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6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6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6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6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6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6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1E566"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8E35B0" w14:paraId="1071E576"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68"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69"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6A" w14:textId="77777777" w:rsidR="008E35B0" w:rsidRDefault="008E35B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6B"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6C"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6D"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6E"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6F"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70"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71"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72"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73"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74"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071E575" w14:textId="77777777" w:rsidR="008E35B0" w:rsidRDefault="006313E5">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6D248701" w14:textId="77777777" w:rsidR="00A14232" w:rsidRPr="0085537E" w:rsidRDefault="00A14232" w:rsidP="004265EF">
      <w:pPr>
        <w:pStyle w:val="TableFigureNote"/>
      </w:pPr>
      <w:r w:rsidRPr="007626D8">
        <w:t>All gross savings columns are intentionally blank as the RCT design inherently estimates net savings and therefore neither the evaluation team nor the implementer estimated gross savings.</w:t>
      </w:r>
    </w:p>
    <w:p w14:paraId="1071E577" w14:textId="77777777" w:rsidR="006313E5" w:rsidRPr="00C34E77" w:rsidRDefault="006313E5">
      <w:pPr>
        <w:pStyle w:val="TableFigureNote"/>
      </w:pPr>
      <w:r w:rsidRPr="00C34E77">
        <w:rPr>
          <w:rFonts w:eastAsiaTheme="minorEastAsia"/>
        </w:rPr>
        <w:t>† Lifetime savings are the sum of CPAS savings through the EUL.</w:t>
      </w:r>
    </w:p>
    <w:p w14:paraId="1071E578" w14:textId="77777777" w:rsidR="006313E5" w:rsidRDefault="006313E5">
      <w:pPr>
        <w:pStyle w:val="TableFigureNote"/>
        <w:keepNext w:val="0"/>
        <w:rPr>
          <w:rFonts w:eastAsiaTheme="minorEastAsia"/>
        </w:rPr>
      </w:pPr>
      <w:r w:rsidRPr="00C34E77">
        <w:rPr>
          <w:rFonts w:eastAsiaTheme="minorEastAsia"/>
        </w:rPr>
        <w:t xml:space="preserve">‡ Historical savings go back to CY2018. </w:t>
      </w:r>
    </w:p>
    <w:p w14:paraId="1071E579" w14:textId="77777777" w:rsidR="006313E5" w:rsidRPr="00C34E77" w:rsidRDefault="006313E5">
      <w:pPr>
        <w:pStyle w:val="TableFigureNote"/>
      </w:pPr>
      <w:r w:rsidRPr="00C34E77">
        <w:rPr>
          <w:rFonts w:eastAsiaTheme="minorEastAsia"/>
        </w:rPr>
        <w:t>§ Incremental expiring savings are equal to CPAS Yn-1 - CPAS Yn.</w:t>
      </w:r>
    </w:p>
    <w:p w14:paraId="1071E57A" w14:textId="77777777" w:rsidR="006313E5" w:rsidRPr="00C34E77" w:rsidRDefault="006313E5">
      <w:pPr>
        <w:pStyle w:val="TableFigureNote"/>
      </w:pPr>
      <w:r w:rsidRPr="00C34E77">
        <w:rPr>
          <w:rFonts w:eastAsiaTheme="minorEastAsia"/>
        </w:rPr>
        <w:t>|| Historic incremental expiring savings are equal to Historic CPAS Yn-1 – Historic CPAS Yn.</w:t>
      </w:r>
    </w:p>
    <w:p w14:paraId="1071E57B" w14:textId="77777777" w:rsidR="006313E5" w:rsidRPr="00C34E77" w:rsidRDefault="006313E5">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1071E57C" w14:textId="77777777" w:rsidR="006313E5" w:rsidRDefault="006313E5">
      <w:pPr>
        <w:pStyle w:val="TableFigureSource"/>
      </w:pPr>
      <w:r w:rsidRPr="00B361A6">
        <w:t>Source: Evaluation team analysis</w:t>
      </w:r>
    </w:p>
    <w:sectPr w:rsidR="006313E5" w:rsidSect="00900686">
      <w:headerReference w:type="default" r:id="rId17"/>
      <w:footerReference w:type="default" r:id="rId18"/>
      <w:type w:val="continuous"/>
      <w:pgSz w:w="20160" w:h="1656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BB6C" w14:textId="77777777" w:rsidR="00DF6FF9" w:rsidRDefault="00DF6FF9">
      <w:pPr>
        <w:spacing w:before="0" w:after="0"/>
      </w:pPr>
      <w:r>
        <w:separator/>
      </w:r>
    </w:p>
  </w:endnote>
  <w:endnote w:type="continuationSeparator" w:id="0">
    <w:p w14:paraId="02796857" w14:textId="77777777" w:rsidR="00DF6FF9" w:rsidRDefault="00DF6FF9">
      <w:pPr>
        <w:spacing w:before="0" w:after="0"/>
      </w:pPr>
      <w:r>
        <w:continuationSeparator/>
      </w:r>
    </w:p>
  </w:endnote>
  <w:endnote w:type="continuationNotice" w:id="1">
    <w:p w14:paraId="729D70C3" w14:textId="77777777" w:rsidR="00DF6FF9" w:rsidRDefault="00DF6F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D3154E" w:rsidRPr="00582062" w14:paraId="1071E883" w14:textId="77777777">
      <w:trPr>
        <w:trHeight w:val="144"/>
        <w:jc w:val="center"/>
      </w:trPr>
      <w:tc>
        <w:tcPr>
          <w:tcW w:w="7200" w:type="dxa"/>
          <w:tcBorders>
            <w:top w:val="single" w:sz="8" w:space="0" w:color="8C8C8C"/>
            <w:left w:val="nil"/>
            <w:bottom w:val="nil"/>
          </w:tcBorders>
        </w:tcPr>
        <w:p w14:paraId="1071E881" w14:textId="77777777" w:rsidR="006313E5" w:rsidRPr="00582062" w:rsidRDefault="006313E5">
          <w:pPr>
            <w:pStyle w:val="Footer"/>
            <w:spacing w:before="120"/>
            <w:rPr>
              <w:sz w:val="2"/>
              <w:szCs w:val="2"/>
            </w:rPr>
          </w:pPr>
        </w:p>
      </w:tc>
      <w:tc>
        <w:tcPr>
          <w:tcW w:w="2880" w:type="dxa"/>
          <w:tcBorders>
            <w:top w:val="single" w:sz="8" w:space="0" w:color="8C8C8C"/>
          </w:tcBorders>
        </w:tcPr>
        <w:p w14:paraId="1071E882" w14:textId="77777777" w:rsidR="006313E5" w:rsidRPr="00582062" w:rsidRDefault="006313E5">
          <w:pPr>
            <w:pStyle w:val="Footer"/>
            <w:spacing w:before="120"/>
            <w:jc w:val="right"/>
            <w:rPr>
              <w:sz w:val="2"/>
              <w:szCs w:val="2"/>
            </w:rPr>
          </w:pPr>
        </w:p>
      </w:tc>
    </w:tr>
    <w:tr w:rsidR="00D3154E" w:rsidRPr="00EA2FA5" w14:paraId="1071E886" w14:textId="77777777">
      <w:trPr>
        <w:trHeight w:val="195"/>
        <w:jc w:val="center"/>
      </w:trPr>
      <w:tc>
        <w:tcPr>
          <w:tcW w:w="7200" w:type="dxa"/>
          <w:tcBorders>
            <w:top w:val="nil"/>
            <w:left w:val="nil"/>
          </w:tcBorders>
          <w:vAlign w:val="center"/>
        </w:tcPr>
        <w:p w14:paraId="1071E884" w14:textId="77777777" w:rsidR="006313E5" w:rsidRPr="0075421C" w:rsidRDefault="006313E5">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1071E885" w14:textId="77777777" w:rsidR="006313E5" w:rsidRPr="0075421C" w:rsidRDefault="006313E5">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071E887" w14:textId="77777777" w:rsidR="006313E5" w:rsidRPr="000C64C5" w:rsidRDefault="006313E5">
    <w:pPr>
      <w:pStyle w:val="Footer"/>
      <w:ind w:right="360"/>
      <w:rPr>
        <w:sz w:val="2"/>
        <w:szCs w:val="2"/>
      </w:rPr>
    </w:pPr>
  </w:p>
  <w:p w14:paraId="1071E888" w14:textId="77777777" w:rsidR="006313E5" w:rsidRPr="008B6585" w:rsidRDefault="006313E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D3154E" w:rsidRPr="00582062" w14:paraId="1071E890" w14:textId="77777777">
      <w:trPr>
        <w:trHeight w:val="144"/>
        <w:jc w:val="center"/>
      </w:trPr>
      <w:tc>
        <w:tcPr>
          <w:tcW w:w="7200" w:type="dxa"/>
          <w:tcBorders>
            <w:top w:val="single" w:sz="8" w:space="0" w:color="8C8C8C"/>
            <w:left w:val="nil"/>
            <w:bottom w:val="nil"/>
          </w:tcBorders>
        </w:tcPr>
        <w:p w14:paraId="1071E88E" w14:textId="77777777" w:rsidR="006313E5" w:rsidRPr="00582062" w:rsidRDefault="006313E5">
          <w:pPr>
            <w:pStyle w:val="Footer"/>
            <w:spacing w:before="120"/>
            <w:rPr>
              <w:sz w:val="2"/>
              <w:szCs w:val="2"/>
            </w:rPr>
          </w:pPr>
        </w:p>
      </w:tc>
      <w:tc>
        <w:tcPr>
          <w:tcW w:w="2880" w:type="dxa"/>
          <w:tcBorders>
            <w:top w:val="single" w:sz="8" w:space="0" w:color="8C8C8C"/>
          </w:tcBorders>
        </w:tcPr>
        <w:p w14:paraId="1071E88F" w14:textId="77777777" w:rsidR="006313E5" w:rsidRPr="00582062" w:rsidRDefault="006313E5">
          <w:pPr>
            <w:pStyle w:val="Footer"/>
            <w:spacing w:before="120"/>
            <w:jc w:val="right"/>
            <w:rPr>
              <w:sz w:val="2"/>
              <w:szCs w:val="2"/>
            </w:rPr>
          </w:pPr>
        </w:p>
      </w:tc>
    </w:tr>
    <w:tr w:rsidR="00D3154E" w:rsidRPr="00EA2FA5" w14:paraId="1071E893" w14:textId="77777777">
      <w:trPr>
        <w:trHeight w:val="195"/>
        <w:jc w:val="center"/>
      </w:trPr>
      <w:tc>
        <w:tcPr>
          <w:tcW w:w="7200" w:type="dxa"/>
          <w:tcBorders>
            <w:top w:val="nil"/>
            <w:left w:val="nil"/>
          </w:tcBorders>
          <w:vAlign w:val="center"/>
        </w:tcPr>
        <w:p w14:paraId="1071E891" w14:textId="77777777" w:rsidR="006313E5" w:rsidRPr="0075421C" w:rsidRDefault="006313E5">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1071E892" w14:textId="77777777" w:rsidR="006313E5" w:rsidRPr="0075421C" w:rsidRDefault="006313E5">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071E894" w14:textId="77777777" w:rsidR="006313E5" w:rsidRPr="000C64C5" w:rsidRDefault="006313E5">
    <w:pPr>
      <w:pStyle w:val="Footer"/>
      <w:ind w:right="360"/>
      <w:rPr>
        <w:sz w:val="2"/>
        <w:szCs w:val="2"/>
      </w:rPr>
    </w:pPr>
  </w:p>
  <w:p w14:paraId="1071E895" w14:textId="77777777" w:rsidR="006313E5" w:rsidRPr="008B6585" w:rsidRDefault="006313E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4ECC" w14:textId="77777777" w:rsidR="00DF6FF9" w:rsidRDefault="00DF6FF9">
      <w:pPr>
        <w:spacing w:before="0" w:after="0"/>
      </w:pPr>
      <w:r>
        <w:separator/>
      </w:r>
    </w:p>
  </w:footnote>
  <w:footnote w:type="continuationSeparator" w:id="0">
    <w:p w14:paraId="7158B44B" w14:textId="77777777" w:rsidR="00DF6FF9" w:rsidRDefault="00DF6FF9">
      <w:pPr>
        <w:spacing w:before="0" w:after="0"/>
      </w:pPr>
      <w:r>
        <w:continuationSeparator/>
      </w:r>
    </w:p>
  </w:footnote>
  <w:footnote w:type="continuationNotice" w:id="1">
    <w:p w14:paraId="519240F9" w14:textId="77777777" w:rsidR="00DF6FF9" w:rsidRDefault="00DF6FF9">
      <w:pPr>
        <w:spacing w:before="0" w:after="0"/>
      </w:pPr>
    </w:p>
  </w:footnote>
  <w:footnote w:id="2">
    <w:p w14:paraId="1071E89E" w14:textId="77777777" w:rsidR="006313E5" w:rsidRDefault="006313E5">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3154E" w14:paraId="1071E87F" w14:textId="77777777">
      <w:trPr>
        <w:jc w:val="center"/>
      </w:trPr>
      <w:tc>
        <w:tcPr>
          <w:tcW w:w="2880" w:type="dxa"/>
          <w:vAlign w:val="center"/>
        </w:tcPr>
        <w:p w14:paraId="1071E87D" w14:textId="77777777" w:rsidR="006313E5" w:rsidRPr="006A71F6" w:rsidRDefault="006313E5">
          <w:pPr>
            <w:pStyle w:val="Header"/>
          </w:pPr>
          <w:r>
            <w:rPr>
              <w:noProof/>
            </w:rPr>
            <w:drawing>
              <wp:inline distT="0" distB="0" distL="0" distR="0" wp14:anchorId="1071E896" wp14:editId="1071E897">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1071E87E" w14:textId="23B640A5" w:rsidR="006313E5" w:rsidRDefault="006313E5">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223586">
            <w:rPr>
              <w:bCs/>
              <w:noProof/>
            </w:rPr>
            <w:t>ComEd Behavior - Res/IE Program Impact Evaluation Report</w:t>
          </w:r>
          <w:r>
            <w:rPr>
              <w:bCs/>
              <w:noProof/>
            </w:rPr>
            <w:fldChar w:fldCharType="end"/>
          </w:r>
        </w:p>
      </w:tc>
    </w:tr>
  </w:tbl>
  <w:p w14:paraId="1071E880" w14:textId="77777777" w:rsidR="006313E5" w:rsidRPr="00B21048" w:rsidRDefault="00631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E889" w14:textId="77777777" w:rsidR="006313E5" w:rsidRDefault="006313E5">
    <w:pPr>
      <w:pStyle w:val="Header"/>
    </w:pPr>
    <w:r>
      <w:rPr>
        <w:noProof/>
      </w:rPr>
      <w:drawing>
        <wp:anchor distT="0" distB="0" distL="114300" distR="114300" simplePos="0" relativeHeight="251658240" behindDoc="0" locked="0" layoutInCell="1" allowOverlap="1" wp14:anchorId="1071E898" wp14:editId="1071E899">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3154E" w14:paraId="1071E88C" w14:textId="77777777">
      <w:trPr>
        <w:jc w:val="center"/>
      </w:trPr>
      <w:tc>
        <w:tcPr>
          <w:tcW w:w="2880" w:type="dxa"/>
          <w:vAlign w:val="center"/>
        </w:tcPr>
        <w:p w14:paraId="1071E88A" w14:textId="77777777" w:rsidR="006313E5" w:rsidRPr="006A71F6" w:rsidRDefault="006313E5">
          <w:pPr>
            <w:pStyle w:val="Header"/>
          </w:pPr>
          <w:r>
            <w:rPr>
              <w:noProof/>
            </w:rPr>
            <w:drawing>
              <wp:inline distT="0" distB="0" distL="0" distR="0" wp14:anchorId="1071E89A" wp14:editId="1071E89B">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1071E88B" w14:textId="238886A5" w:rsidR="006313E5" w:rsidRDefault="006313E5">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223586">
            <w:rPr>
              <w:bCs/>
              <w:noProof/>
            </w:rPr>
            <w:t>ComEd Behavior - Res/IE Program Impact Evaluation Report</w:t>
          </w:r>
          <w:r>
            <w:rPr>
              <w:bCs/>
              <w:noProof/>
            </w:rPr>
            <w:fldChar w:fldCharType="end"/>
          </w:r>
        </w:p>
      </w:tc>
    </w:tr>
  </w:tbl>
  <w:p w14:paraId="1071E88D" w14:textId="77777777" w:rsidR="006313E5" w:rsidRPr="00B21048" w:rsidRDefault="00631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5B0"/>
    <w:rsid w:val="00060718"/>
    <w:rsid w:val="00156001"/>
    <w:rsid w:val="001D2372"/>
    <w:rsid w:val="00223586"/>
    <w:rsid w:val="002B1830"/>
    <w:rsid w:val="002B31E0"/>
    <w:rsid w:val="002C1658"/>
    <w:rsid w:val="003224E2"/>
    <w:rsid w:val="003578C2"/>
    <w:rsid w:val="003E4851"/>
    <w:rsid w:val="00423BD6"/>
    <w:rsid w:val="0042657C"/>
    <w:rsid w:val="004265EF"/>
    <w:rsid w:val="004341E5"/>
    <w:rsid w:val="00464995"/>
    <w:rsid w:val="005E0E0B"/>
    <w:rsid w:val="00615D16"/>
    <w:rsid w:val="0062351D"/>
    <w:rsid w:val="006313E5"/>
    <w:rsid w:val="00707F15"/>
    <w:rsid w:val="00733DFA"/>
    <w:rsid w:val="007C38E2"/>
    <w:rsid w:val="0084043C"/>
    <w:rsid w:val="008E35B0"/>
    <w:rsid w:val="00900686"/>
    <w:rsid w:val="009119AF"/>
    <w:rsid w:val="0094306D"/>
    <w:rsid w:val="009B43E7"/>
    <w:rsid w:val="009D34B4"/>
    <w:rsid w:val="00A14232"/>
    <w:rsid w:val="00A302C6"/>
    <w:rsid w:val="00AB7288"/>
    <w:rsid w:val="00AB7F64"/>
    <w:rsid w:val="00B07503"/>
    <w:rsid w:val="00B54D55"/>
    <w:rsid w:val="00BC2872"/>
    <w:rsid w:val="00BD499D"/>
    <w:rsid w:val="00BD5F7F"/>
    <w:rsid w:val="00C41633"/>
    <w:rsid w:val="00CB68F5"/>
    <w:rsid w:val="00D2614C"/>
    <w:rsid w:val="00D3154E"/>
    <w:rsid w:val="00D6215D"/>
    <w:rsid w:val="00D6433C"/>
    <w:rsid w:val="00DE685D"/>
    <w:rsid w:val="00DF10F3"/>
    <w:rsid w:val="00DF6FF9"/>
    <w:rsid w:val="00E34BEC"/>
    <w:rsid w:val="00E859D1"/>
    <w:rsid w:val="00EC2715"/>
    <w:rsid w:val="00EF4AE1"/>
    <w:rsid w:val="00F13CFD"/>
    <w:rsid w:val="00F33382"/>
    <w:rsid w:val="00F752AB"/>
    <w:rsid w:val="2EB833C9"/>
    <w:rsid w:val="4B1EAA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1E2B5"/>
  <w15:docId w15:val="{19C7D296-4F1B-41D0-8805-1D9DDFBC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erickson@guidehouse.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maglione@guidehous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Props1.xml><?xml version="1.0" encoding="utf-8"?>
<ds:datastoreItem xmlns:ds="http://schemas.openxmlformats.org/officeDocument/2006/customXml" ds:itemID="{59BA77A4-96FF-4F37-8832-3FE05EB9CF87}">
  <ds:schemaRefs>
    <ds:schemaRef ds:uri="http://schemas.microsoft.com/sharepoint/v3/contenttype/forms"/>
  </ds:schemaRefs>
</ds:datastoreItem>
</file>

<file path=customXml/itemProps2.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3.xml><?xml version="1.0" encoding="utf-8"?>
<ds:datastoreItem xmlns:ds="http://schemas.openxmlformats.org/officeDocument/2006/customXml" ds:itemID="{ED189D2C-446E-4102-9DCA-772E5924F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Carly Olig</cp:lastModifiedBy>
  <cp:revision>26</cp:revision>
  <dcterms:created xsi:type="dcterms:W3CDTF">2025-03-04T21:38:00Z</dcterms:created>
  <dcterms:modified xsi:type="dcterms:W3CDTF">2025-03-11T15:32:00Z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