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Franklin Gothic Book" w:hAnsi="Franklin Gothic Book"/>
          <w:sz w:val="22"/>
        </w:rPr>
        <w:id w:val="2047950357"/>
        <w:docPartObj>
          <w:docPartGallery w:val="Cover Pages"/>
          <w:docPartUnique/>
        </w:docPartObj>
      </w:sdtPr>
      <w:sdtEndPr/>
      <w:sdtContent>
        <w:p w14:paraId="47464783" w14:textId="3990C701" w:rsidR="001F322C" w:rsidRDefault="001F322C" w:rsidP="000E0419">
          <w:pPr>
            <w:pStyle w:val="TableTextLeftMedium"/>
          </w:pPr>
        </w:p>
        <w:p w14:paraId="6E324C0C" w14:textId="77777777" w:rsidR="009F5AAD" w:rsidRDefault="009F5AAD" w:rsidP="001F322C"/>
        <w:p w14:paraId="1A9C51F0" w14:textId="77777777" w:rsidR="009F5AAD" w:rsidRDefault="009F5AAD" w:rsidP="001F322C"/>
        <w:p w14:paraId="7A00151D" w14:textId="77777777" w:rsidR="009F5AAD" w:rsidRDefault="009F5AAD" w:rsidP="001F322C"/>
        <w:p w14:paraId="7036EAD3" w14:textId="77777777" w:rsidR="009F5AAD" w:rsidRDefault="009F5AAD" w:rsidP="001F322C"/>
        <w:p w14:paraId="05DB9312" w14:textId="77777777" w:rsidR="0040139D" w:rsidRDefault="000C33EB" w:rsidP="0040139D">
          <w:r>
            <w:rPr>
              <w:noProof/>
            </w:rPr>
            <w:drawing>
              <wp:anchor distT="0" distB="0" distL="114300" distR="114300" simplePos="0" relativeHeight="251658240" behindDoc="1" locked="1" layoutInCell="1" allowOverlap="1" wp14:anchorId="1974D182" wp14:editId="12221235">
                <wp:simplePos x="0" y="0"/>
                <wp:positionH relativeFrom="margin">
                  <wp:align>center</wp:align>
                </wp:positionH>
                <wp:positionV relativeFrom="page">
                  <wp:align>top</wp:align>
                </wp:positionV>
                <wp:extent cx="7753350" cy="1651000"/>
                <wp:effectExtent l="0" t="0" r="0"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3350" cy="1651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53A5DB1A" w14:textId="77777777" w:rsidR="0040139D" w:rsidRPr="0004568F" w:rsidRDefault="000C33EB" w:rsidP="00B85558">
      <w:pPr>
        <w:pStyle w:val="Heading1"/>
      </w:pPr>
      <w:r w:rsidRPr="0004568F">
        <w:t>Memorandum</w:t>
      </w:r>
    </w:p>
    <w:p w14:paraId="1CD34BD0" w14:textId="5289BE90" w:rsidR="0040139D" w:rsidRPr="00900F0B" w:rsidRDefault="000C33EB" w:rsidP="0004568F">
      <w:pPr>
        <w:spacing w:before="120" w:after="100"/>
        <w:ind w:left="720" w:hanging="720"/>
        <w:rPr>
          <w:lang w:val="en-ZA"/>
        </w:rPr>
      </w:pPr>
      <w:r w:rsidRPr="00456518">
        <w:rPr>
          <w:b/>
          <w:bCs/>
          <w:lang w:val="en-ZA"/>
        </w:rPr>
        <w:t>To:</w:t>
      </w:r>
      <w:r w:rsidRPr="00900F0B">
        <w:rPr>
          <w:lang w:val="en-ZA"/>
        </w:rPr>
        <w:tab/>
      </w:r>
      <w:r w:rsidR="00032488">
        <w:rPr>
          <w:lang w:val="en-ZA"/>
        </w:rPr>
        <w:t>Nick Warnecke</w:t>
      </w:r>
      <w:r w:rsidR="00A85C65">
        <w:rPr>
          <w:lang w:val="en-ZA"/>
        </w:rPr>
        <w:t xml:space="preserve"> and Nic Crowder</w:t>
      </w:r>
      <w:r w:rsidR="00032488">
        <w:rPr>
          <w:lang w:val="en-ZA"/>
        </w:rPr>
        <w:t xml:space="preserve">, AIC; </w:t>
      </w:r>
      <w:r w:rsidR="00032488" w:rsidRPr="00032488">
        <w:rPr>
          <w:lang w:val="en-ZA"/>
        </w:rPr>
        <w:t>Nida Khan, CAMI Energy; Seth Craigo-Snell, SCS Analytics; and Elizabeth Horne, ICC Staff</w:t>
      </w:r>
    </w:p>
    <w:p w14:paraId="71103C75" w14:textId="0FC1C3A0" w:rsidR="0040139D" w:rsidRPr="00900F0B" w:rsidRDefault="000C33EB" w:rsidP="0040139D">
      <w:pPr>
        <w:spacing w:after="100"/>
        <w:rPr>
          <w:lang w:val="en-ZA"/>
        </w:rPr>
      </w:pPr>
      <w:r w:rsidRPr="00456518">
        <w:rPr>
          <w:b/>
          <w:bCs/>
          <w:lang w:val="en-ZA"/>
        </w:rPr>
        <w:t>From:</w:t>
      </w:r>
      <w:r w:rsidRPr="00900F0B">
        <w:rPr>
          <w:lang w:val="en-ZA"/>
        </w:rPr>
        <w:tab/>
      </w:r>
      <w:r w:rsidR="000B43A1">
        <w:rPr>
          <w:lang w:val="en-ZA"/>
        </w:rPr>
        <w:t>Opinion Dynamics Evaluation Team</w:t>
      </w:r>
    </w:p>
    <w:p w14:paraId="16EC42CD" w14:textId="5004E673" w:rsidR="0040139D" w:rsidRPr="00900F0B" w:rsidRDefault="000C33EB" w:rsidP="0040139D">
      <w:pPr>
        <w:spacing w:after="100"/>
        <w:rPr>
          <w:lang w:val="en-ZA"/>
        </w:rPr>
      </w:pPr>
      <w:r w:rsidRPr="00456518">
        <w:rPr>
          <w:b/>
          <w:bCs/>
          <w:lang w:val="en-ZA"/>
        </w:rPr>
        <w:t>Date:</w:t>
      </w:r>
      <w:r w:rsidRPr="00900F0B">
        <w:rPr>
          <w:lang w:val="en-ZA"/>
        </w:rPr>
        <w:tab/>
      </w:r>
      <w:r w:rsidR="003B7E46" w:rsidRPr="00BB1FE7">
        <w:rPr>
          <w:lang w:val="en-ZA"/>
        </w:rPr>
        <w:t xml:space="preserve">August </w:t>
      </w:r>
      <w:r w:rsidR="00BB1FE7" w:rsidRPr="0004568F">
        <w:rPr>
          <w:lang w:val="en-ZA"/>
        </w:rPr>
        <w:t>30</w:t>
      </w:r>
      <w:r w:rsidR="003B7E46" w:rsidRPr="00BB1FE7">
        <w:rPr>
          <w:lang w:val="en-ZA"/>
        </w:rPr>
        <w:t>, 2024</w:t>
      </w:r>
    </w:p>
    <w:p w14:paraId="00CB7457" w14:textId="28F7549A" w:rsidR="0040139D" w:rsidRPr="00900F0B" w:rsidRDefault="000C33EB" w:rsidP="0040139D">
      <w:pPr>
        <w:spacing w:after="100"/>
        <w:rPr>
          <w:lang w:val="en-ZA"/>
        </w:rPr>
      </w:pPr>
      <w:r w:rsidRPr="00456518">
        <w:rPr>
          <w:b/>
          <w:bCs/>
          <w:lang w:val="en-ZA"/>
        </w:rPr>
        <w:t>Re:</w:t>
      </w:r>
      <w:r w:rsidRPr="00900F0B">
        <w:rPr>
          <w:lang w:val="en-ZA"/>
        </w:rPr>
        <w:tab/>
      </w:r>
      <w:r>
        <w:rPr>
          <w:lang w:val="en-ZA"/>
        </w:rPr>
        <w:t xml:space="preserve">Ameren Illinois </w:t>
      </w:r>
      <w:r w:rsidR="0012411C" w:rsidRPr="00CE7B58">
        <w:t>Virtual Commissioning™</w:t>
      </w:r>
      <w:r w:rsidR="002E3BF0">
        <w:t xml:space="preserve"> </w:t>
      </w:r>
      <w:r w:rsidR="000A6F7E">
        <w:rPr>
          <w:lang w:val="en-ZA"/>
        </w:rPr>
        <w:t xml:space="preserve">Channel </w:t>
      </w:r>
      <w:r w:rsidR="00D147A9">
        <w:rPr>
          <w:lang w:val="en-ZA"/>
        </w:rPr>
        <w:t>Net-to-Gross</w:t>
      </w:r>
      <w:r>
        <w:rPr>
          <w:lang w:val="en-ZA"/>
        </w:rPr>
        <w:t xml:space="preserve"> Results</w:t>
      </w:r>
    </w:p>
    <w:p w14:paraId="183AD41F" w14:textId="77777777" w:rsidR="0040139D" w:rsidRDefault="0040139D" w:rsidP="0040139D">
      <w:pPr>
        <w:sectPr w:rsidR="0040139D" w:rsidSect="008F7F95">
          <w:headerReference w:type="default" r:id="rId9"/>
          <w:footerReference w:type="default" r:id="rId10"/>
          <w:type w:val="continuous"/>
          <w:pgSz w:w="12240" w:h="15840" w:code="1"/>
          <w:pgMar w:top="39" w:right="567" w:bottom="567" w:left="567" w:header="142" w:footer="340" w:gutter="0"/>
          <w:cols w:space="708"/>
          <w:titlePg/>
          <w:docGrid w:linePitch="360"/>
        </w:sectPr>
      </w:pPr>
    </w:p>
    <w:p w14:paraId="23E86AAD" w14:textId="77777777" w:rsidR="0040139D" w:rsidRDefault="000C33EB" w:rsidP="0040139D">
      <w:r>
        <w:rPr>
          <w:noProof/>
        </w:rPr>
        <mc:AlternateContent>
          <mc:Choice Requires="wps">
            <w:drawing>
              <wp:anchor distT="0" distB="0" distL="114300" distR="114300" simplePos="0" relativeHeight="251659264" behindDoc="0" locked="0" layoutInCell="1" allowOverlap="1" wp14:anchorId="692CDD7B" wp14:editId="79399B09">
                <wp:simplePos x="0" y="0"/>
                <wp:positionH relativeFrom="column">
                  <wp:posOffset>10069</wp:posOffset>
                </wp:positionH>
                <wp:positionV relativeFrom="paragraph">
                  <wp:posOffset>125549</wp:posOffset>
                </wp:positionV>
                <wp:extent cx="7075715" cy="0"/>
                <wp:effectExtent l="0" t="0" r="0" b="0"/>
                <wp:wrapNone/>
                <wp:docPr id="2143302414" name="Straight Connector 1"/>
                <wp:cNvGraphicFramePr/>
                <a:graphic xmlns:a="http://schemas.openxmlformats.org/drawingml/2006/main">
                  <a:graphicData uri="http://schemas.microsoft.com/office/word/2010/wordprocessingShape">
                    <wps:wsp>
                      <wps:cNvCnPr/>
                      <wps:spPr>
                        <a:xfrm>
                          <a:off x="0" y="0"/>
                          <a:ext cx="7075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71C2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9pt" to="557.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" strokecolor="#172b54 [3204]" strokeweight=".5pt">
                <v:stroke joinstyle="miter"/>
              </v:line>
            </w:pict>
          </mc:Fallback>
        </mc:AlternateContent>
      </w:r>
    </w:p>
    <w:p w14:paraId="265143C8" w14:textId="77777777" w:rsidR="0040139D" w:rsidRPr="00B85558" w:rsidRDefault="000C33EB" w:rsidP="00B85558">
      <w:pPr>
        <w:pStyle w:val="Heading1"/>
      </w:pPr>
      <w:r w:rsidRPr="00B85558">
        <w:t xml:space="preserve">Introduction </w:t>
      </w:r>
    </w:p>
    <w:p w14:paraId="7D3734C5" w14:textId="2136551D" w:rsidR="0088256F" w:rsidRPr="0088256F" w:rsidRDefault="00F92AF4" w:rsidP="0088256F">
      <w:r>
        <w:t xml:space="preserve">The Ameren Illinois Company (AIC) </w:t>
      </w:r>
      <w:r w:rsidR="0012411C" w:rsidRPr="00CE7B58">
        <w:t>Virtual Commissioning™</w:t>
      </w:r>
      <w:r w:rsidR="0012411C">
        <w:t xml:space="preserve"> (</w:t>
      </w:r>
      <w:proofErr w:type="spellStart"/>
      <w:r w:rsidR="0012411C">
        <w:t>VCx</w:t>
      </w:r>
      <w:proofErr w:type="spellEnd"/>
      <w:r w:rsidR="0012411C">
        <w:t>)</w:t>
      </w:r>
      <w:r w:rsidR="00ED3437">
        <w:t xml:space="preserve"> </w:t>
      </w:r>
      <w:r w:rsidR="00126909">
        <w:t>channel</w:t>
      </w:r>
      <w:r w:rsidRPr="0088256F">
        <w:t xml:space="preserve"> </w:t>
      </w:r>
      <w:r w:rsidR="0088256F" w:rsidRPr="0088256F">
        <w:t xml:space="preserve">helps business customers </w:t>
      </w:r>
      <w:r w:rsidR="00D9146F">
        <w:t xml:space="preserve">in </w:t>
      </w:r>
      <w:r w:rsidR="000A6F7E">
        <w:t xml:space="preserve">AIC’s </w:t>
      </w:r>
      <w:r w:rsidR="00D9146F">
        <w:t xml:space="preserve">service territory </w:t>
      </w:r>
      <w:r w:rsidR="0088256F">
        <w:t xml:space="preserve">improve their </w:t>
      </w:r>
      <w:r w:rsidR="000A6F7E">
        <w:t xml:space="preserve">facility’s </w:t>
      </w:r>
      <w:r w:rsidR="0088256F">
        <w:t xml:space="preserve">energy efficiency </w:t>
      </w:r>
      <w:r w:rsidR="00B34B34">
        <w:t xml:space="preserve">through the implementation of low- and no-cost energy-saving measures. The channel is implemented by Power </w:t>
      </w:r>
      <w:proofErr w:type="spellStart"/>
      <w:r w:rsidR="00B34B34">
        <w:t>TakeOff</w:t>
      </w:r>
      <w:proofErr w:type="spellEnd"/>
      <w:r w:rsidR="00B34B34">
        <w:t xml:space="preserve">, whose energy advisors identify prospective participants by analyzing </w:t>
      </w:r>
      <w:r w:rsidR="003166DC">
        <w:t>advanced metering infrastructure</w:t>
      </w:r>
      <w:r w:rsidR="00B34B34">
        <w:t xml:space="preserve"> (AMI) data through internal software that identifies sites with high savings potential. </w:t>
      </w:r>
      <w:r w:rsidR="000A6F7E">
        <w:t>Power Takeoff</w:t>
      </w:r>
      <w:r w:rsidR="00B34B34">
        <w:t>'s energy advisors then contact these b</w:t>
      </w:r>
      <w:r w:rsidR="00F8545B">
        <w:t xml:space="preserve">usinesses </w:t>
      </w:r>
      <w:r w:rsidR="00B34B34">
        <w:t xml:space="preserve">and </w:t>
      </w:r>
      <w:r w:rsidR="00F8545B">
        <w:t>provide</w:t>
      </w:r>
      <w:r w:rsidR="003166DC">
        <w:t xml:space="preserve"> </w:t>
      </w:r>
      <w:r w:rsidR="00B34B34">
        <w:t xml:space="preserve">them </w:t>
      </w:r>
      <w:r w:rsidR="003166DC">
        <w:t xml:space="preserve">with suggestions on how to reduce energy consumption by </w:t>
      </w:r>
      <w:r w:rsidR="00F8545B">
        <w:t>adjusting</w:t>
      </w:r>
      <w:r w:rsidR="003166DC">
        <w:t xml:space="preserve"> </w:t>
      </w:r>
      <w:r w:rsidR="00B34B34">
        <w:t xml:space="preserve">the operation of </w:t>
      </w:r>
      <w:r w:rsidR="003166DC">
        <w:t xml:space="preserve">their </w:t>
      </w:r>
      <w:r w:rsidR="00ED3437">
        <w:t xml:space="preserve">heating, ventilation, and air conditioning (HVAC) </w:t>
      </w:r>
      <w:r w:rsidR="003166DC">
        <w:t xml:space="preserve">and lighting </w:t>
      </w:r>
      <w:r w:rsidR="00B34B34">
        <w:t>equipment</w:t>
      </w:r>
      <w:r w:rsidR="003166DC">
        <w:t>.</w:t>
      </w:r>
      <w:r w:rsidR="0088256F" w:rsidRPr="0088256F">
        <w:t xml:space="preserve"> </w:t>
      </w:r>
    </w:p>
    <w:p w14:paraId="49F075FB" w14:textId="37FF9254" w:rsidR="0088256F" w:rsidRPr="0088256F" w:rsidRDefault="00ED3437" w:rsidP="0088256F">
      <w:r>
        <w:t>As part of the</w:t>
      </w:r>
      <w:r w:rsidR="0088256F">
        <w:t xml:space="preserve"> </w:t>
      </w:r>
      <w:r w:rsidR="0088256F" w:rsidRPr="0088256F">
        <w:t>20</w:t>
      </w:r>
      <w:r w:rsidR="0088256F">
        <w:t>2</w:t>
      </w:r>
      <w:r w:rsidR="00C06B46">
        <w:t>3</w:t>
      </w:r>
      <w:r>
        <w:t xml:space="preserve"> </w:t>
      </w:r>
      <w:r w:rsidR="00413112">
        <w:t xml:space="preserve">and 2024 </w:t>
      </w:r>
      <w:r>
        <w:t>evaluation</w:t>
      </w:r>
      <w:r w:rsidR="00413112">
        <w:t>s</w:t>
      </w:r>
      <w:r>
        <w:t xml:space="preserve"> of the </w:t>
      </w:r>
      <w:proofErr w:type="spellStart"/>
      <w:r>
        <w:t>V</w:t>
      </w:r>
      <w:r w:rsidR="005B6E6E">
        <w:t>Cx</w:t>
      </w:r>
      <w:proofErr w:type="spellEnd"/>
      <w:r>
        <w:t xml:space="preserve"> </w:t>
      </w:r>
      <w:r w:rsidR="00126909">
        <w:t>channel</w:t>
      </w:r>
      <w:r w:rsidR="0088256F" w:rsidRPr="0088256F">
        <w:t>, the evaluation team conducted research with participants to update the net-to</w:t>
      </w:r>
      <w:r w:rsidR="009160BC">
        <w:t>-</w:t>
      </w:r>
      <w:r w:rsidR="0088256F" w:rsidRPr="0088256F">
        <w:t xml:space="preserve">gross ratio (NTGR) for </w:t>
      </w:r>
      <w:r w:rsidR="003166DC">
        <w:t xml:space="preserve">this </w:t>
      </w:r>
      <w:r w:rsidR="005B6E6E">
        <w:t>channel</w:t>
      </w:r>
      <w:r w:rsidR="0088256F" w:rsidRPr="0088256F">
        <w:t>.</w:t>
      </w:r>
      <w:r w:rsidR="00413112">
        <w:rPr>
          <w:rStyle w:val="FootnoteReference"/>
        </w:rPr>
        <w:footnoteReference w:id="1"/>
      </w:r>
      <w:r w:rsidR="0088256F" w:rsidRPr="0088256F">
        <w:t xml:space="preserve"> </w:t>
      </w:r>
      <w:r>
        <w:t xml:space="preserve">The evaluation team used </w:t>
      </w:r>
      <w:r w:rsidR="002E7772">
        <w:t xml:space="preserve">the </w:t>
      </w:r>
      <w:r>
        <w:t xml:space="preserve">net-to-gross (NTG) methodology prescribed in version </w:t>
      </w:r>
      <w:r w:rsidR="00BB1FE7">
        <w:t xml:space="preserve">12.0 </w:t>
      </w:r>
      <w:r>
        <w:t xml:space="preserve">of the </w:t>
      </w:r>
      <w:bookmarkStart w:id="0" w:name="_Hlk149589458"/>
      <w:r>
        <w:t>Illinois Technical Reference Manual (</w:t>
      </w:r>
      <w:r w:rsidR="00BB1FE7">
        <w:t>IL-</w:t>
      </w:r>
      <w:r>
        <w:t>TRM</w:t>
      </w:r>
      <w:r w:rsidR="00BB1FE7">
        <w:t xml:space="preserve"> V12.0</w:t>
      </w:r>
      <w:r>
        <w:t>) Attachment A (Illinois Statewide Net-to-Gross Methodologies)</w:t>
      </w:r>
      <w:r w:rsidR="00A6135B">
        <w:t xml:space="preserve"> </w:t>
      </w:r>
      <w:bookmarkEnd w:id="0"/>
      <w:r w:rsidR="002E7772">
        <w:t>to design this research</w:t>
      </w:r>
      <w:r>
        <w:t>. Specifically, we used the IL-TRM’s Study-Based Protocol</w:t>
      </w:r>
      <w:r>
        <w:rPr>
          <w:rStyle w:val="FootnoteReference"/>
        </w:rPr>
        <w:footnoteReference w:id="2"/>
      </w:r>
      <w:r>
        <w:t xml:space="preserve"> to calculate free</w:t>
      </w:r>
      <w:r w:rsidR="00D72EED">
        <w:t xml:space="preserve"> </w:t>
      </w:r>
      <w:r>
        <w:t>ridership (FR).</w:t>
      </w:r>
      <w:r w:rsidR="00D9146F">
        <w:t xml:space="preserve"> Additionally, the evaluation team followed IL-TRM guidance to </w:t>
      </w:r>
      <w:r w:rsidR="00433819">
        <w:t>identify potential</w:t>
      </w:r>
      <w:r w:rsidR="00D9146F">
        <w:t xml:space="preserve"> spillover </w:t>
      </w:r>
      <w:r w:rsidR="00B16825">
        <w:t>(SO)</w:t>
      </w:r>
      <w:r w:rsidR="000D47F1">
        <w:rPr>
          <w:rStyle w:val="FootnoteReference"/>
        </w:rPr>
        <w:footnoteReference w:id="3"/>
      </w:r>
      <w:r w:rsidR="00B16825">
        <w:t xml:space="preserve"> </w:t>
      </w:r>
      <w:r w:rsidR="00D9146F">
        <w:t xml:space="preserve">associated with the </w:t>
      </w:r>
      <w:proofErr w:type="spellStart"/>
      <w:r w:rsidR="00D9146F">
        <w:t>VCx</w:t>
      </w:r>
      <w:proofErr w:type="spellEnd"/>
      <w:r w:rsidR="00D9146F">
        <w:t xml:space="preserve"> </w:t>
      </w:r>
      <w:r w:rsidR="00126909">
        <w:t>channel</w:t>
      </w:r>
      <w:r w:rsidR="00D9146F">
        <w:t xml:space="preserve">. The </w:t>
      </w:r>
      <w:r w:rsidR="00B16825">
        <w:t xml:space="preserve">results </w:t>
      </w:r>
      <w:r w:rsidR="002E7772">
        <w:t xml:space="preserve">of this research are </w:t>
      </w:r>
      <w:r w:rsidR="00B16825">
        <w:t>based</w:t>
      </w:r>
      <w:r w:rsidR="00D9146F">
        <w:t xml:space="preserve"> on </w:t>
      </w:r>
      <w:r w:rsidR="0088256F" w:rsidRPr="0088256F">
        <w:t xml:space="preserve">self-reported information </w:t>
      </w:r>
      <w:r w:rsidR="00D9146F">
        <w:t>collected through</w:t>
      </w:r>
      <w:r w:rsidR="00D9146F" w:rsidRPr="0088256F">
        <w:t xml:space="preserve"> </w:t>
      </w:r>
      <w:r w:rsidR="003166DC">
        <w:t xml:space="preserve">a web survey </w:t>
      </w:r>
      <w:r w:rsidR="002E7772">
        <w:t xml:space="preserve">conducted </w:t>
      </w:r>
      <w:r w:rsidR="003166DC">
        <w:t xml:space="preserve">with </w:t>
      </w:r>
      <w:r w:rsidR="002E7772">
        <w:t xml:space="preserve">customers who participated in the channel in </w:t>
      </w:r>
      <w:r w:rsidR="00126909">
        <w:t>2022</w:t>
      </w:r>
      <w:r w:rsidR="001F3867">
        <w:t>, 2023</w:t>
      </w:r>
      <w:r w:rsidR="005A032C">
        <w:t xml:space="preserve">, and the </w:t>
      </w:r>
      <w:r w:rsidR="002E7772">
        <w:t xml:space="preserve">first half of </w:t>
      </w:r>
      <w:r w:rsidR="00126909">
        <w:t>202</w:t>
      </w:r>
      <w:r w:rsidR="001F3867">
        <w:t>4</w:t>
      </w:r>
      <w:r w:rsidR="00D326C4">
        <w:t>.</w:t>
      </w:r>
      <w:r w:rsidR="0088256F" w:rsidRPr="0088256F">
        <w:t xml:space="preserve"> </w:t>
      </w:r>
      <w:r w:rsidR="007741F5">
        <w:t>Th</w:t>
      </w:r>
      <w:r w:rsidR="00D9146F">
        <w:t xml:space="preserve">is memo presents the </w:t>
      </w:r>
      <w:r w:rsidR="002E7772">
        <w:t xml:space="preserve">evaluation team’s </w:t>
      </w:r>
      <w:r w:rsidR="00D9146F">
        <w:t>research findings.</w:t>
      </w:r>
    </w:p>
    <w:p w14:paraId="28EB074F" w14:textId="77777777" w:rsidR="0088256F" w:rsidRPr="0004568F" w:rsidRDefault="0088256F" w:rsidP="00B85558">
      <w:pPr>
        <w:pStyle w:val="Heading2"/>
      </w:pPr>
      <w:r w:rsidRPr="0004568F">
        <w:t>Summary of NTG Results</w:t>
      </w:r>
    </w:p>
    <w:p w14:paraId="7E9EC231" w14:textId="629D7063" w:rsidR="00A46CAA" w:rsidRDefault="000E00E6" w:rsidP="00B86A7A">
      <w:r w:rsidRPr="002E0775">
        <w:fldChar w:fldCharType="begin"/>
      </w:r>
      <w:r w:rsidRPr="002E0775">
        <w:instrText xml:space="preserve"> REF _Ref147414248 \h </w:instrText>
      </w:r>
      <w:r w:rsidR="002E0775" w:rsidRPr="002532FB">
        <w:instrText xml:space="preserve"> \* MERGEFORMAT </w:instrText>
      </w:r>
      <w:r w:rsidRPr="002E0775">
        <w:fldChar w:fldCharType="separate"/>
      </w:r>
      <w:r w:rsidR="002E0775" w:rsidRPr="002E0775">
        <w:t xml:space="preserve">Table </w:t>
      </w:r>
      <w:r w:rsidR="002E0775" w:rsidRPr="002532FB">
        <w:rPr>
          <w:noProof/>
        </w:rPr>
        <w:t>1</w:t>
      </w:r>
      <w:r w:rsidRPr="002E0775">
        <w:fldChar w:fldCharType="end"/>
      </w:r>
      <w:r w:rsidRPr="002E0775">
        <w:t xml:space="preserve"> </w:t>
      </w:r>
      <w:r w:rsidR="00A46CAA">
        <w:t xml:space="preserve">summarizes the results of the </w:t>
      </w:r>
      <w:proofErr w:type="spellStart"/>
      <w:r w:rsidR="00A46CAA">
        <w:t>VCx</w:t>
      </w:r>
      <w:proofErr w:type="spellEnd"/>
      <w:r w:rsidR="00A46CAA">
        <w:t xml:space="preserve"> NTG analysis, including FR scores and SO scores, </w:t>
      </w:r>
      <w:r w:rsidR="000A6C48">
        <w:t xml:space="preserve">based on responses </w:t>
      </w:r>
      <w:r w:rsidR="0088256F" w:rsidRPr="00B85558">
        <w:t>from</w:t>
      </w:r>
      <w:r w:rsidR="000A6C48" w:rsidRPr="00B85558">
        <w:t xml:space="preserve"> </w:t>
      </w:r>
      <w:r w:rsidR="00126909" w:rsidRPr="00B85558">
        <w:t>six</w:t>
      </w:r>
      <w:r w:rsidR="000A6C48" w:rsidRPr="00B85558">
        <w:t xml:space="preserve"> </w:t>
      </w:r>
      <w:r w:rsidR="002E0775" w:rsidRPr="00B85558">
        <w:t>participants</w:t>
      </w:r>
      <w:r w:rsidR="00326FA6" w:rsidRPr="00B85558">
        <w:t>.</w:t>
      </w:r>
    </w:p>
    <w:p w14:paraId="7A041947" w14:textId="38B11C8B" w:rsidR="0088256F" w:rsidRDefault="00326FA6" w:rsidP="00B86A7A">
      <w:r>
        <w:t>.</w:t>
      </w:r>
      <w:r w:rsidR="0088256F" w:rsidRPr="0088256F">
        <w:t xml:space="preserve"> </w:t>
      </w:r>
    </w:p>
    <w:p w14:paraId="69FAE7A2" w14:textId="7DA0DFE0" w:rsidR="00E31645" w:rsidRPr="00A95B7F" w:rsidRDefault="000E00E6" w:rsidP="006246C7">
      <w:pPr>
        <w:pStyle w:val="Caption"/>
        <w:keepNext/>
        <w:keepLines/>
        <w:jc w:val="center"/>
        <w:rPr>
          <w:rStyle w:val="Strong"/>
          <w:rFonts w:ascii="Franklin Gothic Book" w:hAnsi="Franklin Gothic Book"/>
        </w:rPr>
      </w:pPr>
      <w:bookmarkStart w:id="1" w:name="_Ref147414248"/>
      <w:r w:rsidRPr="006246C7">
        <w:rPr>
          <w:i w:val="0"/>
          <w:iCs w:val="0"/>
          <w:color w:val="4A4D56" w:themeColor="text1"/>
          <w:sz w:val="22"/>
          <w:szCs w:val="22"/>
        </w:rPr>
        <w:lastRenderedPageBreak/>
        <w:t xml:space="preserve">Table </w:t>
      </w:r>
      <w:r w:rsidRPr="006246C7">
        <w:fldChar w:fldCharType="begin"/>
      </w:r>
      <w:r w:rsidRPr="006246C7">
        <w:rPr>
          <w:i w:val="0"/>
          <w:iCs w:val="0"/>
          <w:color w:val="4A4D56" w:themeColor="text1"/>
          <w:sz w:val="22"/>
          <w:szCs w:val="22"/>
        </w:rPr>
        <w:instrText xml:space="preserve"> SEQ Table \* ARABIC </w:instrText>
      </w:r>
      <w:r w:rsidRPr="006246C7">
        <w:fldChar w:fldCharType="separate"/>
      </w:r>
      <w:r w:rsidR="002E0775">
        <w:rPr>
          <w:i w:val="0"/>
          <w:iCs w:val="0"/>
          <w:noProof/>
          <w:color w:val="4A4D56" w:themeColor="text1"/>
          <w:sz w:val="22"/>
          <w:szCs w:val="22"/>
        </w:rPr>
        <w:t>1</w:t>
      </w:r>
      <w:r w:rsidRPr="006246C7">
        <w:fldChar w:fldCharType="end"/>
      </w:r>
      <w:bookmarkEnd w:id="1"/>
      <w:r w:rsidRPr="006246C7">
        <w:rPr>
          <w:i w:val="0"/>
          <w:iCs w:val="0"/>
          <w:color w:val="4A4D56" w:themeColor="text1"/>
          <w:sz w:val="22"/>
          <w:szCs w:val="22"/>
        </w:rPr>
        <w:t>.</w:t>
      </w:r>
      <w:r w:rsidR="00A8237C">
        <w:rPr>
          <w:i w:val="0"/>
          <w:iCs w:val="0"/>
          <w:color w:val="4A4D56" w:themeColor="text1"/>
          <w:sz w:val="22"/>
          <w:szCs w:val="22"/>
        </w:rPr>
        <w:t xml:space="preserve"> </w:t>
      </w:r>
      <w:r w:rsidR="00E64AD5">
        <w:rPr>
          <w:i w:val="0"/>
          <w:iCs w:val="0"/>
          <w:color w:val="4A4D56" w:themeColor="text1"/>
          <w:sz w:val="22"/>
          <w:szCs w:val="22"/>
        </w:rPr>
        <w:t>2023-</w:t>
      </w:r>
      <w:r w:rsidRPr="006246C7">
        <w:rPr>
          <w:rStyle w:val="Strong"/>
          <w:rFonts w:ascii="Franklin Gothic Book" w:hAnsi="Franklin Gothic Book"/>
          <w:i w:val="0"/>
          <w:iCs w:val="0"/>
          <w:color w:val="4A4D56" w:themeColor="text1"/>
          <w:sz w:val="22"/>
          <w:szCs w:val="22"/>
        </w:rPr>
        <w:t xml:space="preserve"> 202</w:t>
      </w:r>
      <w:r w:rsidR="00B85558">
        <w:rPr>
          <w:rStyle w:val="Strong"/>
          <w:rFonts w:ascii="Franklin Gothic Book" w:hAnsi="Franklin Gothic Book"/>
          <w:i w:val="0"/>
          <w:iCs w:val="0"/>
          <w:color w:val="4A4D56" w:themeColor="text1"/>
          <w:sz w:val="22"/>
          <w:szCs w:val="22"/>
        </w:rPr>
        <w:t>4</w:t>
      </w:r>
      <w:r w:rsidRPr="006246C7">
        <w:rPr>
          <w:rStyle w:val="Strong"/>
          <w:rFonts w:ascii="Franklin Gothic Book" w:hAnsi="Franklin Gothic Book"/>
          <w:i w:val="0"/>
          <w:iCs w:val="0"/>
          <w:color w:val="4A4D56" w:themeColor="text1"/>
          <w:sz w:val="22"/>
          <w:szCs w:val="22"/>
        </w:rPr>
        <w:t xml:space="preserve"> </w:t>
      </w:r>
      <w:r w:rsidR="0012411C" w:rsidRPr="002E3BF0">
        <w:rPr>
          <w:i w:val="0"/>
          <w:iCs w:val="0"/>
          <w:color w:val="4A4D56" w:themeColor="text1"/>
          <w:sz w:val="22"/>
          <w:szCs w:val="22"/>
        </w:rPr>
        <w:t>Virtual Commissioning™</w:t>
      </w:r>
      <w:r w:rsidR="002E3BF0" w:rsidRPr="002E3BF0">
        <w:rPr>
          <w:i w:val="0"/>
          <w:iCs w:val="0"/>
          <w:color w:val="4A4D56" w:themeColor="text1"/>
          <w:sz w:val="22"/>
          <w:szCs w:val="22"/>
        </w:rPr>
        <w:t xml:space="preserve"> </w:t>
      </w:r>
      <w:r w:rsidRPr="006246C7">
        <w:rPr>
          <w:rStyle w:val="Strong"/>
          <w:rFonts w:ascii="Franklin Gothic Book" w:hAnsi="Franklin Gothic Book"/>
          <w:i w:val="0"/>
          <w:iCs w:val="0"/>
          <w:color w:val="4A4D56" w:themeColor="text1"/>
          <w:sz w:val="22"/>
          <w:szCs w:val="22"/>
        </w:rPr>
        <w:t>NTG Research Results</w:t>
      </w:r>
    </w:p>
    <w:tbl>
      <w:tblPr>
        <w:tblStyle w:val="TableGrid"/>
        <w:tblW w:w="0" w:type="auto"/>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Look w:val="04A0" w:firstRow="1" w:lastRow="0" w:firstColumn="1" w:lastColumn="0" w:noHBand="0" w:noVBand="1"/>
      </w:tblPr>
      <w:tblGrid>
        <w:gridCol w:w="1165"/>
        <w:gridCol w:w="941"/>
        <w:gridCol w:w="1859"/>
      </w:tblGrid>
      <w:tr w:rsidR="00CC50DA" w14:paraId="0B10640F" w14:textId="16AB4665" w:rsidTr="00BF3B58">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65" w:type="dxa"/>
          </w:tcPr>
          <w:p w14:paraId="1EF729EE" w14:textId="4CB2BC65" w:rsidR="00454248" w:rsidRPr="00B86A7A" w:rsidRDefault="00454248" w:rsidP="006246C7">
            <w:pPr>
              <w:pStyle w:val="TableHeadingCentered"/>
              <w:keepNext/>
              <w:keepLines/>
            </w:pPr>
            <w:r>
              <w:t>FR</w:t>
            </w:r>
          </w:p>
        </w:tc>
        <w:tc>
          <w:tcPr>
            <w:tcW w:w="941" w:type="dxa"/>
          </w:tcPr>
          <w:p w14:paraId="070A3A99" w14:textId="52C76250" w:rsidR="00454248" w:rsidRPr="00B86A7A" w:rsidRDefault="00454248" w:rsidP="006246C7">
            <w:pPr>
              <w:pStyle w:val="TableHeadingCentered"/>
              <w:keepNext/>
              <w:keepLines/>
              <w:cnfStyle w:val="100000000000" w:firstRow="1" w:lastRow="0" w:firstColumn="0" w:lastColumn="0" w:oddVBand="0" w:evenVBand="0" w:oddHBand="0" w:evenHBand="0" w:firstRowFirstColumn="0" w:firstRowLastColumn="0" w:lastRowFirstColumn="0" w:lastRowLastColumn="0"/>
              <w:rPr>
                <w:rStyle w:val="Strong"/>
                <w:color w:val="auto"/>
              </w:rPr>
            </w:pPr>
            <w:r>
              <w:rPr>
                <w:rStyle w:val="Strong"/>
                <w:color w:val="auto"/>
              </w:rPr>
              <w:t>SO</w:t>
            </w:r>
          </w:p>
        </w:tc>
        <w:tc>
          <w:tcPr>
            <w:tcW w:w="1859" w:type="dxa"/>
          </w:tcPr>
          <w:p w14:paraId="3C960B86" w14:textId="2AF9AEE3" w:rsidR="00BF3B58" w:rsidRDefault="00454248" w:rsidP="006246C7">
            <w:pPr>
              <w:pStyle w:val="TableHeadingCentered"/>
              <w:keepNext/>
              <w:keepLines/>
              <w:cnfStyle w:val="100000000000" w:firstRow="1" w:lastRow="0" w:firstColumn="0" w:lastColumn="0" w:oddVBand="0" w:evenVBand="0" w:oddHBand="0" w:evenHBand="0" w:firstRowFirstColumn="0" w:firstRowLastColumn="0" w:lastRowFirstColumn="0" w:lastRowLastColumn="0"/>
              <w:rPr>
                <w:rStyle w:val="Strong"/>
                <w:color w:val="auto"/>
              </w:rPr>
            </w:pPr>
            <w:r>
              <w:rPr>
                <w:rStyle w:val="Strong"/>
                <w:color w:val="auto"/>
              </w:rPr>
              <w:t xml:space="preserve">NTG </w:t>
            </w:r>
          </w:p>
          <w:p w14:paraId="43B84E5C" w14:textId="243FBF2E" w:rsidR="00454248" w:rsidRPr="00B86A7A" w:rsidRDefault="00454248" w:rsidP="006246C7">
            <w:pPr>
              <w:pStyle w:val="TableHeadingCentered"/>
              <w:keepNext/>
              <w:keepLines/>
              <w:cnfStyle w:val="100000000000" w:firstRow="1" w:lastRow="0" w:firstColumn="0" w:lastColumn="0" w:oddVBand="0" w:evenVBand="0" w:oddHBand="0" w:evenHBand="0" w:firstRowFirstColumn="0" w:firstRowLastColumn="0" w:lastRowFirstColumn="0" w:lastRowLastColumn="0"/>
              <w:rPr>
                <w:rStyle w:val="Strong"/>
                <w:color w:val="auto"/>
              </w:rPr>
            </w:pPr>
            <w:r>
              <w:rPr>
                <w:rStyle w:val="Strong"/>
                <w:color w:val="auto"/>
              </w:rPr>
              <w:t xml:space="preserve">(1 – FR) </w:t>
            </w:r>
            <w:r>
              <w:rPr>
                <w:rStyle w:val="Strong"/>
              </w:rPr>
              <w:t>+ SO</w:t>
            </w:r>
          </w:p>
        </w:tc>
      </w:tr>
      <w:tr w:rsidR="00CC50DA" w14:paraId="5F5C83E9" w14:textId="10A2E5B5" w:rsidTr="00BF3B58">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65" w:type="dxa"/>
          </w:tcPr>
          <w:p w14:paraId="0DA71EFD" w14:textId="1FB99D59" w:rsidR="00454248" w:rsidRPr="00C525FD" w:rsidRDefault="00B85558" w:rsidP="006246C7">
            <w:pPr>
              <w:keepNext/>
              <w:keepLines/>
              <w:jc w:val="center"/>
              <w:rPr>
                <w:bCs/>
                <w:highlight w:val="yellow"/>
              </w:rPr>
            </w:pPr>
            <w:r w:rsidRPr="00D6294B">
              <w:rPr>
                <w:bCs/>
              </w:rPr>
              <w:t>0.</w:t>
            </w:r>
            <w:r w:rsidR="00A46CAA">
              <w:rPr>
                <w:bCs/>
              </w:rPr>
              <w:t>20</w:t>
            </w:r>
          </w:p>
        </w:tc>
        <w:tc>
          <w:tcPr>
            <w:tcW w:w="941" w:type="dxa"/>
          </w:tcPr>
          <w:p w14:paraId="188F9158" w14:textId="2ED6144F" w:rsidR="00454248" w:rsidRPr="00A8237C" w:rsidRDefault="00B85558" w:rsidP="006246C7">
            <w:pPr>
              <w:keepNext/>
              <w:keepLines/>
              <w:jc w:val="center"/>
              <w:cnfStyle w:val="000000100000" w:firstRow="0" w:lastRow="0" w:firstColumn="0" w:lastColumn="0" w:oddVBand="0" w:evenVBand="0" w:oddHBand="1" w:evenHBand="0" w:firstRowFirstColumn="0" w:firstRowLastColumn="0" w:lastRowFirstColumn="0" w:lastRowLastColumn="0"/>
              <w:rPr>
                <w:bCs/>
              </w:rPr>
            </w:pPr>
            <w:r w:rsidRPr="00A8237C">
              <w:rPr>
                <w:bCs/>
              </w:rPr>
              <w:t>0</w:t>
            </w:r>
            <w:r w:rsidR="00A8237C" w:rsidRPr="00A8237C">
              <w:rPr>
                <w:bCs/>
              </w:rPr>
              <w:t>.005</w:t>
            </w:r>
          </w:p>
        </w:tc>
        <w:tc>
          <w:tcPr>
            <w:tcW w:w="1859" w:type="dxa"/>
          </w:tcPr>
          <w:p w14:paraId="545312C4" w14:textId="58BD6A37" w:rsidR="00454248" w:rsidRPr="00A8237C" w:rsidRDefault="00B85558" w:rsidP="006246C7">
            <w:pPr>
              <w:keepNext/>
              <w:keepLines/>
              <w:jc w:val="center"/>
              <w:cnfStyle w:val="000000100000" w:firstRow="0" w:lastRow="0" w:firstColumn="0" w:lastColumn="0" w:oddVBand="0" w:evenVBand="0" w:oddHBand="1" w:evenHBand="0" w:firstRowFirstColumn="0" w:firstRowLastColumn="0" w:lastRowFirstColumn="0" w:lastRowLastColumn="0"/>
              <w:rPr>
                <w:bCs/>
              </w:rPr>
            </w:pPr>
            <w:r w:rsidRPr="00A8237C">
              <w:rPr>
                <w:bCs/>
              </w:rPr>
              <w:t>0.</w:t>
            </w:r>
            <w:r w:rsidR="00A46CAA" w:rsidRPr="00A8237C">
              <w:rPr>
                <w:bCs/>
              </w:rPr>
              <w:t>80</w:t>
            </w:r>
          </w:p>
        </w:tc>
      </w:tr>
    </w:tbl>
    <w:p w14:paraId="6AE9A899" w14:textId="7014A323" w:rsidR="0088256F" w:rsidRPr="0088256F" w:rsidRDefault="0088256F" w:rsidP="00B85558">
      <w:pPr>
        <w:pStyle w:val="Heading1"/>
      </w:pPr>
      <w:r w:rsidRPr="0088256F">
        <w:t>Data Collection and Sampling Methodology</w:t>
      </w:r>
    </w:p>
    <w:p w14:paraId="438D0AF7" w14:textId="2BA012E4" w:rsidR="007E67D5" w:rsidRDefault="00465BF0" w:rsidP="0088256F">
      <w:r>
        <w:t xml:space="preserve">The evaluation team conducted a web survey with </w:t>
      </w:r>
      <w:r w:rsidR="00DF2DA9">
        <w:t xml:space="preserve">customers who participated in the </w:t>
      </w:r>
      <w:r w:rsidR="00FA6CF4">
        <w:t xml:space="preserve">channel </w:t>
      </w:r>
      <w:r w:rsidR="00DF2DA9">
        <w:t xml:space="preserve">in </w:t>
      </w:r>
      <w:r w:rsidR="001F3867">
        <w:t>2022, 2023</w:t>
      </w:r>
      <w:r w:rsidR="005A032C">
        <w:t xml:space="preserve">, and the </w:t>
      </w:r>
      <w:r w:rsidR="001F3867">
        <w:t>first half of 2024.</w:t>
      </w:r>
      <w:r w:rsidR="005A032C">
        <w:t xml:space="preserve"> </w:t>
      </w:r>
      <w:r w:rsidR="007E67D5">
        <w:t>The evaluation team first fielded the survey in August of 2023 with customers who participated in the channel in 2022 and the first half of 2023. Due to the low number of responses to the first round of research, the evaluation fielded a second round of research in July 2024 with customers who participated in the channel in the second half of 2023 and first half of 2024.</w:t>
      </w:r>
      <w:r w:rsidR="00F2773B">
        <w:t xml:space="preserve"> The evaluation team contacted p</w:t>
      </w:r>
      <w:r w:rsidR="00F2773B" w:rsidRPr="0088256F">
        <w:t xml:space="preserve">articipants </w:t>
      </w:r>
      <w:r w:rsidR="00F2773B">
        <w:t xml:space="preserve">via email to invite them to complete the survey. As part of the outreach strategy, the evaluation team sent out an </w:t>
      </w:r>
      <w:r w:rsidR="00F2773B" w:rsidRPr="00B86570">
        <w:t>initial email invitation to participants in the sample, and</w:t>
      </w:r>
      <w:r w:rsidR="00F2773B">
        <w:t xml:space="preserve"> up to</w:t>
      </w:r>
      <w:r w:rsidR="00F2773B" w:rsidRPr="00B86570">
        <w:t xml:space="preserve"> three follow-up emails.</w:t>
      </w:r>
      <w:r w:rsidR="00F2773B">
        <w:t xml:space="preserve"> P</w:t>
      </w:r>
      <w:r w:rsidR="00F2773B" w:rsidRPr="00EC3775">
        <w:t>articipants were offered a $50 e-gift card as an incentive for their participation.</w:t>
      </w:r>
    </w:p>
    <w:p w14:paraId="20F5F304" w14:textId="321B22F6" w:rsidR="0088256F" w:rsidRPr="0088256F" w:rsidRDefault="0007772C" w:rsidP="0088256F">
      <w:r>
        <w:t xml:space="preserve">The </w:t>
      </w:r>
      <w:proofErr w:type="spellStart"/>
      <w:r>
        <w:t>VCx</w:t>
      </w:r>
      <w:proofErr w:type="spellEnd"/>
      <w:r>
        <w:t xml:space="preserve"> channel’s tracking data</w:t>
      </w:r>
      <w:r w:rsidR="001D4C01" w:rsidRPr="00B86570">
        <w:t xml:space="preserve"> </w:t>
      </w:r>
      <w:r w:rsidR="001D4C01" w:rsidRPr="00D6294B">
        <w:t>included 98 projects across 93 unique facilities, associated with 7</w:t>
      </w:r>
      <w:r w:rsidR="00D6294B" w:rsidRPr="00D6294B">
        <w:t>0</w:t>
      </w:r>
      <w:r w:rsidR="001D4C01" w:rsidRPr="00B86570">
        <w:t xml:space="preserve"> unique contacts with a valid email address</w:t>
      </w:r>
      <w:r>
        <w:t xml:space="preserve"> across the mentioned timeframe</w:t>
      </w:r>
      <w:r w:rsidR="001D4C01" w:rsidRPr="00B86570">
        <w:t xml:space="preserve">. </w:t>
      </w:r>
      <w:r w:rsidR="001D4C01">
        <w:t xml:space="preserve">Of </w:t>
      </w:r>
      <w:r w:rsidR="001D4C01" w:rsidRPr="00D6294B">
        <w:t>the 93 unique</w:t>
      </w:r>
      <w:r w:rsidR="001D4C01">
        <w:t xml:space="preserve"> facilities that participated in the channel, 1</w:t>
      </w:r>
      <w:r>
        <w:t>5</w:t>
      </w:r>
      <w:r w:rsidR="001D4C01">
        <w:t xml:space="preserve"> </w:t>
      </w:r>
      <w:r>
        <w:t>were</w:t>
      </w:r>
      <w:r w:rsidR="001D4C01" w:rsidRPr="00417F71">
        <w:t xml:space="preserve"> eligible under the NTG Ratio for Disadvantaged Areas policy defined in section 7.4 of the Illinois Policy Manual,</w:t>
      </w:r>
      <w:r w:rsidR="001D4C01">
        <w:rPr>
          <w:rStyle w:val="FootnoteReference"/>
        </w:rPr>
        <w:footnoteReference w:id="4"/>
      </w:r>
      <w:r w:rsidR="001D4C01" w:rsidRPr="00417F71">
        <w:t xml:space="preserve"> and are therefore excluded from the population for the purposes of this research</w:t>
      </w:r>
      <w:r w:rsidR="001D4C01">
        <w:t xml:space="preserve">. </w:t>
      </w:r>
      <w:r>
        <w:t xml:space="preserve">In total, the survey population consisted of 82 projects across 80 unique facilities, associated with 59 unique contacts with a valid email address. </w:t>
      </w:r>
      <w:r w:rsidR="001D4C01" w:rsidRPr="00B86570">
        <w:t xml:space="preserve">The evaluation team attempted a census sampling approach and created a sample composed of </w:t>
      </w:r>
      <w:r w:rsidR="00005BB2">
        <w:t>59</w:t>
      </w:r>
      <w:r w:rsidR="001D4C01" w:rsidRPr="00B86570">
        <w:t xml:space="preserve"> projects (one project per valid contact).</w:t>
      </w:r>
      <w:r w:rsidR="00F2773B">
        <w:t xml:space="preserve"> As presented in Table 2, we received six valid responses to the survey </w:t>
      </w:r>
      <w:r w:rsidR="00F2773B" w:rsidRPr="003D2675">
        <w:t xml:space="preserve">(i.e., participants </w:t>
      </w:r>
      <w:r w:rsidR="00C525FD">
        <w:t xml:space="preserve">who </w:t>
      </w:r>
      <w:r w:rsidR="00F2773B" w:rsidRPr="003D2675">
        <w:t xml:space="preserve">passed screening and are not associated with facilities eligible </w:t>
      </w:r>
      <w:r w:rsidR="00C525FD">
        <w:t>under</w:t>
      </w:r>
      <w:r w:rsidR="00F2773B" w:rsidRPr="003D2675">
        <w:t xml:space="preserve"> the NTG Ratio for Disadvantaged Areas policy)</w:t>
      </w:r>
      <w:r w:rsidR="00F2773B" w:rsidRPr="005367F0">
        <w:t xml:space="preserve">, resulting in a response rate </w:t>
      </w:r>
      <w:r w:rsidR="00F2773B" w:rsidRPr="00483CE5">
        <w:t xml:space="preserve">of </w:t>
      </w:r>
      <w:r w:rsidR="00005BB2" w:rsidRPr="00C525FD">
        <w:t>10</w:t>
      </w:r>
      <w:r w:rsidR="00F2773B" w:rsidRPr="00C525FD">
        <w:t>%.</w:t>
      </w:r>
      <w:r w:rsidR="00F2773B" w:rsidRPr="00C525FD">
        <w:rPr>
          <w:rStyle w:val="FootnoteReference"/>
        </w:rPr>
        <w:footnoteReference w:id="5"/>
      </w:r>
      <w:r w:rsidR="00F2773B" w:rsidRPr="005367F0">
        <w:t xml:space="preserve"> </w:t>
      </w:r>
      <w:r w:rsidR="00F2773B" w:rsidRPr="005367F0">
        <w:fldChar w:fldCharType="begin"/>
      </w:r>
      <w:r w:rsidR="00F2773B" w:rsidRPr="005367F0">
        <w:instrText xml:space="preserve"> REF _Ref16486547 \h </w:instrText>
      </w:r>
      <w:r w:rsidR="00F2773B">
        <w:instrText xml:space="preserve"> \* MERGEFORMAT </w:instrText>
      </w:r>
      <w:r w:rsidR="00F2773B" w:rsidRPr="005367F0">
        <w:fldChar w:fldCharType="separate"/>
      </w:r>
      <w:r w:rsidR="00F2773B" w:rsidRPr="005367F0">
        <w:t xml:space="preserve">Table </w:t>
      </w:r>
      <w:r w:rsidR="00F2773B" w:rsidRPr="005367F0">
        <w:rPr>
          <w:noProof/>
        </w:rPr>
        <w:t>2</w:t>
      </w:r>
      <w:r w:rsidR="00F2773B" w:rsidRPr="005367F0">
        <w:fldChar w:fldCharType="end"/>
      </w:r>
      <w:r w:rsidR="00F2773B" w:rsidRPr="005367F0">
        <w:t xml:space="preserve"> below shows the number of projects and the percentage of savings</w:t>
      </w:r>
      <w:r w:rsidR="00F2773B" w:rsidRPr="0088256F">
        <w:t xml:space="preserve"> that were captured in </w:t>
      </w:r>
      <w:r w:rsidR="00F2773B">
        <w:t>the</w:t>
      </w:r>
      <w:r w:rsidR="00F2773B" w:rsidRPr="0088256F">
        <w:t xml:space="preserve"> sample</w:t>
      </w:r>
      <w:r w:rsidR="00F2773B">
        <w:t xml:space="preserve"> and the survey responses</w:t>
      </w:r>
      <w:r w:rsidR="00F2773B" w:rsidRPr="0088256F">
        <w:t>.</w:t>
      </w:r>
    </w:p>
    <w:p w14:paraId="56325E6A" w14:textId="4CC41F4D" w:rsidR="00FA6CF4" w:rsidRDefault="0088256F" w:rsidP="00E03E88">
      <w:pPr>
        <w:keepNext/>
        <w:keepLines/>
        <w:tabs>
          <w:tab w:val="center" w:pos="5553"/>
        </w:tabs>
        <w:jc w:val="center"/>
      </w:pPr>
      <w:bookmarkStart w:id="2" w:name="_Ref16486547"/>
      <w:r w:rsidRPr="00837CA8">
        <w:t xml:space="preserve">Table </w:t>
      </w:r>
      <w:r w:rsidRPr="00C208ED">
        <w:fldChar w:fldCharType="begin"/>
      </w:r>
      <w:r w:rsidRPr="00837CA8">
        <w:instrText xml:space="preserve"> SEQ Table \* ARABIC </w:instrText>
      </w:r>
      <w:r w:rsidRPr="00C208ED">
        <w:fldChar w:fldCharType="separate"/>
      </w:r>
      <w:r w:rsidR="002E0775">
        <w:rPr>
          <w:noProof/>
        </w:rPr>
        <w:t>2</w:t>
      </w:r>
      <w:r w:rsidRPr="00C208ED">
        <w:fldChar w:fldCharType="end"/>
      </w:r>
      <w:bookmarkEnd w:id="2"/>
      <w:r w:rsidRPr="00837CA8">
        <w:t>. Data Collection and Sample Development</w:t>
      </w:r>
    </w:p>
    <w:tbl>
      <w:tblPr>
        <w:tblStyle w:val="ODCBasic-1"/>
        <w:tblW w:w="0" w:type="auto"/>
        <w:tblCellMar>
          <w:top w:w="0" w:type="dxa"/>
          <w:bottom w:w="14" w:type="dxa"/>
        </w:tblCellMar>
        <w:tblLook w:val="04A0" w:firstRow="1" w:lastRow="0" w:firstColumn="1" w:lastColumn="0" w:noHBand="0" w:noVBand="1"/>
      </w:tblPr>
      <w:tblGrid>
        <w:gridCol w:w="1345"/>
        <w:gridCol w:w="1468"/>
        <w:gridCol w:w="1345"/>
        <w:gridCol w:w="1062"/>
        <w:gridCol w:w="1263"/>
        <w:gridCol w:w="1345"/>
        <w:gridCol w:w="1526"/>
        <w:gridCol w:w="1742"/>
      </w:tblGrid>
      <w:tr w:rsidR="001F09E4" w14:paraId="5BFD8EBA" w14:textId="77777777" w:rsidTr="00CC50D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single" w:sz="4" w:space="0" w:color="4A4D56" w:themeColor="text1"/>
              <w:right w:val="single" w:sz="4" w:space="0" w:color="4A4D56" w:themeColor="text1"/>
            </w:tcBorders>
          </w:tcPr>
          <w:p w14:paraId="57554326" w14:textId="1E45E0F0" w:rsidR="00CC50DA" w:rsidRPr="00CC50DA" w:rsidRDefault="00CC50DA" w:rsidP="001F09E4">
            <w:pPr>
              <w:pStyle w:val="TableHeadingLeft"/>
              <w:rPr>
                <w:iCs w:val="0"/>
              </w:rPr>
            </w:pPr>
            <w:bookmarkStart w:id="3" w:name="_Hlk175228462"/>
            <w:r>
              <w:t>Population</w:t>
            </w:r>
          </w:p>
        </w:tc>
        <w:tc>
          <w:tcPr>
            <w:tcW w:w="0" w:type="auto"/>
            <w:gridSpan w:val="3"/>
            <w:tcBorders>
              <w:left w:val="single" w:sz="4" w:space="0" w:color="4A4D56" w:themeColor="text1"/>
              <w:bottom w:val="single" w:sz="4" w:space="0" w:color="4A4D56" w:themeColor="text1"/>
              <w:right w:val="single" w:sz="4" w:space="0" w:color="4A4D56" w:themeColor="text1"/>
            </w:tcBorders>
          </w:tcPr>
          <w:p w14:paraId="04A46697" w14:textId="36A79097" w:rsidR="00CC50DA" w:rsidRPr="00625570" w:rsidRDefault="00CC50DA" w:rsidP="001A2AF7">
            <w:pPr>
              <w:pStyle w:val="TableHeadingCentered"/>
              <w:cnfStyle w:val="100000000000" w:firstRow="1" w:lastRow="0" w:firstColumn="0" w:lastColumn="0" w:oddVBand="0" w:evenVBand="0" w:oddHBand="0" w:evenHBand="0" w:firstRowFirstColumn="0" w:firstRowLastColumn="0" w:lastRowFirstColumn="0" w:lastRowLastColumn="0"/>
            </w:pPr>
            <w:r>
              <w:t>Sample</w:t>
            </w:r>
          </w:p>
        </w:tc>
        <w:tc>
          <w:tcPr>
            <w:tcW w:w="0" w:type="auto"/>
            <w:gridSpan w:val="3"/>
            <w:tcBorders>
              <w:left w:val="single" w:sz="4" w:space="0" w:color="4A4D56" w:themeColor="text1"/>
              <w:bottom w:val="single" w:sz="4" w:space="0" w:color="4A4D56" w:themeColor="text1"/>
            </w:tcBorders>
          </w:tcPr>
          <w:p w14:paraId="04F4755D" w14:textId="02C3B4D2" w:rsidR="00CC50DA" w:rsidRPr="00625570" w:rsidRDefault="00CC50DA" w:rsidP="001A2AF7">
            <w:pPr>
              <w:pStyle w:val="TableHeadingCentered"/>
              <w:cnfStyle w:val="100000000000" w:firstRow="1" w:lastRow="0" w:firstColumn="0" w:lastColumn="0" w:oddVBand="0" w:evenVBand="0" w:oddHBand="0" w:evenHBand="0" w:firstRowFirstColumn="0" w:firstRowLastColumn="0" w:lastRowFirstColumn="0" w:lastRowLastColumn="0"/>
            </w:pPr>
            <w:r>
              <w:t>Responses</w:t>
            </w:r>
          </w:p>
        </w:tc>
      </w:tr>
      <w:tr w:rsidR="007F5064" w14:paraId="23A297E0" w14:textId="77777777" w:rsidTr="00CC50DA">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A4D56" w:themeColor="text1"/>
            </w:tcBorders>
            <w:shd w:val="clear" w:color="auto" w:fill="00B0F0"/>
          </w:tcPr>
          <w:p w14:paraId="0F024A24" w14:textId="2A5535AB" w:rsidR="00CC50DA" w:rsidRPr="00625570" w:rsidRDefault="00CC50DA" w:rsidP="001F09E4">
            <w:pPr>
              <w:pStyle w:val="TableHeadingCentered"/>
            </w:pPr>
            <w:r>
              <w:t>Number of Projects</w:t>
            </w:r>
          </w:p>
        </w:tc>
        <w:tc>
          <w:tcPr>
            <w:tcW w:w="0" w:type="auto"/>
            <w:tcBorders>
              <w:top w:val="single" w:sz="4" w:space="0" w:color="4A4D56" w:themeColor="text1"/>
            </w:tcBorders>
            <w:shd w:val="clear" w:color="auto" w:fill="00B0F0"/>
          </w:tcPr>
          <w:p w14:paraId="65E2EE90" w14:textId="081E0579" w:rsidR="00CC50DA" w:rsidRPr="00625570" w:rsidRDefault="00CC50DA" w:rsidP="001F09E4">
            <w:pPr>
              <w:pStyle w:val="TableHeadingCentered"/>
              <w:cnfStyle w:val="000000100000" w:firstRow="0" w:lastRow="0" w:firstColumn="0" w:lastColumn="0" w:oddVBand="0" w:evenVBand="0" w:oddHBand="1" w:evenHBand="0" w:firstRowFirstColumn="0" w:firstRowLastColumn="0" w:lastRowFirstColumn="0" w:lastRowLastColumn="0"/>
            </w:pPr>
            <w:r>
              <w:t>Total kWh Savings</w:t>
            </w:r>
          </w:p>
        </w:tc>
        <w:tc>
          <w:tcPr>
            <w:tcW w:w="0" w:type="auto"/>
            <w:tcBorders>
              <w:top w:val="single" w:sz="4" w:space="0" w:color="4A4D56" w:themeColor="text1"/>
            </w:tcBorders>
            <w:shd w:val="clear" w:color="auto" w:fill="00B0F0"/>
          </w:tcPr>
          <w:p w14:paraId="4DE6FFF3" w14:textId="05EB18A6" w:rsidR="00CC50DA" w:rsidRPr="00625570" w:rsidRDefault="00CC50DA" w:rsidP="001F09E4">
            <w:pPr>
              <w:pStyle w:val="TableHeadingCentered"/>
              <w:cnfStyle w:val="000000100000" w:firstRow="0" w:lastRow="0" w:firstColumn="0" w:lastColumn="0" w:oddVBand="0" w:evenVBand="0" w:oddHBand="1" w:evenHBand="0" w:firstRowFirstColumn="0" w:firstRowLastColumn="0" w:lastRowFirstColumn="0" w:lastRowLastColumn="0"/>
            </w:pPr>
            <w:r>
              <w:t>Number of Projects</w:t>
            </w:r>
          </w:p>
        </w:tc>
        <w:tc>
          <w:tcPr>
            <w:tcW w:w="0" w:type="auto"/>
            <w:tcBorders>
              <w:top w:val="single" w:sz="4" w:space="0" w:color="4A4D56" w:themeColor="text1"/>
            </w:tcBorders>
            <w:shd w:val="clear" w:color="auto" w:fill="00B0F0"/>
          </w:tcPr>
          <w:p w14:paraId="31F5EDDC" w14:textId="21CE9090" w:rsidR="00CC50DA" w:rsidRPr="00625570" w:rsidRDefault="00CC50DA" w:rsidP="001F09E4">
            <w:pPr>
              <w:pStyle w:val="TableHeadingCentered"/>
              <w:cnfStyle w:val="000000100000" w:firstRow="0" w:lastRow="0" w:firstColumn="0" w:lastColumn="0" w:oddVBand="0" w:evenVBand="0" w:oddHBand="1" w:evenHBand="0" w:firstRowFirstColumn="0" w:firstRowLastColumn="0" w:lastRowFirstColumn="0" w:lastRowLastColumn="0"/>
            </w:pPr>
            <w:r>
              <w:t>% of Projects</w:t>
            </w:r>
          </w:p>
        </w:tc>
        <w:tc>
          <w:tcPr>
            <w:tcW w:w="0" w:type="auto"/>
            <w:tcBorders>
              <w:top w:val="single" w:sz="4" w:space="0" w:color="4A4D56" w:themeColor="text1"/>
            </w:tcBorders>
            <w:shd w:val="clear" w:color="auto" w:fill="00B0F0"/>
          </w:tcPr>
          <w:p w14:paraId="5181A2CE" w14:textId="4BCC454C" w:rsidR="00CC50DA" w:rsidRPr="00625570" w:rsidRDefault="00CC50DA" w:rsidP="00CC50DA">
            <w:pPr>
              <w:pStyle w:val="TableHeadingCentered"/>
              <w:cnfStyle w:val="000000100000" w:firstRow="0" w:lastRow="0" w:firstColumn="0" w:lastColumn="0" w:oddVBand="0" w:evenVBand="0" w:oddHBand="1" w:evenHBand="0" w:firstRowFirstColumn="0" w:firstRowLastColumn="0" w:lastRowFirstColumn="0" w:lastRowLastColumn="0"/>
            </w:pPr>
            <w:r>
              <w:t>% of kWh Savings</w:t>
            </w:r>
          </w:p>
        </w:tc>
        <w:tc>
          <w:tcPr>
            <w:tcW w:w="0" w:type="auto"/>
            <w:tcBorders>
              <w:top w:val="single" w:sz="4" w:space="0" w:color="4A4D56" w:themeColor="text1"/>
            </w:tcBorders>
            <w:shd w:val="clear" w:color="auto" w:fill="00B0F0"/>
          </w:tcPr>
          <w:p w14:paraId="13EC7B69" w14:textId="4DD09049" w:rsidR="00CC50DA" w:rsidRPr="00625570" w:rsidRDefault="00CC50DA" w:rsidP="00CC50DA">
            <w:pPr>
              <w:pStyle w:val="TableHeadingCentered"/>
              <w:cnfStyle w:val="000000100000" w:firstRow="0" w:lastRow="0" w:firstColumn="0" w:lastColumn="0" w:oddVBand="0" w:evenVBand="0" w:oddHBand="1" w:evenHBand="0" w:firstRowFirstColumn="0" w:firstRowLastColumn="0" w:lastRowFirstColumn="0" w:lastRowLastColumn="0"/>
            </w:pPr>
            <w:r>
              <w:t>Number of Projects</w:t>
            </w:r>
          </w:p>
        </w:tc>
        <w:tc>
          <w:tcPr>
            <w:tcW w:w="0" w:type="auto"/>
            <w:tcBorders>
              <w:top w:val="single" w:sz="4" w:space="0" w:color="4A4D56" w:themeColor="text1"/>
            </w:tcBorders>
            <w:shd w:val="clear" w:color="auto" w:fill="00B0F0"/>
          </w:tcPr>
          <w:p w14:paraId="42B2EFEE" w14:textId="06B80CD6" w:rsidR="00CC50DA" w:rsidRPr="00625570" w:rsidRDefault="00CC50DA" w:rsidP="001F09E4">
            <w:pPr>
              <w:pStyle w:val="TableHeadingCentered"/>
              <w:cnfStyle w:val="000000100000" w:firstRow="0" w:lastRow="0" w:firstColumn="0" w:lastColumn="0" w:oddVBand="0" w:evenVBand="0" w:oddHBand="1" w:evenHBand="0" w:firstRowFirstColumn="0" w:firstRowLastColumn="0" w:lastRowFirstColumn="0" w:lastRowLastColumn="0"/>
            </w:pPr>
            <w:r>
              <w:t>% of Sampled Projects</w:t>
            </w:r>
          </w:p>
        </w:tc>
        <w:tc>
          <w:tcPr>
            <w:tcW w:w="0" w:type="auto"/>
            <w:tcBorders>
              <w:top w:val="single" w:sz="4" w:space="0" w:color="4A4D56" w:themeColor="text1"/>
            </w:tcBorders>
            <w:shd w:val="clear" w:color="auto" w:fill="00B0F0"/>
          </w:tcPr>
          <w:p w14:paraId="65AB6396" w14:textId="2F024646" w:rsidR="00CC50DA" w:rsidRPr="00625570" w:rsidRDefault="00CC50DA" w:rsidP="001F09E4">
            <w:pPr>
              <w:pStyle w:val="TableHeadingCentered"/>
              <w:cnfStyle w:val="000000100000" w:firstRow="0" w:lastRow="0" w:firstColumn="0" w:lastColumn="0" w:oddVBand="0" w:evenVBand="0" w:oddHBand="1" w:evenHBand="0" w:firstRowFirstColumn="0" w:firstRowLastColumn="0" w:lastRowFirstColumn="0" w:lastRowLastColumn="0"/>
            </w:pPr>
            <w:r>
              <w:t>% of Sampled kWh Savings</w:t>
            </w:r>
          </w:p>
        </w:tc>
      </w:tr>
      <w:tr w:rsidR="001F09E4" w14:paraId="3D07AF34" w14:textId="77777777" w:rsidTr="00CC50DA">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0" w:type="auto"/>
          </w:tcPr>
          <w:p w14:paraId="715EC766" w14:textId="5618F75B" w:rsidR="00CC50DA" w:rsidRPr="00005BB2" w:rsidRDefault="00005BB2" w:rsidP="001F09E4">
            <w:pPr>
              <w:pStyle w:val="TableLeftText"/>
              <w:jc w:val="center"/>
            </w:pPr>
            <w:r w:rsidRPr="00C525FD">
              <w:t>82</w:t>
            </w:r>
          </w:p>
        </w:tc>
        <w:tc>
          <w:tcPr>
            <w:tcW w:w="0" w:type="auto"/>
          </w:tcPr>
          <w:p w14:paraId="5C14796E" w14:textId="16D63C8C" w:rsidR="00CC50DA" w:rsidRPr="00C525FD" w:rsidRDefault="00005BB2" w:rsidP="00C525FD">
            <w:pPr>
              <w:jc w:val="center"/>
              <w:cnfStyle w:val="000000010000" w:firstRow="0" w:lastRow="0" w:firstColumn="0" w:lastColumn="0" w:oddVBand="0" w:evenVBand="0" w:oddHBand="0" w:evenHBand="1" w:firstRowFirstColumn="0" w:firstRowLastColumn="0" w:lastRowFirstColumn="0" w:lastRowLastColumn="0"/>
              <w:rPr>
                <w:rFonts w:cs="Calibri"/>
                <w:color w:val="4A4D56"/>
              </w:rPr>
            </w:pPr>
            <w:r w:rsidRPr="00005BB2">
              <w:rPr>
                <w:rFonts w:cs="Calibri"/>
                <w:color w:val="4A4D56"/>
                <w:sz w:val="20"/>
              </w:rPr>
              <w:t xml:space="preserve">14,639,313 </w:t>
            </w:r>
          </w:p>
        </w:tc>
        <w:tc>
          <w:tcPr>
            <w:tcW w:w="0" w:type="auto"/>
          </w:tcPr>
          <w:p w14:paraId="18836806" w14:textId="33DD7C36" w:rsidR="00CC50DA" w:rsidRPr="00005BB2" w:rsidRDefault="00005BB2" w:rsidP="001A2AF7">
            <w:pPr>
              <w:pStyle w:val="TableCenterText"/>
              <w:cnfStyle w:val="000000010000" w:firstRow="0" w:lastRow="0" w:firstColumn="0" w:lastColumn="0" w:oddVBand="0" w:evenVBand="0" w:oddHBand="0" w:evenHBand="1" w:firstRowFirstColumn="0" w:firstRowLastColumn="0" w:lastRowFirstColumn="0" w:lastRowLastColumn="0"/>
            </w:pPr>
            <w:r w:rsidRPr="00C525FD">
              <w:t>59</w:t>
            </w:r>
          </w:p>
        </w:tc>
        <w:tc>
          <w:tcPr>
            <w:tcW w:w="0" w:type="auto"/>
          </w:tcPr>
          <w:p w14:paraId="043A79B6" w14:textId="52F2E3AE" w:rsidR="00CC50DA" w:rsidRPr="00005BB2" w:rsidRDefault="00005BB2" w:rsidP="001A2AF7">
            <w:pPr>
              <w:pStyle w:val="TableCenterText"/>
              <w:cnfStyle w:val="000000010000" w:firstRow="0" w:lastRow="0" w:firstColumn="0" w:lastColumn="0" w:oddVBand="0" w:evenVBand="0" w:oddHBand="0" w:evenHBand="1" w:firstRowFirstColumn="0" w:firstRowLastColumn="0" w:lastRowFirstColumn="0" w:lastRowLastColumn="0"/>
            </w:pPr>
            <w:r w:rsidRPr="00C525FD">
              <w:t>72%</w:t>
            </w:r>
          </w:p>
        </w:tc>
        <w:tc>
          <w:tcPr>
            <w:tcW w:w="0" w:type="auto"/>
          </w:tcPr>
          <w:p w14:paraId="078CF61A" w14:textId="4B156FAA" w:rsidR="00CC50DA" w:rsidRPr="00005BB2" w:rsidRDefault="00005BB2" w:rsidP="001A2AF7">
            <w:pPr>
              <w:pStyle w:val="TableCenterText"/>
              <w:cnfStyle w:val="000000010000" w:firstRow="0" w:lastRow="0" w:firstColumn="0" w:lastColumn="0" w:oddVBand="0" w:evenVBand="0" w:oddHBand="0" w:evenHBand="1" w:firstRowFirstColumn="0" w:firstRowLastColumn="0" w:lastRowFirstColumn="0" w:lastRowLastColumn="0"/>
            </w:pPr>
            <w:r w:rsidRPr="00C525FD">
              <w:t>82%</w:t>
            </w:r>
          </w:p>
        </w:tc>
        <w:tc>
          <w:tcPr>
            <w:tcW w:w="0" w:type="auto"/>
          </w:tcPr>
          <w:p w14:paraId="2FBEB0CB" w14:textId="1069A45A" w:rsidR="00CC50DA" w:rsidRPr="00005BB2" w:rsidRDefault="00005BB2" w:rsidP="001A2AF7">
            <w:pPr>
              <w:pStyle w:val="TableCenterText"/>
              <w:cnfStyle w:val="000000010000" w:firstRow="0" w:lastRow="0" w:firstColumn="0" w:lastColumn="0" w:oddVBand="0" w:evenVBand="0" w:oddHBand="0" w:evenHBand="1" w:firstRowFirstColumn="0" w:firstRowLastColumn="0" w:lastRowFirstColumn="0" w:lastRowLastColumn="0"/>
            </w:pPr>
            <w:r w:rsidRPr="00C525FD">
              <w:t>6</w:t>
            </w:r>
          </w:p>
        </w:tc>
        <w:tc>
          <w:tcPr>
            <w:tcW w:w="0" w:type="auto"/>
          </w:tcPr>
          <w:p w14:paraId="525BF230" w14:textId="3FD2D122" w:rsidR="00CC50DA" w:rsidRPr="00005BB2" w:rsidRDefault="00005BB2" w:rsidP="001A2AF7">
            <w:pPr>
              <w:pStyle w:val="TableCenterText"/>
              <w:cnfStyle w:val="000000010000" w:firstRow="0" w:lastRow="0" w:firstColumn="0" w:lastColumn="0" w:oddVBand="0" w:evenVBand="0" w:oddHBand="0" w:evenHBand="1" w:firstRowFirstColumn="0" w:firstRowLastColumn="0" w:lastRowFirstColumn="0" w:lastRowLastColumn="0"/>
            </w:pPr>
            <w:r w:rsidRPr="00C525FD">
              <w:t>10%</w:t>
            </w:r>
          </w:p>
        </w:tc>
        <w:tc>
          <w:tcPr>
            <w:tcW w:w="0" w:type="auto"/>
            <w:tcBorders>
              <w:bottom w:val="single" w:sz="4" w:space="0" w:color="416DCB" w:themeColor="accent1" w:themeTint="99"/>
            </w:tcBorders>
          </w:tcPr>
          <w:p w14:paraId="2C6708AF" w14:textId="15ADE749" w:rsidR="00CC50DA" w:rsidRPr="00005BB2" w:rsidRDefault="00005BB2" w:rsidP="001A2AF7">
            <w:pPr>
              <w:pStyle w:val="TableCenterText"/>
              <w:cnfStyle w:val="000000010000" w:firstRow="0" w:lastRow="0" w:firstColumn="0" w:lastColumn="0" w:oddVBand="0" w:evenVBand="0" w:oddHBand="0" w:evenHBand="1" w:firstRowFirstColumn="0" w:firstRowLastColumn="0" w:lastRowFirstColumn="0" w:lastRowLastColumn="0"/>
            </w:pPr>
            <w:r w:rsidRPr="00C525FD">
              <w:t>2%</w:t>
            </w:r>
          </w:p>
        </w:tc>
      </w:tr>
    </w:tbl>
    <w:bookmarkEnd w:id="3"/>
    <w:p w14:paraId="25CFC41F" w14:textId="77777777" w:rsidR="0088256F" w:rsidRPr="0088256F" w:rsidRDefault="0088256F" w:rsidP="00C4553A">
      <w:pPr>
        <w:pStyle w:val="Heading1"/>
      </w:pPr>
      <w:r w:rsidRPr="0088256F">
        <w:t>NTGR Methodology</w:t>
      </w:r>
    </w:p>
    <w:p w14:paraId="256CF543" w14:textId="7FEC53B4" w:rsidR="00D72EED" w:rsidRDefault="0088256F" w:rsidP="0088256F">
      <w:r w:rsidRPr="0088256F">
        <w:t xml:space="preserve">Net impact evaluation is generally described in terms of determining program attribution. Program attribution accounts for the portion of gross energy savings associated with a program-supported measure or behavior change that would not have been realized in the absence of the program. The share of program-induced savings, indicated as </w:t>
      </w:r>
      <w:r w:rsidR="007741F5">
        <w:t>an</w:t>
      </w:r>
      <w:r w:rsidRPr="0088256F">
        <w:t xml:space="preserve"> NTGR, is made up of </w:t>
      </w:r>
      <w:r w:rsidR="008345C5">
        <w:t xml:space="preserve">FR </w:t>
      </w:r>
      <w:r w:rsidR="00D72EED">
        <w:t>—</w:t>
      </w:r>
      <w:r w:rsidR="008345C5">
        <w:t xml:space="preserve"> the </w:t>
      </w:r>
      <w:r w:rsidR="00D72EED" w:rsidRPr="0088256F">
        <w:t>portion</w:t>
      </w:r>
      <w:r w:rsidR="00D72EED">
        <w:t xml:space="preserve"> </w:t>
      </w:r>
      <w:r w:rsidR="00D72EED" w:rsidRPr="0088256F">
        <w:t>of the program-achieved gross savings that would have been realized absent the program</w:t>
      </w:r>
      <w:r w:rsidR="008345C5">
        <w:t xml:space="preserve"> </w:t>
      </w:r>
      <w:r w:rsidR="00D72EED">
        <w:t>—</w:t>
      </w:r>
      <w:r w:rsidR="008345C5">
        <w:t xml:space="preserve"> </w:t>
      </w:r>
      <w:r w:rsidRPr="0088256F">
        <w:t xml:space="preserve">and </w:t>
      </w:r>
      <w:r w:rsidR="008345C5">
        <w:t xml:space="preserve">SO </w:t>
      </w:r>
      <w:r w:rsidR="00D72EED">
        <w:t>—</w:t>
      </w:r>
      <w:r w:rsidR="00D72EED" w:rsidRPr="0088256F">
        <w:t xml:space="preserve">additional energy-saving actions </w:t>
      </w:r>
      <w:r w:rsidR="008345C5">
        <w:t xml:space="preserve">taken by participants </w:t>
      </w:r>
      <w:r w:rsidR="00D72EED" w:rsidRPr="0088256F">
        <w:t xml:space="preserve">that </w:t>
      </w:r>
      <w:r w:rsidR="008345C5">
        <w:t>were</w:t>
      </w:r>
      <w:r w:rsidR="008345C5" w:rsidRPr="0088256F">
        <w:t xml:space="preserve"> </w:t>
      </w:r>
      <w:r w:rsidR="00D72EED" w:rsidRPr="0088256F">
        <w:t>influenced by the</w:t>
      </w:r>
      <w:r w:rsidR="008345C5">
        <w:t>ir participation in the</w:t>
      </w:r>
      <w:r w:rsidR="00D72EED" w:rsidRPr="0088256F">
        <w:t xml:space="preserve"> program but did not receive </w:t>
      </w:r>
      <w:r w:rsidR="008345C5">
        <w:t xml:space="preserve">direct </w:t>
      </w:r>
      <w:r w:rsidR="00D72EED" w:rsidRPr="0088256F">
        <w:t>program support</w:t>
      </w:r>
      <w:r w:rsidR="00D72EED">
        <w:t xml:space="preserve">. The NTGR </w:t>
      </w:r>
      <w:r w:rsidRPr="0088256F">
        <w:t>is calculated as</w:t>
      </w:r>
      <w:r w:rsidR="00D72EED">
        <w:t>:</w:t>
      </w:r>
    </w:p>
    <w:p w14:paraId="71FC5E49" w14:textId="746C5C99" w:rsidR="0088256F" w:rsidRPr="006246C7" w:rsidRDefault="0014572C" w:rsidP="009160BC">
      <w:pPr>
        <w:jc w:val="center"/>
        <w:rPr>
          <w:i/>
          <w:iCs/>
        </w:rPr>
      </w:pPr>
      <m:oMathPara>
        <m:oMath>
          <m:r>
            <w:rPr>
              <w:rFonts w:ascii="Cambria Math" w:hAnsi="Cambria Math"/>
              <w:lang w:val="fr-CA"/>
            </w:rPr>
            <w:lastRenderedPageBreak/>
            <m:t>NTGR=1-FR+SO</m:t>
          </m:r>
        </m:oMath>
      </m:oMathPara>
    </w:p>
    <w:p w14:paraId="7EFC958A" w14:textId="06DBEAF4" w:rsidR="00B205EF" w:rsidRDefault="00B205EF" w:rsidP="0088256F">
      <w:r>
        <w:t>The evaluation team used</w:t>
      </w:r>
      <w:r w:rsidR="008345C5">
        <w:t xml:space="preserve"> the</w:t>
      </w:r>
      <w:r>
        <w:t xml:space="preserve"> NTG methodology prescribed</w:t>
      </w:r>
      <w:r w:rsidR="008345C5">
        <w:t xml:space="preserve"> for study-based programs</w:t>
      </w:r>
      <w:r>
        <w:t xml:space="preserve"> in the </w:t>
      </w:r>
      <w:r w:rsidR="000D7C26">
        <w:t>IL-</w:t>
      </w:r>
      <w:r>
        <w:t>TRM</w:t>
      </w:r>
      <w:r w:rsidR="000D7C26">
        <w:t xml:space="preserve"> V12.0,</w:t>
      </w:r>
      <w:r>
        <w:t xml:space="preserve"> Attachment A (Illinois Statewide Net-to-Gross Methodologies)</w:t>
      </w:r>
      <w:r w:rsidR="00005BB2">
        <w:t xml:space="preserve"> </w:t>
      </w:r>
      <w:r w:rsidR="008345C5">
        <w:t>to estimate FR</w:t>
      </w:r>
      <w:r>
        <w:t xml:space="preserve">. Additionally, the evaluation team followed </w:t>
      </w:r>
      <w:r w:rsidR="00F005B8">
        <w:t xml:space="preserve">the Core Participant Spillover protocol </w:t>
      </w:r>
      <w:r>
        <w:t xml:space="preserve">to estimate </w:t>
      </w:r>
      <w:r w:rsidR="009160BC">
        <w:t xml:space="preserve">SO </w:t>
      </w:r>
      <w:r>
        <w:t xml:space="preserve">associated with the </w:t>
      </w:r>
      <w:proofErr w:type="spellStart"/>
      <w:r>
        <w:t>VCx</w:t>
      </w:r>
      <w:proofErr w:type="spellEnd"/>
      <w:r>
        <w:t xml:space="preserve"> </w:t>
      </w:r>
      <w:r w:rsidR="005B6E6E">
        <w:t>channel</w:t>
      </w:r>
      <w:r>
        <w:t xml:space="preserve">. </w:t>
      </w:r>
      <w:r w:rsidR="00F005B8">
        <w:t>The following subsections describe t</w:t>
      </w:r>
      <w:r>
        <w:t xml:space="preserve">he detailed methodology </w:t>
      </w:r>
      <w:r w:rsidR="00F005B8">
        <w:t xml:space="preserve">we applied </w:t>
      </w:r>
      <w:r>
        <w:t xml:space="preserve">to calculate both </w:t>
      </w:r>
      <w:r w:rsidR="00F005B8">
        <w:t xml:space="preserve">of these </w:t>
      </w:r>
      <w:r>
        <w:t>NTGR components</w:t>
      </w:r>
      <w:r w:rsidR="00F005B8">
        <w:t>.</w:t>
      </w:r>
    </w:p>
    <w:p w14:paraId="7148FCEC" w14:textId="18EAA2D5" w:rsidR="0088256F" w:rsidRPr="00C525FD" w:rsidRDefault="0088256F" w:rsidP="00B85558">
      <w:pPr>
        <w:pStyle w:val="Heading2"/>
      </w:pPr>
      <w:r w:rsidRPr="00C525FD">
        <w:t>Free</w:t>
      </w:r>
      <w:r w:rsidR="00B205EF" w:rsidRPr="00C525FD">
        <w:t xml:space="preserve"> </w:t>
      </w:r>
      <w:r w:rsidRPr="00C525FD">
        <w:t>Ridership</w:t>
      </w:r>
      <w:r w:rsidR="00B205EF" w:rsidRPr="00C525FD">
        <w:t xml:space="preserve"> Algorithm</w:t>
      </w:r>
    </w:p>
    <w:p w14:paraId="181BDC27" w14:textId="022015B2" w:rsidR="0088256F" w:rsidRPr="00C525FD" w:rsidRDefault="00B205EF" w:rsidP="00B85558">
      <w:pPr>
        <w:pStyle w:val="Heading3"/>
      </w:pPr>
      <w:r w:rsidRPr="00C525FD">
        <w:t>Free Ridership Components</w:t>
      </w:r>
    </w:p>
    <w:p w14:paraId="44638E6F" w14:textId="2355DDB9" w:rsidR="007741F5" w:rsidRDefault="00F005B8" w:rsidP="00C544E9">
      <w:pPr>
        <w:rPr>
          <w:noProof/>
        </w:rPr>
      </w:pPr>
      <w:r>
        <w:t>T</w:t>
      </w:r>
      <w:r w:rsidR="0088256F" w:rsidRPr="0088256F">
        <w:t>he IL-TRM’s Study-Based Free-Ridership protocol</w:t>
      </w:r>
      <w:r w:rsidR="00E816BA" w:rsidRPr="00E816BA">
        <w:t xml:space="preserve"> consists of </w:t>
      </w:r>
      <w:r w:rsidR="00E816BA">
        <w:t>two</w:t>
      </w:r>
      <w:r w:rsidR="00E816BA" w:rsidRPr="00E816BA">
        <w:t xml:space="preserve"> </w:t>
      </w:r>
      <w:r w:rsidR="00D954C0">
        <w:t>sub-</w:t>
      </w:r>
      <w:r w:rsidR="00E816BA" w:rsidRPr="00E816BA">
        <w:t xml:space="preserve">scores: (1) program influence </w:t>
      </w:r>
      <w:r w:rsidR="001C7112">
        <w:t xml:space="preserve">FR </w:t>
      </w:r>
      <w:r w:rsidR="00E816BA" w:rsidRPr="00E816BA">
        <w:t xml:space="preserve">score, and (2) </w:t>
      </w:r>
      <w:r w:rsidR="001C7112">
        <w:t>c</w:t>
      </w:r>
      <w:r w:rsidR="005234BF">
        <w:t xml:space="preserve">ounterfactual </w:t>
      </w:r>
      <w:r w:rsidR="001C7112">
        <w:t xml:space="preserve">FR </w:t>
      </w:r>
      <w:r w:rsidR="005234BF">
        <w:t>score</w:t>
      </w:r>
      <w:r w:rsidR="00E816BA" w:rsidRPr="00E816BA">
        <w:t xml:space="preserve">. Each sub-score serves as a separate estimator of FR and can take on a value </w:t>
      </w:r>
      <w:r w:rsidR="00AA0D1B">
        <w:t xml:space="preserve">between </w:t>
      </w:r>
      <w:r w:rsidR="00E816BA" w:rsidRPr="00E816BA">
        <w:t xml:space="preserve">0 </w:t>
      </w:r>
      <w:r w:rsidR="00AA0D1B">
        <w:t>and</w:t>
      </w:r>
      <w:r w:rsidR="00AA0D1B" w:rsidRPr="00E816BA">
        <w:t xml:space="preserve"> </w:t>
      </w:r>
      <w:r w:rsidR="00E816BA" w:rsidRPr="00E816BA">
        <w:t xml:space="preserve">1, where a higher score means a higher level of FR. </w:t>
      </w:r>
      <w:r w:rsidR="00631179">
        <w:t>The protocol also includes a timing adjustment</w:t>
      </w:r>
      <w:r w:rsidR="00760DC7">
        <w:t>—</w:t>
      </w:r>
      <w:r w:rsidR="00631179">
        <w:t>when</w:t>
      </w:r>
      <w:r w:rsidR="00760DC7">
        <w:t xml:space="preserve"> </w:t>
      </w:r>
      <w:r w:rsidR="00631179">
        <w:t>applicable</w:t>
      </w:r>
      <w:r w:rsidR="00760DC7">
        <w:t>—</w:t>
      </w:r>
      <w:r w:rsidR="00631179">
        <w:t>rang</w:t>
      </w:r>
      <w:r w:rsidR="00760DC7">
        <w:t>ing</w:t>
      </w:r>
      <w:r w:rsidR="00631179">
        <w:t xml:space="preserve"> from 0 to 1, where a smaller value means that </w:t>
      </w:r>
      <w:r w:rsidR="00760DC7">
        <w:t xml:space="preserve">the </w:t>
      </w:r>
      <w:r w:rsidR="00631179">
        <w:t>program resulted in a greater acceleration of the project</w:t>
      </w:r>
      <w:r>
        <w:t xml:space="preserve"> timeline</w:t>
      </w:r>
      <w:r w:rsidR="00631179">
        <w:t xml:space="preserve">, therefore, reducing FR. </w:t>
      </w:r>
      <w:r w:rsidR="00E816BA" w:rsidRPr="00E816BA">
        <w:t xml:space="preserve">The overall FR </w:t>
      </w:r>
      <w:r w:rsidR="00D954C0">
        <w:t xml:space="preserve">score </w:t>
      </w:r>
      <w:r w:rsidR="00E816BA" w:rsidRPr="00E816BA">
        <w:t xml:space="preserve">for a project is the average of the two </w:t>
      </w:r>
      <w:r w:rsidR="00D954C0">
        <w:t>sub-</w:t>
      </w:r>
      <w:r w:rsidR="00E816BA" w:rsidRPr="00E816BA">
        <w:t xml:space="preserve">scores multiplied </w:t>
      </w:r>
      <w:r w:rsidR="00E816BA">
        <w:t>by the timing adjustment</w:t>
      </w:r>
      <w:r w:rsidR="00F855E5">
        <w:t xml:space="preserve">. </w:t>
      </w:r>
      <w:r w:rsidR="007741F5">
        <w:t xml:space="preserve">The </w:t>
      </w:r>
      <w:r w:rsidR="00A612E6">
        <w:t>overall</w:t>
      </w:r>
      <w:r w:rsidR="007741F5">
        <w:t xml:space="preserve"> </w:t>
      </w:r>
      <w:r w:rsidR="00A612E6">
        <w:t>FR algorithm</w:t>
      </w:r>
      <w:r w:rsidR="007741F5">
        <w:t xml:space="preserve"> is shown</w:t>
      </w:r>
      <w:r w:rsidR="00A612E6">
        <w:t xml:space="preserve"> in</w:t>
      </w:r>
      <w:r w:rsidR="00AF0C00">
        <w:t xml:space="preserve"> </w:t>
      </w:r>
      <w:r w:rsidR="00AF0C00">
        <w:fldChar w:fldCharType="begin"/>
      </w:r>
      <w:r w:rsidR="00AF0C00">
        <w:instrText xml:space="preserve"> REF _Ref148363834 \h </w:instrText>
      </w:r>
      <w:r w:rsidR="00AF0C00">
        <w:fldChar w:fldCharType="separate"/>
      </w:r>
      <w:r w:rsidR="00AF0C00" w:rsidRPr="00AF0C00">
        <w:t xml:space="preserve">Figure </w:t>
      </w:r>
      <w:r w:rsidR="00AF0C00" w:rsidRPr="00AF0C00">
        <w:rPr>
          <w:noProof/>
        </w:rPr>
        <w:t>1</w:t>
      </w:r>
      <w:r w:rsidR="00AF0C00">
        <w:fldChar w:fldCharType="end"/>
      </w:r>
      <w:r w:rsidR="002F08E7">
        <w:t xml:space="preserve"> b</w:t>
      </w:r>
      <w:r w:rsidR="007741F5" w:rsidRPr="00497DE1">
        <w:t>elow</w:t>
      </w:r>
      <w:r w:rsidR="00A612E6">
        <w:t>.</w:t>
      </w:r>
    </w:p>
    <w:p w14:paraId="2510801C" w14:textId="5236F3A8" w:rsidR="008C3F93" w:rsidRPr="008C3F93" w:rsidRDefault="00A6314F" w:rsidP="00882CCD">
      <w:pPr>
        <w:pStyle w:val="Caption"/>
        <w:keepNext/>
        <w:jc w:val="center"/>
        <w:rPr>
          <w:rFonts w:ascii="Times New Roman" w:hAnsi="Times New Roman"/>
          <w:color w:val="auto"/>
          <w:sz w:val="24"/>
          <w:szCs w:val="24"/>
        </w:rPr>
      </w:pPr>
      <w:bookmarkStart w:id="4" w:name="_Ref148363834"/>
      <w:r w:rsidRPr="00C544E9">
        <w:rPr>
          <w:i w:val="0"/>
          <w:iCs w:val="0"/>
          <w:color w:val="4A4D56" w:themeColor="text1"/>
          <w:sz w:val="22"/>
          <w:szCs w:val="22"/>
        </w:rPr>
        <w:t xml:space="preserve">Figure </w:t>
      </w:r>
      <w:r w:rsidRPr="00C544E9">
        <w:rPr>
          <w:i w:val="0"/>
          <w:iCs w:val="0"/>
        </w:rPr>
        <w:fldChar w:fldCharType="begin"/>
      </w:r>
      <w:r w:rsidRPr="00C544E9">
        <w:rPr>
          <w:i w:val="0"/>
          <w:iCs w:val="0"/>
          <w:color w:val="4A4D56" w:themeColor="text1"/>
          <w:sz w:val="22"/>
          <w:szCs w:val="22"/>
        </w:rPr>
        <w:instrText xml:space="preserve"> SEQ Figure \* ARABIC </w:instrText>
      </w:r>
      <w:r w:rsidRPr="00C544E9">
        <w:rPr>
          <w:i w:val="0"/>
          <w:iCs w:val="0"/>
        </w:rPr>
        <w:fldChar w:fldCharType="separate"/>
      </w:r>
      <w:r w:rsidRPr="00C544E9">
        <w:rPr>
          <w:i w:val="0"/>
          <w:iCs w:val="0"/>
          <w:noProof/>
          <w:color w:val="4A4D56" w:themeColor="text1"/>
          <w:sz w:val="22"/>
          <w:szCs w:val="22"/>
        </w:rPr>
        <w:t>1</w:t>
      </w:r>
      <w:r w:rsidRPr="00C544E9">
        <w:rPr>
          <w:i w:val="0"/>
          <w:iCs w:val="0"/>
        </w:rPr>
        <w:fldChar w:fldCharType="end"/>
      </w:r>
      <w:bookmarkEnd w:id="4"/>
      <w:r w:rsidRPr="00C544E9">
        <w:rPr>
          <w:i w:val="0"/>
          <w:iCs w:val="0"/>
          <w:color w:val="4A4D56" w:themeColor="text1"/>
          <w:sz w:val="22"/>
          <w:szCs w:val="22"/>
        </w:rPr>
        <w:t xml:space="preserve">. Study-Based Free Ridership </w:t>
      </w:r>
      <w:r w:rsidR="00A84FAD">
        <w:rPr>
          <w:i w:val="0"/>
          <w:iCs w:val="0"/>
          <w:color w:val="4A4D56" w:themeColor="text1"/>
          <w:sz w:val="22"/>
          <w:szCs w:val="22"/>
        </w:rPr>
        <w:t>Algorithm</w:t>
      </w:r>
    </w:p>
    <w:p w14:paraId="1D6BAF3D" w14:textId="6F518632" w:rsidR="000672C0" w:rsidRDefault="000672C0" w:rsidP="000672C0">
      <w:pPr>
        <w:jc w:val="center"/>
      </w:pPr>
    </w:p>
    <w:p w14:paraId="214C58DF" w14:textId="68D9521A" w:rsidR="000672C0" w:rsidRDefault="00972826" w:rsidP="000672C0">
      <w:pPr>
        <w:jc w:val="center"/>
      </w:pPr>
      <w:r>
        <w:rPr>
          <w:noProof/>
        </w:rPr>
        <w:drawing>
          <wp:inline distT="0" distB="0" distL="0" distR="0" wp14:anchorId="742F9D23" wp14:editId="4CBD87F8">
            <wp:extent cx="7052310" cy="4274820"/>
            <wp:effectExtent l="0" t="0" r="0" b="0"/>
            <wp:docPr id="837664977" name="Picture 1" descr="A diagram of a software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664977" name="Picture 1" descr="A diagram of a software company&#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52310" cy="4274820"/>
                    </a:xfrm>
                    <a:prstGeom prst="rect">
                      <a:avLst/>
                    </a:prstGeom>
                  </pic:spPr>
                </pic:pic>
              </a:graphicData>
            </a:graphic>
          </wp:inline>
        </w:drawing>
      </w:r>
    </w:p>
    <w:p w14:paraId="7F611BEB" w14:textId="1448CE8A" w:rsidR="00745AC7" w:rsidRPr="003606AA" w:rsidRDefault="00745AC7" w:rsidP="00C661C4">
      <w:pPr>
        <w:pStyle w:val="TableFootnote"/>
        <w:rPr>
          <w:rStyle w:val="FootnoteReference"/>
        </w:rPr>
      </w:pPr>
      <w:r w:rsidRPr="00C661C4">
        <w:t xml:space="preserve">Note: </w:t>
      </w:r>
      <w:r w:rsidR="00C661C4" w:rsidRPr="00C661C4">
        <w:t xml:space="preserve"> The </w:t>
      </w:r>
      <w:r w:rsidRPr="00C661C4">
        <w:t xml:space="preserve">&lt;ENDUSE&gt; </w:t>
      </w:r>
      <w:r w:rsidR="00C661C4" w:rsidRPr="00C661C4">
        <w:t xml:space="preserve">variable is populated </w:t>
      </w:r>
      <w:r w:rsidRPr="00C661C4">
        <w:t>as “HVAC” or “lighting” depending on the energy-saving improvements the respondent implemented</w:t>
      </w:r>
      <w:r w:rsidR="00C661C4">
        <w:t>.</w:t>
      </w:r>
    </w:p>
    <w:p w14:paraId="61E0543A" w14:textId="2D29BE7D" w:rsidR="004E05FC" w:rsidRPr="00C525FD" w:rsidRDefault="0088256F" w:rsidP="00C525FD">
      <w:pPr>
        <w:pStyle w:val="Heading4"/>
        <w:rPr>
          <w:rStyle w:val="Emphasis"/>
          <w:bCs w:val="0"/>
          <w:i w:val="0"/>
          <w:iCs w:val="0"/>
        </w:rPr>
      </w:pPr>
      <w:r w:rsidRPr="00C525FD">
        <w:rPr>
          <w:rStyle w:val="Emphasis"/>
          <w:bCs w:val="0"/>
          <w:i w:val="0"/>
          <w:iCs w:val="0"/>
        </w:rPr>
        <w:lastRenderedPageBreak/>
        <w:t>Program Influence</w:t>
      </w:r>
      <w:r w:rsidR="004E05FC" w:rsidRPr="00C525FD">
        <w:rPr>
          <w:rStyle w:val="Emphasis"/>
          <w:bCs w:val="0"/>
          <w:i w:val="0"/>
          <w:iCs w:val="0"/>
        </w:rPr>
        <w:t xml:space="preserve"> (PI)</w:t>
      </w:r>
      <w:r w:rsidRPr="00C525FD">
        <w:rPr>
          <w:rStyle w:val="Emphasis"/>
          <w:bCs w:val="0"/>
          <w:i w:val="0"/>
          <w:iCs w:val="0"/>
        </w:rPr>
        <w:t xml:space="preserve"> </w:t>
      </w:r>
      <w:r w:rsidR="004E05FC" w:rsidRPr="00C525FD">
        <w:rPr>
          <w:rStyle w:val="Emphasis"/>
          <w:bCs w:val="0"/>
          <w:i w:val="0"/>
          <w:iCs w:val="0"/>
        </w:rPr>
        <w:t xml:space="preserve">FR </w:t>
      </w:r>
      <w:r w:rsidR="00E23A85" w:rsidRPr="00C525FD">
        <w:rPr>
          <w:rStyle w:val="Emphasis"/>
          <w:bCs w:val="0"/>
          <w:i w:val="0"/>
          <w:iCs w:val="0"/>
        </w:rPr>
        <w:t>S</w:t>
      </w:r>
      <w:r w:rsidR="004E05FC" w:rsidRPr="00C525FD">
        <w:rPr>
          <w:rStyle w:val="Emphasis"/>
          <w:bCs w:val="0"/>
          <w:i w:val="0"/>
          <w:iCs w:val="0"/>
        </w:rPr>
        <w:t xml:space="preserve">core </w:t>
      </w:r>
    </w:p>
    <w:p w14:paraId="517731B4" w14:textId="7C2CA9D7" w:rsidR="0088256F" w:rsidRPr="0088256F" w:rsidRDefault="0058024F" w:rsidP="009854A3">
      <w:r>
        <w:t xml:space="preserve">The </w:t>
      </w:r>
      <w:proofErr w:type="spellStart"/>
      <w:r w:rsidRPr="00D3559C">
        <w:t>VCx</w:t>
      </w:r>
      <w:proofErr w:type="spellEnd"/>
      <w:r w:rsidRPr="00D3559C">
        <w:t xml:space="preserve"> </w:t>
      </w:r>
      <w:r>
        <w:t xml:space="preserve">channel </w:t>
      </w:r>
      <w:r w:rsidRPr="00D3559C">
        <w:t>focuses on two primary end uses</w:t>
      </w:r>
      <w:r>
        <w:t>: HVAC and lighting</w:t>
      </w:r>
      <w:r w:rsidR="00154532">
        <w:t>. The channel’s</w:t>
      </w:r>
      <w:r>
        <w:t xml:space="preserve"> typical interventions include schedule changes for HVAC and lighting equipment</w:t>
      </w:r>
      <w:r w:rsidR="00543010">
        <w:t xml:space="preserve"> and</w:t>
      </w:r>
      <w:r>
        <w:t xml:space="preserve"> </w:t>
      </w:r>
      <w:r w:rsidR="00154532">
        <w:t>set point adjustments for HVAC systems via a</w:t>
      </w:r>
      <w:r w:rsidR="00963609">
        <w:t>n</w:t>
      </w:r>
      <w:r w:rsidR="00154532">
        <w:t xml:space="preserve"> </w:t>
      </w:r>
      <w:r w:rsidR="00963609">
        <w:t xml:space="preserve">advanced </w:t>
      </w:r>
      <w:r w:rsidR="00154532">
        <w:t xml:space="preserve">thermostat or the facility’s </w:t>
      </w:r>
      <w:r w:rsidR="001E37D0">
        <w:t xml:space="preserve">building or </w:t>
      </w:r>
      <w:r w:rsidR="00154532">
        <w:t>energy management system (</w:t>
      </w:r>
      <w:r w:rsidR="001E37D0">
        <w:t>BMS/EMS</w:t>
      </w:r>
      <w:r w:rsidR="00154532">
        <w:t>).</w:t>
      </w:r>
      <w:r>
        <w:t xml:space="preserve"> </w:t>
      </w:r>
      <w:r w:rsidR="00AA0D1B">
        <w:t>As part of the survey, r</w:t>
      </w:r>
      <w:r w:rsidR="00154532">
        <w:t xml:space="preserve">espondents </w:t>
      </w:r>
      <w:r w:rsidR="00AF60F9">
        <w:t>were</w:t>
      </w:r>
      <w:r w:rsidR="00154532">
        <w:t xml:space="preserve"> reminded of the services they received from the Energy Advisor through the </w:t>
      </w:r>
      <w:proofErr w:type="spellStart"/>
      <w:r w:rsidR="00154532">
        <w:t>VCx</w:t>
      </w:r>
      <w:proofErr w:type="spellEnd"/>
      <w:r w:rsidR="00154532">
        <w:t xml:space="preserve"> channel, including the end use-specific recommendations they received. Then respondents were asked to score </w:t>
      </w:r>
      <w:r w:rsidR="008459C2">
        <w:t>how influen</w:t>
      </w:r>
      <w:r w:rsidR="00AF0C00">
        <w:t>t</w:t>
      </w:r>
      <w:r w:rsidR="008459C2">
        <w:t>ial</w:t>
      </w:r>
      <w:r w:rsidR="0088256F" w:rsidRPr="0088256F">
        <w:t xml:space="preserve"> </w:t>
      </w:r>
      <w:r w:rsidR="00E816BA">
        <w:t>their communication with the Energy Advisor</w:t>
      </w:r>
      <w:r w:rsidR="0088256F" w:rsidRPr="0088256F">
        <w:t xml:space="preserve"> </w:t>
      </w:r>
      <w:r w:rsidR="008459C2">
        <w:t xml:space="preserve">was </w:t>
      </w:r>
      <w:r w:rsidR="0088256F" w:rsidRPr="0088256F">
        <w:t xml:space="preserve">in their decision to </w:t>
      </w:r>
      <w:r w:rsidR="008459C2">
        <w:t xml:space="preserve">make </w:t>
      </w:r>
      <w:r w:rsidR="00F82339">
        <w:t xml:space="preserve">adjustments at their facility on a scale </w:t>
      </w:r>
      <w:r w:rsidR="008459C2">
        <w:t xml:space="preserve">from </w:t>
      </w:r>
      <w:r w:rsidR="00AF60F9">
        <w:t xml:space="preserve">0 </w:t>
      </w:r>
      <w:r w:rsidR="00F82339">
        <w:t xml:space="preserve">to </w:t>
      </w:r>
      <w:r w:rsidR="00AF60F9">
        <w:t>10</w:t>
      </w:r>
      <w:r w:rsidR="0088256F" w:rsidRPr="0088256F">
        <w:t xml:space="preserve">. </w:t>
      </w:r>
      <w:r w:rsidR="00963609">
        <w:t>Per IL-TRM guidance, we designed the survey such that re</w:t>
      </w:r>
      <w:r w:rsidR="008459C2">
        <w:t xml:space="preserve">spondents </w:t>
      </w:r>
      <w:r w:rsidR="00963609">
        <w:t xml:space="preserve">whose </w:t>
      </w:r>
      <w:r w:rsidR="008459C2">
        <w:t xml:space="preserve">projects included both lighting and HVAC adjustments </w:t>
      </w:r>
      <w:r w:rsidR="00963609">
        <w:t xml:space="preserve">would have been </w:t>
      </w:r>
      <w:r w:rsidR="008459C2">
        <w:t>asked to provide a single program influence score</w:t>
      </w:r>
      <w:r w:rsidR="00963609">
        <w:t xml:space="preserve"> covering both </w:t>
      </w:r>
      <w:r w:rsidR="00B821B8">
        <w:t>end uses</w:t>
      </w:r>
      <w:r w:rsidR="008459C2">
        <w:t>.</w:t>
      </w:r>
      <w:r w:rsidR="00F97193">
        <w:t xml:space="preserve"> </w:t>
      </w:r>
      <w:bookmarkStart w:id="5" w:name="_Hlk175334704"/>
      <w:r w:rsidR="00597170">
        <w:t>Of</w:t>
      </w:r>
      <w:r w:rsidR="00F97193">
        <w:t xml:space="preserve"> the six respondents who completed the survey, </w:t>
      </w:r>
      <w:r w:rsidR="00005BB2">
        <w:t>five</w:t>
      </w:r>
      <w:r w:rsidR="00F97193">
        <w:t xml:space="preserve"> had projects that only included one end use</w:t>
      </w:r>
      <w:r w:rsidR="00005BB2">
        <w:t xml:space="preserve"> and one</w:t>
      </w:r>
      <w:r w:rsidR="00557C33">
        <w:t xml:space="preserve"> respondent’s project</w:t>
      </w:r>
      <w:r w:rsidR="00005BB2">
        <w:t xml:space="preserve"> included both</w:t>
      </w:r>
      <w:r w:rsidR="00557C33">
        <w:t xml:space="preserve"> end uses</w:t>
      </w:r>
      <w:r w:rsidR="00F97193">
        <w:t>.</w:t>
      </w:r>
      <w:bookmarkEnd w:id="5"/>
    </w:p>
    <w:p w14:paraId="228208C1" w14:textId="27CD776C" w:rsidR="00E23A85" w:rsidRPr="008C7FBF" w:rsidRDefault="00F82339" w:rsidP="00C525FD">
      <w:pPr>
        <w:pStyle w:val="Heading4"/>
      </w:pPr>
      <w:r w:rsidRPr="00C525FD">
        <w:rPr>
          <w:rStyle w:val="Emphasis"/>
          <w:bCs w:val="0"/>
          <w:i w:val="0"/>
          <w:iCs w:val="0"/>
        </w:rPr>
        <w:t xml:space="preserve">Counterfactual </w:t>
      </w:r>
      <w:r w:rsidR="00E23A85" w:rsidRPr="00C525FD">
        <w:rPr>
          <w:rStyle w:val="Emphasis"/>
          <w:bCs w:val="0"/>
          <w:i w:val="0"/>
          <w:iCs w:val="0"/>
        </w:rPr>
        <w:t xml:space="preserve">(CF) FR </w:t>
      </w:r>
      <w:r w:rsidRPr="00C525FD">
        <w:rPr>
          <w:rStyle w:val="Emphasis"/>
          <w:bCs w:val="0"/>
          <w:i w:val="0"/>
          <w:iCs w:val="0"/>
        </w:rPr>
        <w:t>Score</w:t>
      </w:r>
      <w:r w:rsidR="00E23A85" w:rsidRPr="008C7FBF">
        <w:rPr>
          <w:bCs w:val="0"/>
        </w:rPr>
        <w:t xml:space="preserve"> </w:t>
      </w:r>
      <w:r w:rsidR="0088256F" w:rsidRPr="008C7FBF">
        <w:rPr>
          <w:bCs w:val="0"/>
        </w:rPr>
        <w:t xml:space="preserve"> </w:t>
      </w:r>
    </w:p>
    <w:p w14:paraId="0308ABD7" w14:textId="587C8F85" w:rsidR="00C64C08" w:rsidRDefault="00143C13" w:rsidP="00C64C08">
      <w:r>
        <w:t xml:space="preserve">Based on </w:t>
      </w:r>
      <w:r w:rsidR="00BB26C7">
        <w:t xml:space="preserve">guidance in the </w:t>
      </w:r>
      <w:r w:rsidRPr="0088256F">
        <w:t>Study-Based Free-Ridership protocol</w:t>
      </w:r>
      <w:r>
        <w:t xml:space="preserve">, however, </w:t>
      </w:r>
      <w:r w:rsidR="00BB26C7">
        <w:t xml:space="preserve">we </w:t>
      </w:r>
      <w:r w:rsidR="00963609">
        <w:t xml:space="preserve">designed the survey to </w:t>
      </w:r>
      <w:r w:rsidR="00BB26C7">
        <w:t xml:space="preserve">estimate </w:t>
      </w:r>
      <w:r>
        <w:t>the counterfactual FR score</w:t>
      </w:r>
      <w:r w:rsidR="00BB26C7">
        <w:t>s at the end</w:t>
      </w:r>
      <w:r w:rsidR="003079D9">
        <w:t xml:space="preserve"> </w:t>
      </w:r>
      <w:r w:rsidR="00BB26C7">
        <w:t>use level</w:t>
      </w:r>
      <w:r>
        <w:t xml:space="preserve"> </w:t>
      </w:r>
      <w:r w:rsidR="009E7EFF">
        <w:t>by asking respondents separate batteries of questions covering their lighting and HVAC improvements</w:t>
      </w:r>
      <w:r w:rsidR="009E7EFF" w:rsidDel="00BB26C7">
        <w:t xml:space="preserve"> </w:t>
      </w:r>
      <w:r w:rsidR="00467F8B">
        <w:t xml:space="preserve">to account for any variation in FR </w:t>
      </w:r>
      <w:r w:rsidR="008A5DFE">
        <w:t>across</w:t>
      </w:r>
      <w:r w:rsidR="00467F8B">
        <w:t xml:space="preserve"> the different </w:t>
      </w:r>
      <w:r w:rsidR="00B821B8">
        <w:t>end uses</w:t>
      </w:r>
      <w:r>
        <w:t>.</w:t>
      </w:r>
      <w:r w:rsidRPr="0088256F">
        <w:t xml:space="preserve"> </w:t>
      </w:r>
      <w:r w:rsidR="00467F8B">
        <w:t xml:space="preserve">Respondents </w:t>
      </w:r>
      <w:r w:rsidR="00811F9D">
        <w:t>were</w:t>
      </w:r>
      <w:r w:rsidR="00467F8B">
        <w:t xml:space="preserve"> first asked about </w:t>
      </w:r>
      <w:r w:rsidR="00400B38">
        <w:t>the</w:t>
      </w:r>
      <w:r w:rsidR="007C4016">
        <w:t>ir</w:t>
      </w:r>
      <w:r w:rsidR="00400B38">
        <w:t xml:space="preserve"> facilities’ regular maintenance when it came to the </w:t>
      </w:r>
      <w:r w:rsidR="00B821B8">
        <w:t>end use</w:t>
      </w:r>
      <w:r w:rsidR="00400B38">
        <w:t xml:space="preserve"> in question, and </w:t>
      </w:r>
      <w:r w:rsidR="00467F8B">
        <w:t xml:space="preserve">their awareness and familiarity with </w:t>
      </w:r>
      <w:r w:rsidR="00400B38">
        <w:t xml:space="preserve">the </w:t>
      </w:r>
      <w:r w:rsidR="00467F8B">
        <w:t xml:space="preserve">issues and optimization opportunities </w:t>
      </w:r>
      <w:r w:rsidR="00400B38">
        <w:t xml:space="preserve">identified by the </w:t>
      </w:r>
      <w:r w:rsidR="00A30C50">
        <w:t>E</w:t>
      </w:r>
      <w:r w:rsidR="006B2FF4">
        <w:t xml:space="preserve">nergy </w:t>
      </w:r>
      <w:r w:rsidR="00A30C50">
        <w:t>A</w:t>
      </w:r>
      <w:r w:rsidR="006B2FF4">
        <w:t>dvisor</w:t>
      </w:r>
      <w:r w:rsidR="00467F8B">
        <w:t xml:space="preserve">. </w:t>
      </w:r>
      <w:r w:rsidR="00400B38">
        <w:t xml:space="preserve">Respondents </w:t>
      </w:r>
      <w:r w:rsidR="00811F9D">
        <w:t>were</w:t>
      </w:r>
      <w:r w:rsidR="00400B38">
        <w:t xml:space="preserve"> then asked </w:t>
      </w:r>
      <w:r w:rsidR="005A422D">
        <w:t xml:space="preserve">to select </w:t>
      </w:r>
      <w:r w:rsidR="00400B38">
        <w:t xml:space="preserve">the scenario that would have been most likely to happen regarding that </w:t>
      </w:r>
      <w:r w:rsidR="00B821B8">
        <w:t>end use</w:t>
      </w:r>
      <w:r w:rsidR="00400B38">
        <w:t xml:space="preserve"> if they had not been contacted by the </w:t>
      </w:r>
      <w:r w:rsidR="00A30C50">
        <w:t>Energy Advisor</w:t>
      </w:r>
      <w:r w:rsidR="00400B38">
        <w:t xml:space="preserve">. Lastly, depending on their responses to the scenario question, respondents </w:t>
      </w:r>
      <w:r w:rsidR="00811F9D">
        <w:t>were</w:t>
      </w:r>
      <w:r w:rsidR="00FA247A">
        <w:t xml:space="preserve"> </w:t>
      </w:r>
      <w:r w:rsidR="00400B38">
        <w:t xml:space="preserve">steered to the appropriate counterfactual question where they </w:t>
      </w:r>
      <w:r w:rsidR="00FA247A">
        <w:t>provide</w:t>
      </w:r>
      <w:r w:rsidR="00811F9D">
        <w:t>d</w:t>
      </w:r>
      <w:r w:rsidR="00FA247A">
        <w:t xml:space="preserve"> a </w:t>
      </w:r>
      <w:r w:rsidR="0088256F" w:rsidRPr="0088256F">
        <w:t xml:space="preserve">score </w:t>
      </w:r>
      <w:r w:rsidR="00FA247A">
        <w:t>(</w:t>
      </w:r>
      <w:r w:rsidR="008A5DFE">
        <w:t>between</w:t>
      </w:r>
      <w:r w:rsidR="00FA247A">
        <w:t xml:space="preserve"> </w:t>
      </w:r>
      <w:r w:rsidR="008A5DFE">
        <w:t>0 and 10</w:t>
      </w:r>
      <w:r w:rsidR="00FA247A">
        <w:t xml:space="preserve">) </w:t>
      </w:r>
      <w:r w:rsidR="008A5DFE">
        <w:t>representing</w:t>
      </w:r>
      <w:r w:rsidR="00FA247A">
        <w:t xml:space="preserve"> </w:t>
      </w:r>
      <w:r w:rsidR="005A422D">
        <w:t xml:space="preserve">either </w:t>
      </w:r>
      <w:r w:rsidR="0088256F" w:rsidRPr="0088256F">
        <w:t xml:space="preserve">the likelihood that </w:t>
      </w:r>
      <w:r w:rsidR="00FA247A">
        <w:t xml:space="preserve">they would have done exactly </w:t>
      </w:r>
      <w:r w:rsidR="005A422D">
        <w:t xml:space="preserve">the same thing that </w:t>
      </w:r>
      <w:r w:rsidR="00FA247A">
        <w:t xml:space="preserve">they did through the </w:t>
      </w:r>
      <w:proofErr w:type="spellStart"/>
      <w:r w:rsidR="00FA247A">
        <w:t>VCx</w:t>
      </w:r>
      <w:proofErr w:type="spellEnd"/>
      <w:r w:rsidR="00FA247A">
        <w:t xml:space="preserve"> channel</w:t>
      </w:r>
      <w:r w:rsidR="005A422D">
        <w:t>,</w:t>
      </w:r>
      <w:r w:rsidR="00FA247A">
        <w:t xml:space="preserve"> or </w:t>
      </w:r>
      <w:r w:rsidR="005A422D">
        <w:t xml:space="preserve">the likelihood </w:t>
      </w:r>
      <w:r w:rsidR="00FA247A">
        <w:t>that they would have done something different than what they did</w:t>
      </w:r>
      <w:r w:rsidR="00811F9D">
        <w:t xml:space="preserve"> through the channel</w:t>
      </w:r>
      <w:r w:rsidR="00FA247A">
        <w:t xml:space="preserve">. </w:t>
      </w:r>
      <w:r w:rsidR="00C64C08">
        <w:t>Th</w:t>
      </w:r>
      <w:r w:rsidR="007C4016">
        <w:t>is</w:t>
      </w:r>
      <w:r w:rsidR="00C64C08">
        <w:t xml:space="preserve"> method for calculating the counterfactual </w:t>
      </w:r>
      <w:r w:rsidR="00FA247A">
        <w:t xml:space="preserve">FR </w:t>
      </w:r>
      <w:r w:rsidR="00C64C08">
        <w:t>score</w:t>
      </w:r>
      <w:r w:rsidR="008A5DFE">
        <w:rPr>
          <w:rStyle w:val="FootnoteReference"/>
        </w:rPr>
        <w:footnoteReference w:id="6"/>
      </w:r>
      <w:r w:rsidR="00C64C08">
        <w:t xml:space="preserve"> is </w:t>
      </w:r>
      <w:r w:rsidR="008A5DFE">
        <w:t xml:space="preserve">depicted </w:t>
      </w:r>
      <w:r w:rsidR="009854A3">
        <w:t xml:space="preserve">in </w:t>
      </w:r>
      <w:r w:rsidR="00AF0C00">
        <w:rPr>
          <w:highlight w:val="yellow"/>
        </w:rPr>
        <w:fldChar w:fldCharType="begin"/>
      </w:r>
      <w:r w:rsidR="00AF0C00">
        <w:rPr>
          <w:highlight w:val="yellow"/>
        </w:rPr>
        <w:instrText xml:space="preserve"> REF _Ref148364202 \h </w:instrText>
      </w:r>
      <w:r w:rsidR="005A422D">
        <w:rPr>
          <w:highlight w:val="yellow"/>
        </w:rPr>
        <w:instrText xml:space="preserve"> \* MERGEFORMAT </w:instrText>
      </w:r>
      <w:r w:rsidR="00AF0C00">
        <w:rPr>
          <w:highlight w:val="yellow"/>
        </w:rPr>
      </w:r>
      <w:r w:rsidR="00AF0C00">
        <w:rPr>
          <w:highlight w:val="yellow"/>
        </w:rPr>
        <w:fldChar w:fldCharType="separate"/>
      </w:r>
      <w:r w:rsidR="00AF0C00" w:rsidRPr="00AF0C00">
        <w:t xml:space="preserve">Figure </w:t>
      </w:r>
      <w:r w:rsidR="00AF0C00" w:rsidRPr="005A422D">
        <w:rPr>
          <w:noProof/>
        </w:rPr>
        <w:t>2</w:t>
      </w:r>
      <w:r w:rsidR="00AF0C00">
        <w:rPr>
          <w:highlight w:val="yellow"/>
        </w:rPr>
        <w:fldChar w:fldCharType="end"/>
      </w:r>
      <w:r w:rsidR="002F08E7">
        <w:t xml:space="preserve"> </w:t>
      </w:r>
      <w:r w:rsidR="00C64C08">
        <w:t>below</w:t>
      </w:r>
      <w:r w:rsidR="00FA247A">
        <w:t>.</w:t>
      </w:r>
    </w:p>
    <w:p w14:paraId="653C4A33" w14:textId="55224298" w:rsidR="00800951" w:rsidRPr="0088256F" w:rsidRDefault="00AF0C00" w:rsidP="00882CCD">
      <w:pPr>
        <w:pStyle w:val="Caption"/>
        <w:keepNext/>
        <w:jc w:val="center"/>
      </w:pPr>
      <w:bookmarkStart w:id="6" w:name="_Ref148364202"/>
      <w:r w:rsidRPr="00C544E9">
        <w:rPr>
          <w:i w:val="0"/>
          <w:iCs w:val="0"/>
          <w:color w:val="4A4D56" w:themeColor="text1"/>
          <w:sz w:val="22"/>
          <w:szCs w:val="22"/>
        </w:rPr>
        <w:lastRenderedPageBreak/>
        <w:t xml:space="preserve">Figure </w:t>
      </w:r>
      <w:r w:rsidRPr="00C544E9">
        <w:rPr>
          <w:i w:val="0"/>
          <w:iCs w:val="0"/>
        </w:rPr>
        <w:fldChar w:fldCharType="begin"/>
      </w:r>
      <w:r w:rsidRPr="00C544E9">
        <w:rPr>
          <w:i w:val="0"/>
          <w:iCs w:val="0"/>
          <w:color w:val="4A4D56" w:themeColor="text1"/>
          <w:sz w:val="22"/>
          <w:szCs w:val="22"/>
        </w:rPr>
        <w:instrText xml:space="preserve"> SEQ Figure \* ARABIC </w:instrText>
      </w:r>
      <w:r w:rsidRPr="00C544E9">
        <w:rPr>
          <w:i w:val="0"/>
          <w:iCs w:val="0"/>
        </w:rPr>
        <w:fldChar w:fldCharType="separate"/>
      </w:r>
      <w:r w:rsidRPr="00C544E9">
        <w:rPr>
          <w:i w:val="0"/>
          <w:iCs w:val="0"/>
          <w:noProof/>
          <w:color w:val="4A4D56" w:themeColor="text1"/>
          <w:sz w:val="22"/>
          <w:szCs w:val="22"/>
        </w:rPr>
        <w:t>2</w:t>
      </w:r>
      <w:r w:rsidRPr="00C544E9">
        <w:rPr>
          <w:i w:val="0"/>
          <w:iCs w:val="0"/>
        </w:rPr>
        <w:fldChar w:fldCharType="end"/>
      </w:r>
      <w:bookmarkEnd w:id="6"/>
      <w:r w:rsidR="00A24A8A" w:rsidRPr="00C544E9">
        <w:rPr>
          <w:i w:val="0"/>
          <w:iCs w:val="0"/>
          <w:color w:val="4A4D56" w:themeColor="text1"/>
          <w:sz w:val="22"/>
          <w:szCs w:val="22"/>
        </w:rPr>
        <w:t>.</w:t>
      </w:r>
      <w:r w:rsidRPr="00C544E9">
        <w:rPr>
          <w:i w:val="0"/>
          <w:iCs w:val="0"/>
          <w:color w:val="4A4D56" w:themeColor="text1"/>
          <w:sz w:val="22"/>
          <w:szCs w:val="22"/>
        </w:rPr>
        <w:t xml:space="preserve"> Study-Based FR Counterfactual </w:t>
      </w:r>
      <w:r w:rsidR="002F08E7">
        <w:rPr>
          <w:i w:val="0"/>
          <w:iCs w:val="0"/>
          <w:color w:val="4A4D56" w:themeColor="text1"/>
          <w:sz w:val="22"/>
          <w:szCs w:val="22"/>
        </w:rPr>
        <w:t>Algorithm (Option 1)</w:t>
      </w:r>
      <w:r w:rsidR="00EF5178" w:rsidRPr="00EF5178">
        <w:rPr>
          <w:rStyle w:val="CommentReference"/>
        </w:rPr>
        <w:t xml:space="preserve"> </w:t>
      </w:r>
    </w:p>
    <w:p w14:paraId="38722604" w14:textId="1168AE9A" w:rsidR="000672C0" w:rsidRDefault="00972826" w:rsidP="0088256F">
      <w:pPr>
        <w:rPr>
          <w:iCs/>
        </w:rPr>
      </w:pPr>
      <w:r>
        <w:rPr>
          <w:iCs/>
          <w:noProof/>
        </w:rPr>
        <w:drawing>
          <wp:inline distT="0" distB="0" distL="0" distR="0" wp14:anchorId="77FEF181" wp14:editId="567B2168">
            <wp:extent cx="7052310" cy="5657850"/>
            <wp:effectExtent l="0" t="0" r="0" b="0"/>
            <wp:docPr id="1590302994" name="Picture 2"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02994" name="Picture 2" descr="A diagram of a flow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52310" cy="5657850"/>
                    </a:xfrm>
                    <a:prstGeom prst="rect">
                      <a:avLst/>
                    </a:prstGeom>
                  </pic:spPr>
                </pic:pic>
              </a:graphicData>
            </a:graphic>
          </wp:inline>
        </w:drawing>
      </w:r>
    </w:p>
    <w:p w14:paraId="787AC0C3" w14:textId="570BCAB9" w:rsidR="00523F2B" w:rsidRDefault="00FA247A" w:rsidP="0088256F">
      <w:r w:rsidRPr="009854A3">
        <w:rPr>
          <w:iCs/>
        </w:rPr>
        <w:t>While the Study-Based Protocol recommends aggregat</w:t>
      </w:r>
      <w:r w:rsidR="009E7EFF">
        <w:rPr>
          <w:iCs/>
        </w:rPr>
        <w:t>ing</w:t>
      </w:r>
      <w:r w:rsidRPr="009854A3">
        <w:rPr>
          <w:iCs/>
        </w:rPr>
        <w:t xml:space="preserve"> end use-level counterfactual FR scores to the project level using savings-based weights, the nature of the </w:t>
      </w:r>
      <w:proofErr w:type="spellStart"/>
      <w:r w:rsidRPr="009854A3">
        <w:rPr>
          <w:iCs/>
        </w:rPr>
        <w:t>VCx</w:t>
      </w:r>
      <w:proofErr w:type="spellEnd"/>
      <w:r w:rsidRPr="009854A3">
        <w:rPr>
          <w:iCs/>
        </w:rPr>
        <w:t xml:space="preserve"> channel </w:t>
      </w:r>
      <w:r w:rsidR="006B2FF4">
        <w:rPr>
          <w:iCs/>
        </w:rPr>
        <w:t>would not have</w:t>
      </w:r>
      <w:r w:rsidRPr="009854A3">
        <w:rPr>
          <w:iCs/>
        </w:rPr>
        <w:t xml:space="preserve"> allow</w:t>
      </w:r>
      <w:r w:rsidR="006B2FF4">
        <w:rPr>
          <w:iCs/>
        </w:rPr>
        <w:t>ed</w:t>
      </w:r>
      <w:r w:rsidRPr="009854A3">
        <w:rPr>
          <w:iCs/>
        </w:rPr>
        <w:t xml:space="preserve"> for this, given that savings</w:t>
      </w:r>
      <w:r w:rsidR="007C4016">
        <w:rPr>
          <w:iCs/>
        </w:rPr>
        <w:t xml:space="preserve"> are</w:t>
      </w:r>
      <w:r w:rsidR="007C4016" w:rsidRPr="009854A3">
        <w:rPr>
          <w:iCs/>
        </w:rPr>
        <w:t xml:space="preserve"> track</w:t>
      </w:r>
      <w:r w:rsidR="007C4016">
        <w:rPr>
          <w:iCs/>
        </w:rPr>
        <w:t>ed</w:t>
      </w:r>
      <w:r w:rsidR="007C4016" w:rsidRPr="009854A3">
        <w:rPr>
          <w:iCs/>
        </w:rPr>
        <w:t xml:space="preserve"> </w:t>
      </w:r>
      <w:r w:rsidR="007C4016">
        <w:rPr>
          <w:iCs/>
        </w:rPr>
        <w:t>at the</w:t>
      </w:r>
      <w:r w:rsidR="007C4016" w:rsidRPr="009854A3">
        <w:rPr>
          <w:iCs/>
        </w:rPr>
        <w:t xml:space="preserve"> project-level</w:t>
      </w:r>
      <w:r w:rsidRPr="009854A3">
        <w:rPr>
          <w:iCs/>
        </w:rPr>
        <w:t xml:space="preserve">. Therefore, the evaluation team </w:t>
      </w:r>
      <w:r w:rsidR="006B2FF4">
        <w:rPr>
          <w:iCs/>
        </w:rPr>
        <w:t xml:space="preserve">planned to </w:t>
      </w:r>
      <w:r w:rsidR="009E7EFF">
        <w:rPr>
          <w:iCs/>
        </w:rPr>
        <w:t>calculate</w:t>
      </w:r>
      <w:r w:rsidR="009E7EFF" w:rsidRPr="009854A3">
        <w:rPr>
          <w:iCs/>
        </w:rPr>
        <w:t xml:space="preserve"> </w:t>
      </w:r>
      <w:r w:rsidRPr="009854A3">
        <w:rPr>
          <w:iCs/>
        </w:rPr>
        <w:t xml:space="preserve">a simple average of </w:t>
      </w:r>
      <w:r w:rsidR="00E9637C">
        <w:rPr>
          <w:iCs/>
        </w:rPr>
        <w:t xml:space="preserve">the </w:t>
      </w:r>
      <w:r w:rsidRPr="009854A3">
        <w:rPr>
          <w:iCs/>
        </w:rPr>
        <w:t xml:space="preserve">end use-level counterfactual FR scores to estimate the overall counterfactual FR score for </w:t>
      </w:r>
      <w:r w:rsidR="006B2FF4">
        <w:rPr>
          <w:iCs/>
        </w:rPr>
        <w:t>any respondents whose projects included</w:t>
      </w:r>
      <w:r w:rsidR="009854A3" w:rsidRPr="009854A3">
        <w:rPr>
          <w:iCs/>
        </w:rPr>
        <w:t xml:space="preserve"> both lighting and HVAC adjustments.</w:t>
      </w:r>
      <w:r w:rsidR="00C20A03" w:rsidRPr="00C20A03">
        <w:t xml:space="preserve"> </w:t>
      </w:r>
    </w:p>
    <w:p w14:paraId="0DC3C52D" w14:textId="1894B700" w:rsidR="00090080" w:rsidRDefault="00C20A03" w:rsidP="0088256F">
      <w:pPr>
        <w:rPr>
          <w:iCs/>
        </w:rPr>
      </w:pPr>
      <w:r>
        <w:t xml:space="preserve">As mentioned before, </w:t>
      </w:r>
      <w:r>
        <w:rPr>
          <w:iCs/>
        </w:rPr>
        <w:t>five</w:t>
      </w:r>
      <w:r w:rsidRPr="00C20A03">
        <w:rPr>
          <w:iCs/>
        </w:rPr>
        <w:t xml:space="preserve"> respondents had projects that only included one end use</w:t>
      </w:r>
      <w:r>
        <w:rPr>
          <w:iCs/>
        </w:rPr>
        <w:t>; therefore, their overall counterfactual FR score w</w:t>
      </w:r>
      <w:r w:rsidR="00523F2B">
        <w:rPr>
          <w:iCs/>
        </w:rPr>
        <w:t>as</w:t>
      </w:r>
      <w:r>
        <w:rPr>
          <w:iCs/>
        </w:rPr>
        <w:t xml:space="preserve"> the same as their end use</w:t>
      </w:r>
      <w:r w:rsidR="00557C33">
        <w:rPr>
          <w:iCs/>
        </w:rPr>
        <w:t>-</w:t>
      </w:r>
      <w:r>
        <w:rPr>
          <w:iCs/>
        </w:rPr>
        <w:t xml:space="preserve">level score. However, one </w:t>
      </w:r>
      <w:r w:rsidR="00557C33">
        <w:rPr>
          <w:iCs/>
        </w:rPr>
        <w:t xml:space="preserve">respondent’s project </w:t>
      </w:r>
      <w:r w:rsidRPr="00C20A03">
        <w:rPr>
          <w:iCs/>
        </w:rPr>
        <w:t>included both</w:t>
      </w:r>
      <w:r w:rsidR="00557C33">
        <w:rPr>
          <w:iCs/>
        </w:rPr>
        <w:t xml:space="preserve"> end uses</w:t>
      </w:r>
      <w:r>
        <w:rPr>
          <w:iCs/>
        </w:rPr>
        <w:t>; therefore</w:t>
      </w:r>
      <w:r w:rsidR="00557C33">
        <w:rPr>
          <w:iCs/>
        </w:rPr>
        <w:t>,</w:t>
      </w:r>
      <w:r>
        <w:rPr>
          <w:iCs/>
        </w:rPr>
        <w:t xml:space="preserve"> </w:t>
      </w:r>
      <w:r w:rsidRPr="00C20A03">
        <w:rPr>
          <w:iCs/>
        </w:rPr>
        <w:t>the</w:t>
      </w:r>
      <w:r w:rsidR="00557C33">
        <w:rPr>
          <w:iCs/>
        </w:rPr>
        <w:t>ir</w:t>
      </w:r>
      <w:r w:rsidRPr="00C20A03">
        <w:rPr>
          <w:iCs/>
        </w:rPr>
        <w:t xml:space="preserve"> overall counterfactual FR score </w:t>
      </w:r>
      <w:r w:rsidR="00557C33">
        <w:rPr>
          <w:iCs/>
        </w:rPr>
        <w:t>was calculated as</w:t>
      </w:r>
      <w:r>
        <w:rPr>
          <w:iCs/>
        </w:rPr>
        <w:t xml:space="preserve"> </w:t>
      </w:r>
      <w:r w:rsidR="00557C33">
        <w:rPr>
          <w:iCs/>
        </w:rPr>
        <w:t>the</w:t>
      </w:r>
      <w:r>
        <w:rPr>
          <w:iCs/>
        </w:rPr>
        <w:t xml:space="preserve"> </w:t>
      </w:r>
      <w:r w:rsidRPr="00C20A03">
        <w:rPr>
          <w:iCs/>
        </w:rPr>
        <w:t>simple average of the end use-level counterfactual FR scores</w:t>
      </w:r>
      <w:r>
        <w:rPr>
          <w:iCs/>
        </w:rPr>
        <w:t>.</w:t>
      </w:r>
    </w:p>
    <w:p w14:paraId="25E0418B" w14:textId="73D8CC5F" w:rsidR="008F3721" w:rsidRPr="00C525FD" w:rsidRDefault="008F3721" w:rsidP="00C525FD">
      <w:pPr>
        <w:pStyle w:val="Heading4"/>
        <w:rPr>
          <w:rStyle w:val="Emphasis"/>
          <w:bCs w:val="0"/>
          <w:i w:val="0"/>
          <w:iCs w:val="0"/>
        </w:rPr>
      </w:pPr>
      <w:r w:rsidRPr="00C525FD">
        <w:rPr>
          <w:rStyle w:val="Emphasis"/>
          <w:bCs w:val="0"/>
          <w:i w:val="0"/>
          <w:iCs w:val="0"/>
        </w:rPr>
        <w:t>Consistency check</w:t>
      </w:r>
    </w:p>
    <w:p w14:paraId="346AB171" w14:textId="12DA727A" w:rsidR="008F3721" w:rsidRPr="008F3721" w:rsidRDefault="00E9637C" w:rsidP="008F3721">
      <w:pPr>
        <w:tabs>
          <w:tab w:val="left" w:pos="8268"/>
        </w:tabs>
      </w:pPr>
      <w:r>
        <w:lastRenderedPageBreak/>
        <w:t>R</w:t>
      </w:r>
      <w:r w:rsidR="008F3721">
        <w:t xml:space="preserve">espondents who </w:t>
      </w:r>
      <w:r>
        <w:t xml:space="preserve">provided </w:t>
      </w:r>
      <w:r w:rsidR="008F3721">
        <w:t xml:space="preserve">conflicting program influence and counterfactual </w:t>
      </w:r>
      <w:r w:rsidR="00324AEF">
        <w:t xml:space="preserve">FR </w:t>
      </w:r>
      <w:r w:rsidR="008F3721">
        <w:t>scores</w:t>
      </w:r>
      <w:r w:rsidR="00054530">
        <w:t xml:space="preserve"> (one reflecting high </w:t>
      </w:r>
      <w:r w:rsidR="008A5DFE">
        <w:t>FR</w:t>
      </w:r>
      <w:r w:rsidR="00054530">
        <w:t xml:space="preserve"> and </w:t>
      </w:r>
      <w:r w:rsidR="0004774B">
        <w:t>the other</w:t>
      </w:r>
      <w:r w:rsidR="00054530">
        <w:t xml:space="preserve"> low</w:t>
      </w:r>
      <w:r w:rsidR="008A5DFE">
        <w:t xml:space="preserve"> FR</w:t>
      </w:r>
      <w:r w:rsidR="00054530">
        <w:t>)</w:t>
      </w:r>
      <w:r>
        <w:t xml:space="preserve"> were asked</w:t>
      </w:r>
      <w:r w:rsidR="008F3721">
        <w:t xml:space="preserve"> a consistency check </w:t>
      </w:r>
      <w:r>
        <w:t xml:space="preserve">question </w:t>
      </w:r>
      <w:r w:rsidR="00054530">
        <w:t>requir</w:t>
      </w:r>
      <w:r w:rsidR="008A5DFE">
        <w:t>ing</w:t>
      </w:r>
      <w:r w:rsidR="008F3721">
        <w:t xml:space="preserve"> </w:t>
      </w:r>
      <w:r>
        <w:t xml:space="preserve">them </w:t>
      </w:r>
      <w:r w:rsidR="008F3721">
        <w:t xml:space="preserve">to describe the influence of the </w:t>
      </w:r>
      <w:proofErr w:type="spellStart"/>
      <w:r w:rsidR="00324AEF">
        <w:t>VCx</w:t>
      </w:r>
      <w:proofErr w:type="spellEnd"/>
      <w:r w:rsidR="00324AEF">
        <w:t xml:space="preserve"> channel </w:t>
      </w:r>
      <w:r w:rsidR="008F3721">
        <w:t xml:space="preserve">in their own words. </w:t>
      </w:r>
      <w:r>
        <w:t xml:space="preserve">The evaluation </w:t>
      </w:r>
      <w:r w:rsidR="00925259">
        <w:t>t</w:t>
      </w:r>
      <w:r>
        <w:t>e</w:t>
      </w:r>
      <w:r w:rsidRPr="004F6732">
        <w:t>am reviewed a</w:t>
      </w:r>
      <w:r w:rsidR="00055AEA" w:rsidRPr="004F6732">
        <w:t xml:space="preserve">ll consistency check responses to determine how the </w:t>
      </w:r>
      <w:r w:rsidR="00324AEF" w:rsidRPr="004F6732">
        <w:t xml:space="preserve">FR </w:t>
      </w:r>
      <w:r w:rsidR="00055AEA" w:rsidRPr="004F6732">
        <w:t xml:space="preserve">scores </w:t>
      </w:r>
      <w:r w:rsidR="00811F9D" w:rsidRPr="004F6732">
        <w:t xml:space="preserve">should </w:t>
      </w:r>
      <w:r w:rsidR="00055AEA" w:rsidRPr="004F6732">
        <w:t xml:space="preserve">be manually adjusted to reflect the </w:t>
      </w:r>
      <w:r w:rsidR="00324AEF" w:rsidRPr="004F6732">
        <w:t xml:space="preserve">respondent’s </w:t>
      </w:r>
      <w:r w:rsidR="00055AEA" w:rsidRPr="004F6732">
        <w:t xml:space="preserve">sentiment </w:t>
      </w:r>
      <w:r w:rsidR="00324AEF" w:rsidRPr="004F6732">
        <w:t xml:space="preserve">based on </w:t>
      </w:r>
      <w:r w:rsidR="00055AEA" w:rsidRPr="004F6732">
        <w:t>the</w:t>
      </w:r>
      <w:r w:rsidR="00324AEF" w:rsidRPr="004F6732">
        <w:t>ir</w:t>
      </w:r>
      <w:r w:rsidR="00055AEA" w:rsidRPr="004F6732">
        <w:t xml:space="preserve"> open</w:t>
      </w:r>
      <w:r w:rsidR="00811F9D" w:rsidRPr="004F6732">
        <w:t>-</w:t>
      </w:r>
      <w:r w:rsidR="00324AEF" w:rsidRPr="004F6732">
        <w:t>ended answers</w:t>
      </w:r>
      <w:r w:rsidR="00055AEA" w:rsidRPr="004F6732">
        <w:t>.</w:t>
      </w:r>
      <w:r w:rsidR="00D21B81" w:rsidRPr="004F6732">
        <w:t xml:space="preserve"> </w:t>
      </w:r>
      <w:r w:rsidRPr="004F6732">
        <w:t>O</w:t>
      </w:r>
      <w:r w:rsidR="00D21B81" w:rsidRPr="004F6732">
        <w:t xml:space="preserve">ne respondent triggered </w:t>
      </w:r>
      <w:r w:rsidRPr="004F6732">
        <w:t xml:space="preserve">the </w:t>
      </w:r>
      <w:r w:rsidR="00D21B81" w:rsidRPr="004F6732">
        <w:t>consistency check</w:t>
      </w:r>
      <w:r w:rsidRPr="004F6732">
        <w:t xml:space="preserve"> and</w:t>
      </w:r>
      <w:r w:rsidR="00D21B81" w:rsidRPr="004F6732">
        <w:t xml:space="preserve"> the evaluation team weighted their PI FR score and CF FR score 0.25/0.75</w:t>
      </w:r>
      <w:r w:rsidR="00557C33">
        <w:t>,</w:t>
      </w:r>
      <w:r w:rsidR="00D21B81" w:rsidRPr="004F6732">
        <w:t xml:space="preserve"> respectively, based on</w:t>
      </w:r>
      <w:r w:rsidR="00D21B81">
        <w:t xml:space="preserve"> </w:t>
      </w:r>
      <w:r w:rsidR="00925259">
        <w:t xml:space="preserve">their responses around maintenance habits and awareness </w:t>
      </w:r>
      <w:r w:rsidR="00E0436C">
        <w:t xml:space="preserve">of </w:t>
      </w:r>
      <w:r w:rsidR="00925259">
        <w:t>issues and improvement opportunities, which indicated some level of FR</w:t>
      </w:r>
      <w:r w:rsidR="00D21B81">
        <w:t>.</w:t>
      </w:r>
    </w:p>
    <w:p w14:paraId="339C3435" w14:textId="1AC818AC" w:rsidR="0088256F" w:rsidRPr="00C525FD" w:rsidRDefault="0088256F" w:rsidP="00B85558">
      <w:pPr>
        <w:pStyle w:val="Heading3"/>
      </w:pPr>
      <w:r w:rsidRPr="00C525FD">
        <w:t>Timing Adjustment</w:t>
      </w:r>
    </w:p>
    <w:p w14:paraId="547E6AB9" w14:textId="4E150C5A" w:rsidR="00AD73FD" w:rsidRDefault="0088256F" w:rsidP="00FE34BA">
      <w:pPr>
        <w:spacing w:before="240"/>
      </w:pPr>
      <w:r w:rsidRPr="0088256F">
        <w:t>The timing adjustment is based</w:t>
      </w:r>
      <w:r w:rsidR="007813CC">
        <w:t xml:space="preserve"> on a question </w:t>
      </w:r>
      <w:r w:rsidR="005829A3">
        <w:t xml:space="preserve">that asks the respondent to provide </w:t>
      </w:r>
      <w:r w:rsidR="007813CC">
        <w:t>the</w:t>
      </w:r>
      <w:r w:rsidR="005829A3">
        <w:t>ir</w:t>
      </w:r>
      <w:r w:rsidR="007813CC">
        <w:t xml:space="preserve"> best </w:t>
      </w:r>
      <w:r w:rsidR="00054530">
        <w:t>estimate</w:t>
      </w:r>
      <w:r w:rsidR="007813CC">
        <w:t xml:space="preserve"> of when the energy-saving improvements </w:t>
      </w:r>
      <w:r w:rsidR="0004774B">
        <w:t xml:space="preserve">would have </w:t>
      </w:r>
      <w:r w:rsidR="007813CC">
        <w:t>been implemented at the</w:t>
      </w:r>
      <w:r w:rsidR="005829A3">
        <w:t>ir</w:t>
      </w:r>
      <w:r w:rsidR="007813CC">
        <w:t xml:space="preserve"> facility if the</w:t>
      </w:r>
      <w:r w:rsidR="005829A3">
        <w:t>y</w:t>
      </w:r>
      <w:r w:rsidR="00C057A7">
        <w:t xml:space="preserve"> </w:t>
      </w:r>
      <w:r w:rsidR="007813CC">
        <w:t>had not been contacted by the Energy Advisor</w:t>
      </w:r>
      <w:r w:rsidRPr="0088256F">
        <w:t xml:space="preserve">. </w:t>
      </w:r>
      <w:r w:rsidR="00AD73FD">
        <w:t>The timing adjustment can range from 0 to 1 and can only reduce FR</w:t>
      </w:r>
      <w:r w:rsidR="005829A3">
        <w:t xml:space="preserve">. </w:t>
      </w:r>
      <w:r w:rsidR="00E5641F">
        <w:t>A</w:t>
      </w:r>
      <w:r w:rsidRPr="0088256F">
        <w:t xml:space="preserve"> timing adjustment of 1 </w:t>
      </w:r>
      <w:r w:rsidR="000300B7">
        <w:t>indicates</w:t>
      </w:r>
      <w:r w:rsidR="000300B7" w:rsidRPr="0088256F">
        <w:t xml:space="preserve"> </w:t>
      </w:r>
      <w:r w:rsidRPr="0088256F">
        <w:t xml:space="preserve">that there is no evidence the program changed the timeframe in which the project </w:t>
      </w:r>
      <w:r w:rsidR="00E5641F">
        <w:t>was</w:t>
      </w:r>
      <w:r w:rsidRPr="0088256F">
        <w:t xml:space="preserve"> implemented, while a lower value of the timing adjustment </w:t>
      </w:r>
      <w:r w:rsidR="000300B7">
        <w:t>indicates</w:t>
      </w:r>
      <w:r w:rsidRPr="0088256F">
        <w:t xml:space="preserve"> that the program caused the project to be implemented sooner. </w:t>
      </w:r>
      <w:r w:rsidR="00E5641F">
        <w:t>A lower timing adjustment value results in a greater reduction of FR.</w:t>
      </w:r>
      <w:r w:rsidR="0015610E">
        <w:t xml:space="preserve"> </w:t>
      </w:r>
      <w:r w:rsidR="00AD73FD">
        <w:t xml:space="preserve">The timing adjustment </w:t>
      </w:r>
      <w:r w:rsidR="00B514A6">
        <w:t>is</w:t>
      </w:r>
      <w:r w:rsidR="00AD73FD">
        <w:t xml:space="preserve"> calculated using </w:t>
      </w:r>
      <w:r w:rsidR="00E5641F">
        <w:t xml:space="preserve">the </w:t>
      </w:r>
      <w:r w:rsidR="00AD73FD">
        <w:t xml:space="preserve">midpoint of </w:t>
      </w:r>
      <w:r w:rsidR="00E5641F">
        <w:t xml:space="preserve">the </w:t>
      </w:r>
      <w:r w:rsidR="00AD73FD">
        <w:t>date range</w:t>
      </w:r>
      <w:r w:rsidR="00811F9D">
        <w:t xml:space="preserve"> </w:t>
      </w:r>
      <w:r w:rsidR="00E5641F">
        <w:t>selected by the respondent</w:t>
      </w:r>
      <w:r w:rsidR="00121298">
        <w:t xml:space="preserve">, </w:t>
      </w:r>
      <w:r w:rsidR="00811F9D">
        <w:t>also known as</w:t>
      </w:r>
      <w:r w:rsidR="00121298">
        <w:t xml:space="preserve"> the “Number of Months Expedited”</w:t>
      </w:r>
      <w:r w:rsidR="00811F9D">
        <w:t xml:space="preserve">. </w:t>
      </w:r>
      <w:r w:rsidR="00B514A6">
        <w:t>The midpoint is estimated within</w:t>
      </w:r>
      <w:r w:rsidR="00121298">
        <w:t xml:space="preserve"> a time </w:t>
      </w:r>
      <w:r w:rsidR="00B514A6">
        <w:t>frame between six months and</w:t>
      </w:r>
      <w:r w:rsidR="00121298">
        <w:t xml:space="preserve"> two years, consistent with IL-TRM </w:t>
      </w:r>
      <w:r w:rsidR="00B514A6">
        <w:t>guidance</w:t>
      </w:r>
      <w:r w:rsidR="000823C5">
        <w:t>.</w:t>
      </w:r>
      <w:r w:rsidR="00237FEF">
        <w:rPr>
          <w:rStyle w:val="FootnoteReference"/>
        </w:rPr>
        <w:footnoteReference w:id="7"/>
      </w:r>
      <w:r w:rsidR="00121298">
        <w:t xml:space="preserve"> The timing adjustment </w:t>
      </w:r>
      <w:r w:rsidR="00B514A6">
        <w:t>is</w:t>
      </w:r>
      <w:r w:rsidR="00121298">
        <w:t xml:space="preserve"> calculated using the following formula:</w:t>
      </w:r>
    </w:p>
    <w:p w14:paraId="106809D4" w14:textId="7AB93BF9" w:rsidR="00121298" w:rsidRDefault="00BA4B65" w:rsidP="0088256F">
      <m:oMathPara>
        <m:oMath>
          <m:r>
            <w:rPr>
              <w:rFonts w:ascii="Cambria Math" w:hAnsi="Cambria Math"/>
            </w:rPr>
            <m:t>Timing Adjustment=1-(Number of Months Expedited-6)/18</m:t>
          </m:r>
        </m:oMath>
      </m:oMathPara>
    </w:p>
    <w:p w14:paraId="304C1CB9" w14:textId="37D16DE8" w:rsidR="0015610E" w:rsidRPr="00BB2CE6" w:rsidRDefault="0015610E" w:rsidP="0015610E">
      <w:pPr>
        <w:spacing w:after="0"/>
        <w:rPr>
          <w:iCs/>
        </w:rPr>
      </w:pPr>
      <w:r w:rsidRPr="0088256F">
        <w:fldChar w:fldCharType="begin"/>
      </w:r>
      <w:r w:rsidRPr="0088256F">
        <w:instrText xml:space="preserve"> REF _Ref436125119 \h </w:instrText>
      </w:r>
      <w:r w:rsidRPr="0088256F">
        <w:fldChar w:fldCharType="separate"/>
      </w:r>
      <w:r w:rsidRPr="00035B4E">
        <w:t xml:space="preserve">Table </w:t>
      </w:r>
      <w:r>
        <w:rPr>
          <w:noProof/>
        </w:rPr>
        <w:t>3</w:t>
      </w:r>
      <w:r w:rsidRPr="0088256F">
        <w:fldChar w:fldCharType="end"/>
      </w:r>
      <w:r w:rsidRPr="0088256F">
        <w:t xml:space="preserve"> provides detail on </w:t>
      </w:r>
      <w:r>
        <w:t>the timing adjustment value corresponding to the date ranges</w:t>
      </w:r>
      <w:r w:rsidRPr="0088256F">
        <w:t xml:space="preserve"> respon</w:t>
      </w:r>
      <w:r>
        <w:t xml:space="preserve">dents could choose from when asked </w:t>
      </w:r>
      <w:r w:rsidRPr="005234BF">
        <w:t xml:space="preserve">how much later they would have </w:t>
      </w:r>
      <w:r>
        <w:t>implemented the energy-saving improvements at their facility</w:t>
      </w:r>
      <w:r w:rsidRPr="005234BF">
        <w:t xml:space="preserve"> i</w:t>
      </w:r>
      <w:r>
        <w:t>f</w:t>
      </w:r>
      <w:r w:rsidRPr="005234BF">
        <w:t xml:space="preserve"> the</w:t>
      </w:r>
      <w:r>
        <w:t>y had not participated in</w:t>
      </w:r>
      <w:r w:rsidRPr="005234BF">
        <w:t xml:space="preserve"> the </w:t>
      </w:r>
      <w:proofErr w:type="spellStart"/>
      <w:r>
        <w:t>VCx</w:t>
      </w:r>
      <w:proofErr w:type="spellEnd"/>
      <w:r>
        <w:t xml:space="preserve"> channel.</w:t>
      </w:r>
    </w:p>
    <w:p w14:paraId="72F6B501" w14:textId="77777777" w:rsidR="0015610E" w:rsidRPr="007813CC" w:rsidRDefault="0015610E" w:rsidP="0015610E">
      <w:pPr>
        <w:jc w:val="center"/>
        <w:rPr>
          <w:rStyle w:val="SubtleEmphasis"/>
        </w:rPr>
      </w:pPr>
      <w:bookmarkStart w:id="7" w:name="_Ref149590307"/>
      <w:r w:rsidRPr="00035B4E">
        <w:t xml:space="preserve">Table </w:t>
      </w:r>
      <w:r w:rsidRPr="0088256F">
        <w:fldChar w:fldCharType="begin"/>
      </w:r>
      <w:r w:rsidRPr="00035B4E">
        <w:instrText xml:space="preserve"> SEQ Table \* ARABIC </w:instrText>
      </w:r>
      <w:r w:rsidRPr="0088256F">
        <w:fldChar w:fldCharType="separate"/>
      </w:r>
      <w:r>
        <w:rPr>
          <w:noProof/>
        </w:rPr>
        <w:t>3</w:t>
      </w:r>
      <w:r w:rsidRPr="0088256F">
        <w:fldChar w:fldCharType="end"/>
      </w:r>
      <w:bookmarkEnd w:id="7"/>
      <w:r w:rsidRPr="00035B4E">
        <w:t>. Timing Adjustments</w:t>
      </w:r>
    </w:p>
    <w:tbl>
      <w:tblPr>
        <w:tblStyle w:val="TableGrid"/>
        <w:tblW w:w="0" w:type="auto"/>
        <w:tblLook w:val="04A0" w:firstRow="1" w:lastRow="0" w:firstColumn="1" w:lastColumn="0" w:noHBand="0" w:noVBand="1"/>
      </w:tblPr>
      <w:tblGrid>
        <w:gridCol w:w="5942"/>
        <w:gridCol w:w="1767"/>
      </w:tblGrid>
      <w:tr w:rsidR="0015610E" w14:paraId="27325BBE" w14:textId="77777777" w:rsidTr="001F09E4">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D8AD25C" w14:textId="77777777" w:rsidR="0015610E" w:rsidRDefault="0015610E" w:rsidP="00FC1F83">
            <w:pPr>
              <w:pStyle w:val="TableHeadingCentered"/>
            </w:pPr>
            <w:r>
              <w:t>Participant Survey Response</w:t>
            </w:r>
          </w:p>
        </w:tc>
        <w:tc>
          <w:tcPr>
            <w:tcW w:w="0" w:type="auto"/>
            <w:tcBorders>
              <w:bottom w:val="none" w:sz="0" w:space="0" w:color="auto"/>
            </w:tcBorders>
          </w:tcPr>
          <w:p w14:paraId="51B4FBF2" w14:textId="77777777" w:rsidR="0015610E" w:rsidRDefault="0015610E" w:rsidP="00FC1F83">
            <w:pPr>
              <w:pStyle w:val="TableHeadingCentered"/>
              <w:cnfStyle w:val="100000000000" w:firstRow="1" w:lastRow="0" w:firstColumn="0" w:lastColumn="0" w:oddVBand="0" w:evenVBand="0" w:oddHBand="0" w:evenHBand="0" w:firstRowFirstColumn="0" w:firstRowLastColumn="0" w:lastRowFirstColumn="0" w:lastRowLastColumn="0"/>
            </w:pPr>
            <w:r>
              <w:t>Timing Adjustment</w:t>
            </w:r>
          </w:p>
        </w:tc>
      </w:tr>
      <w:tr w:rsidR="0015610E" w14:paraId="48D12BEC" w14:textId="77777777" w:rsidTr="001F09E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1F63FEB" w14:textId="77777777" w:rsidR="0015610E" w:rsidRDefault="0015610E" w:rsidP="00FC1F83">
            <w:r w:rsidRPr="000318F4">
              <w:t>At the same time</w:t>
            </w:r>
          </w:p>
        </w:tc>
        <w:tc>
          <w:tcPr>
            <w:tcW w:w="0" w:type="auto"/>
            <w:tcBorders>
              <w:top w:val="none" w:sz="0" w:space="0" w:color="auto"/>
              <w:left w:val="none" w:sz="0" w:space="0" w:color="auto"/>
              <w:bottom w:val="none" w:sz="0" w:space="0" w:color="auto"/>
              <w:right w:val="none" w:sz="0" w:space="0" w:color="auto"/>
            </w:tcBorders>
          </w:tcPr>
          <w:p w14:paraId="6EFF078A" w14:textId="1EE9B9F8" w:rsidR="0015610E" w:rsidRDefault="0015610E" w:rsidP="00FC1F83">
            <w:pPr>
              <w:jc w:val="right"/>
              <w:cnfStyle w:val="000000100000" w:firstRow="0" w:lastRow="0" w:firstColumn="0" w:lastColumn="0" w:oddVBand="0" w:evenVBand="0" w:oddHBand="1" w:evenHBand="0" w:firstRowFirstColumn="0" w:firstRowLastColumn="0" w:lastRowFirstColumn="0" w:lastRowLastColumn="0"/>
            </w:pPr>
            <w:r>
              <w:t>1.0</w:t>
            </w:r>
          </w:p>
        </w:tc>
      </w:tr>
      <w:tr w:rsidR="0015610E" w14:paraId="329475FC" w14:textId="77777777" w:rsidTr="001F09E4">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B8EE111" w14:textId="77777777" w:rsidR="0015610E" w:rsidRPr="007813CC" w:rsidRDefault="0015610E" w:rsidP="00FC1F83">
            <w:r w:rsidRPr="007813CC">
              <w:t>Within 6 month</w:t>
            </w:r>
            <w:r>
              <w:t>s</w:t>
            </w:r>
          </w:p>
        </w:tc>
        <w:tc>
          <w:tcPr>
            <w:tcW w:w="0" w:type="auto"/>
            <w:tcBorders>
              <w:top w:val="none" w:sz="0" w:space="0" w:color="auto"/>
              <w:left w:val="none" w:sz="0" w:space="0" w:color="auto"/>
              <w:bottom w:val="none" w:sz="0" w:space="0" w:color="auto"/>
              <w:right w:val="none" w:sz="0" w:space="0" w:color="auto"/>
            </w:tcBorders>
          </w:tcPr>
          <w:p w14:paraId="535D04F8" w14:textId="07182F06" w:rsidR="0015610E" w:rsidRPr="007813CC" w:rsidRDefault="0015610E" w:rsidP="00FC1F83">
            <w:pPr>
              <w:jc w:val="right"/>
              <w:cnfStyle w:val="000000010000" w:firstRow="0" w:lastRow="0" w:firstColumn="0" w:lastColumn="0" w:oddVBand="0" w:evenVBand="0" w:oddHBand="0" w:evenHBand="1" w:firstRowFirstColumn="0" w:firstRowLastColumn="0" w:lastRowFirstColumn="0" w:lastRowLastColumn="0"/>
            </w:pPr>
            <w:r>
              <w:t>1.0</w:t>
            </w:r>
          </w:p>
        </w:tc>
      </w:tr>
      <w:tr w:rsidR="0015610E" w14:paraId="09032600" w14:textId="77777777" w:rsidTr="001F09E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47F20DD" w14:textId="77777777" w:rsidR="0015610E" w:rsidRPr="007813CC" w:rsidRDefault="0015610E" w:rsidP="00FC1F83">
            <w:r>
              <w:t>Between 6 months-1 year</w:t>
            </w:r>
          </w:p>
        </w:tc>
        <w:tc>
          <w:tcPr>
            <w:tcW w:w="0" w:type="auto"/>
            <w:tcBorders>
              <w:top w:val="none" w:sz="0" w:space="0" w:color="auto"/>
              <w:left w:val="none" w:sz="0" w:space="0" w:color="auto"/>
              <w:bottom w:val="none" w:sz="0" w:space="0" w:color="auto"/>
              <w:right w:val="none" w:sz="0" w:space="0" w:color="auto"/>
            </w:tcBorders>
          </w:tcPr>
          <w:p w14:paraId="1C1C695F" w14:textId="77777777" w:rsidR="0015610E" w:rsidRPr="007813CC" w:rsidRDefault="0015610E" w:rsidP="00FC1F83">
            <w:pPr>
              <w:jc w:val="right"/>
              <w:cnfStyle w:val="000000100000" w:firstRow="0" w:lastRow="0" w:firstColumn="0" w:lastColumn="0" w:oddVBand="0" w:evenVBand="0" w:oddHBand="1" w:evenHBand="0" w:firstRowFirstColumn="0" w:firstRowLastColumn="0" w:lastRowFirstColumn="0" w:lastRowLastColumn="0"/>
            </w:pPr>
            <w:r>
              <w:t>0.83</w:t>
            </w:r>
          </w:p>
        </w:tc>
      </w:tr>
      <w:tr w:rsidR="0015610E" w14:paraId="00D46A93" w14:textId="77777777" w:rsidTr="001F09E4">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8D58239" w14:textId="77777777" w:rsidR="0015610E" w:rsidRPr="007813CC" w:rsidRDefault="0015610E" w:rsidP="00FC1F83">
            <w:r>
              <w:t>Between 1-2 years</w:t>
            </w:r>
          </w:p>
        </w:tc>
        <w:tc>
          <w:tcPr>
            <w:tcW w:w="0" w:type="auto"/>
            <w:tcBorders>
              <w:top w:val="none" w:sz="0" w:space="0" w:color="auto"/>
              <w:left w:val="none" w:sz="0" w:space="0" w:color="auto"/>
              <w:bottom w:val="none" w:sz="0" w:space="0" w:color="auto"/>
              <w:right w:val="none" w:sz="0" w:space="0" w:color="auto"/>
            </w:tcBorders>
          </w:tcPr>
          <w:p w14:paraId="11F1B5B4" w14:textId="77777777" w:rsidR="0015610E" w:rsidRPr="007813CC" w:rsidRDefault="0015610E" w:rsidP="00FC1F83">
            <w:pPr>
              <w:jc w:val="right"/>
              <w:cnfStyle w:val="000000010000" w:firstRow="0" w:lastRow="0" w:firstColumn="0" w:lastColumn="0" w:oddVBand="0" w:evenVBand="0" w:oddHBand="0" w:evenHBand="1" w:firstRowFirstColumn="0" w:firstRowLastColumn="0" w:lastRowFirstColumn="0" w:lastRowLastColumn="0"/>
            </w:pPr>
            <w:r>
              <w:t>0.33</w:t>
            </w:r>
          </w:p>
        </w:tc>
      </w:tr>
      <w:tr w:rsidR="0015610E" w14:paraId="350513A1" w14:textId="77777777" w:rsidTr="001F09E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0093502" w14:textId="77777777" w:rsidR="0015610E" w:rsidRPr="007813CC" w:rsidRDefault="0015610E" w:rsidP="00FC1F83">
            <w:r>
              <w:t>Between 2-3 years</w:t>
            </w:r>
          </w:p>
        </w:tc>
        <w:tc>
          <w:tcPr>
            <w:tcW w:w="0" w:type="auto"/>
            <w:tcBorders>
              <w:top w:val="none" w:sz="0" w:space="0" w:color="auto"/>
              <w:left w:val="none" w:sz="0" w:space="0" w:color="auto"/>
              <w:bottom w:val="none" w:sz="0" w:space="0" w:color="auto"/>
              <w:right w:val="none" w:sz="0" w:space="0" w:color="auto"/>
            </w:tcBorders>
          </w:tcPr>
          <w:p w14:paraId="2C4382FE" w14:textId="77777777" w:rsidR="0015610E" w:rsidRPr="007813CC" w:rsidRDefault="0015610E" w:rsidP="00FC1F83">
            <w:pPr>
              <w:jc w:val="right"/>
              <w:cnfStyle w:val="000000100000" w:firstRow="0" w:lastRow="0" w:firstColumn="0" w:lastColumn="0" w:oddVBand="0" w:evenVBand="0" w:oddHBand="1" w:evenHBand="0" w:firstRowFirstColumn="0" w:firstRowLastColumn="0" w:lastRowFirstColumn="0" w:lastRowLastColumn="0"/>
            </w:pPr>
            <w:r>
              <w:t>0</w:t>
            </w:r>
          </w:p>
        </w:tc>
      </w:tr>
      <w:tr w:rsidR="0015610E" w14:paraId="2DCFAB8F" w14:textId="77777777" w:rsidTr="001F09E4">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ECEDAA9" w14:textId="77777777" w:rsidR="0015610E" w:rsidRDefault="0015610E" w:rsidP="00FC1F83">
            <w:r>
              <w:t>Between 3-4 years</w:t>
            </w:r>
          </w:p>
        </w:tc>
        <w:tc>
          <w:tcPr>
            <w:tcW w:w="0" w:type="auto"/>
            <w:tcBorders>
              <w:top w:val="none" w:sz="0" w:space="0" w:color="auto"/>
              <w:left w:val="none" w:sz="0" w:space="0" w:color="auto"/>
              <w:bottom w:val="none" w:sz="0" w:space="0" w:color="auto"/>
              <w:right w:val="none" w:sz="0" w:space="0" w:color="auto"/>
            </w:tcBorders>
          </w:tcPr>
          <w:p w14:paraId="00A750B4" w14:textId="77777777" w:rsidR="0015610E" w:rsidRDefault="0015610E" w:rsidP="00FC1F83">
            <w:pPr>
              <w:jc w:val="right"/>
              <w:cnfStyle w:val="000000010000" w:firstRow="0" w:lastRow="0" w:firstColumn="0" w:lastColumn="0" w:oddVBand="0" w:evenVBand="0" w:oddHBand="0" w:evenHBand="1" w:firstRowFirstColumn="0" w:firstRowLastColumn="0" w:lastRowFirstColumn="0" w:lastRowLastColumn="0"/>
            </w:pPr>
            <w:r>
              <w:t>0</w:t>
            </w:r>
          </w:p>
        </w:tc>
      </w:tr>
      <w:tr w:rsidR="0015610E" w14:paraId="21A0393F" w14:textId="77777777" w:rsidTr="001F09E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2F56033" w14:textId="77777777" w:rsidR="0015610E" w:rsidRDefault="0015610E" w:rsidP="00FC1F83">
            <w:r>
              <w:t>I would not have implemented the energy-saving improvements at all</w:t>
            </w:r>
          </w:p>
        </w:tc>
        <w:tc>
          <w:tcPr>
            <w:tcW w:w="0" w:type="auto"/>
            <w:tcBorders>
              <w:top w:val="none" w:sz="0" w:space="0" w:color="auto"/>
              <w:left w:val="none" w:sz="0" w:space="0" w:color="auto"/>
              <w:bottom w:val="none" w:sz="0" w:space="0" w:color="auto"/>
              <w:right w:val="none" w:sz="0" w:space="0" w:color="auto"/>
            </w:tcBorders>
          </w:tcPr>
          <w:p w14:paraId="6A783BEF" w14:textId="77777777" w:rsidR="0015610E" w:rsidRPr="007813CC" w:rsidRDefault="0015610E" w:rsidP="00FC1F83">
            <w:pPr>
              <w:jc w:val="right"/>
              <w:cnfStyle w:val="000000100000" w:firstRow="0" w:lastRow="0" w:firstColumn="0" w:lastColumn="0" w:oddVBand="0" w:evenVBand="0" w:oddHBand="1" w:evenHBand="0" w:firstRowFirstColumn="0" w:firstRowLastColumn="0" w:lastRowFirstColumn="0" w:lastRowLastColumn="0"/>
            </w:pPr>
            <w:r>
              <w:t>0</w:t>
            </w:r>
          </w:p>
        </w:tc>
      </w:tr>
    </w:tbl>
    <w:p w14:paraId="00145401" w14:textId="1CC35362" w:rsidR="0088256F" w:rsidRDefault="00BB2CE6" w:rsidP="00035B4E">
      <w:pPr>
        <w:spacing w:before="240"/>
      </w:pPr>
      <w:r>
        <w:t>The</w:t>
      </w:r>
      <w:r w:rsidR="00E5641F">
        <w:t xml:space="preserve"> evaluation team designed the survey to enable the calculation of </w:t>
      </w:r>
      <w:r>
        <w:t>end use-level</w:t>
      </w:r>
      <w:r w:rsidR="00E5641F">
        <w:t xml:space="preserve"> timing adjustments</w:t>
      </w:r>
      <w:r>
        <w:t xml:space="preserve">. The evaluation team </w:t>
      </w:r>
      <w:r w:rsidR="008C272A">
        <w:t xml:space="preserve">aggregated </w:t>
      </w:r>
      <w:r>
        <w:t xml:space="preserve">the end use-level timing adjustment values to the project level by averaging </w:t>
      </w:r>
      <w:r w:rsidR="00B514A6">
        <w:t xml:space="preserve">the </w:t>
      </w:r>
      <w:r w:rsidR="008C272A">
        <w:t>two v</w:t>
      </w:r>
      <w:r>
        <w:t xml:space="preserve">alues </w:t>
      </w:r>
      <w:r w:rsidR="008C272A">
        <w:t>together</w:t>
      </w:r>
      <w:r w:rsidR="00523F2B">
        <w:t xml:space="preserve"> </w:t>
      </w:r>
      <w:r w:rsidR="00340B55">
        <w:t>for the</w:t>
      </w:r>
      <w:r w:rsidR="00523F2B">
        <w:t xml:space="preserve"> one respondent</w:t>
      </w:r>
      <w:r w:rsidR="00340B55">
        <w:t xml:space="preserve"> whose project </w:t>
      </w:r>
      <w:r w:rsidR="00523F2B">
        <w:t xml:space="preserve">included </w:t>
      </w:r>
      <w:r w:rsidR="00340B55">
        <w:t xml:space="preserve">the </w:t>
      </w:r>
      <w:r w:rsidR="00523F2B">
        <w:t>two end use</w:t>
      </w:r>
      <w:r w:rsidR="00340B55">
        <w:t xml:space="preserve">s. For </w:t>
      </w:r>
      <w:r w:rsidR="00523F2B">
        <w:t>the other five respondents</w:t>
      </w:r>
      <w:r w:rsidR="00523F2B">
        <w:rPr>
          <w:iCs/>
        </w:rPr>
        <w:t xml:space="preserve"> </w:t>
      </w:r>
      <w:r w:rsidR="00340B55">
        <w:rPr>
          <w:iCs/>
        </w:rPr>
        <w:t xml:space="preserve">their </w:t>
      </w:r>
      <w:r w:rsidR="007167E1">
        <w:rPr>
          <w:iCs/>
        </w:rPr>
        <w:t xml:space="preserve">overall </w:t>
      </w:r>
      <w:r w:rsidR="008C272A">
        <w:rPr>
          <w:iCs/>
        </w:rPr>
        <w:t xml:space="preserve">timing adjustment was </w:t>
      </w:r>
      <w:r w:rsidR="007167E1">
        <w:rPr>
          <w:iCs/>
        </w:rPr>
        <w:t>the same as</w:t>
      </w:r>
      <w:r w:rsidR="008C272A">
        <w:rPr>
          <w:iCs/>
        </w:rPr>
        <w:t xml:space="preserve"> their </w:t>
      </w:r>
      <w:r w:rsidR="007167E1">
        <w:rPr>
          <w:iCs/>
        </w:rPr>
        <w:t>end use-level timing adjustment</w:t>
      </w:r>
      <w:r w:rsidR="00340B55">
        <w:rPr>
          <w:iCs/>
        </w:rPr>
        <w:t xml:space="preserve"> (if applicable)</w:t>
      </w:r>
      <w:r w:rsidR="008C272A">
        <w:rPr>
          <w:iCs/>
        </w:rPr>
        <w:t>.</w:t>
      </w:r>
      <w:r w:rsidR="008C272A">
        <w:t xml:space="preserve"> </w:t>
      </w:r>
    </w:p>
    <w:p w14:paraId="67AC0045" w14:textId="36C14BC7" w:rsidR="00605E81" w:rsidRPr="00C525FD" w:rsidRDefault="00605E81" w:rsidP="00B85558">
      <w:pPr>
        <w:pStyle w:val="Heading3"/>
      </w:pPr>
      <w:r w:rsidRPr="00C525FD">
        <w:lastRenderedPageBreak/>
        <w:t>Final Free</w:t>
      </w:r>
      <w:r w:rsidR="00BB2CE6" w:rsidRPr="00C525FD">
        <w:t xml:space="preserve"> </w:t>
      </w:r>
      <w:r w:rsidRPr="00C525FD">
        <w:t>ridership</w:t>
      </w:r>
    </w:p>
    <w:p w14:paraId="75612964" w14:textId="5D66072D" w:rsidR="00605E81" w:rsidRDefault="00046E17" w:rsidP="0088256F">
      <w:r>
        <w:t>T</w:t>
      </w:r>
      <w:r w:rsidR="00BB2CE6" w:rsidRPr="00E816BA">
        <w:t xml:space="preserve">he </w:t>
      </w:r>
      <w:r w:rsidR="00BB2CE6">
        <w:t>final</w:t>
      </w:r>
      <w:r w:rsidR="00BB2CE6" w:rsidRPr="00E816BA">
        <w:t xml:space="preserve"> FR </w:t>
      </w:r>
      <w:r w:rsidR="00BB2CE6">
        <w:t xml:space="preserve">score </w:t>
      </w:r>
      <w:r w:rsidR="00BB2CE6" w:rsidRPr="00E816BA">
        <w:t xml:space="preserve">for a </w:t>
      </w:r>
      <w:r w:rsidR="00BB2CE6">
        <w:t xml:space="preserve">given </w:t>
      </w:r>
      <w:r w:rsidR="00BB2CE6" w:rsidRPr="00E816BA">
        <w:t xml:space="preserve">project </w:t>
      </w:r>
      <w:r>
        <w:t>was calculated as</w:t>
      </w:r>
      <w:r w:rsidRPr="00E816BA">
        <w:t xml:space="preserve"> </w:t>
      </w:r>
      <w:r w:rsidR="00BB2CE6" w:rsidRPr="00E816BA">
        <w:t xml:space="preserve">the average of the </w:t>
      </w:r>
      <w:r w:rsidR="00BB2CE6">
        <w:t>program influence FR score and the overall counterfactual FR score,</w:t>
      </w:r>
      <w:r w:rsidR="00BB2CE6" w:rsidRPr="00E816BA">
        <w:t xml:space="preserve"> multiplied </w:t>
      </w:r>
      <w:r w:rsidR="00BB2CE6">
        <w:t>by the overall timing adjustment, when applicable</w:t>
      </w:r>
      <w:r w:rsidR="00BB2CE6" w:rsidRPr="007B5F7B">
        <w:t>.</w:t>
      </w:r>
      <w:r w:rsidR="002A4DDC" w:rsidRPr="002A4DDC">
        <w:t xml:space="preserve"> </w:t>
      </w:r>
      <w:r w:rsidR="002A4DDC">
        <w:t>T</w:t>
      </w:r>
      <w:r w:rsidR="002A4DDC" w:rsidRPr="00035B4E">
        <w:t>o determine the channel-level FR score</w:t>
      </w:r>
      <w:r w:rsidR="002A4DDC">
        <w:t>, t</w:t>
      </w:r>
      <w:r w:rsidR="00BB2CE6" w:rsidRPr="00035B4E">
        <w:t xml:space="preserve">he </w:t>
      </w:r>
      <w:r w:rsidR="006C4804" w:rsidRPr="00035B4E">
        <w:t xml:space="preserve">evaluation team </w:t>
      </w:r>
      <w:r w:rsidR="007B5F7B" w:rsidRPr="00035B4E">
        <w:t xml:space="preserve">weighted the </w:t>
      </w:r>
      <w:r w:rsidR="00BB2CE6" w:rsidRPr="00035B4E">
        <w:t xml:space="preserve">project-level FR scores </w:t>
      </w:r>
      <w:r w:rsidR="006C4804" w:rsidRPr="00035B4E">
        <w:t>based on</w:t>
      </w:r>
      <w:r w:rsidR="00BB2CE6" w:rsidRPr="00035B4E">
        <w:t xml:space="preserve"> </w:t>
      </w:r>
      <w:r w:rsidR="00B514A6">
        <w:t>each</w:t>
      </w:r>
      <w:r w:rsidR="007B5F7B" w:rsidRPr="00035B4E">
        <w:t xml:space="preserve"> project’s ex ante </w:t>
      </w:r>
      <w:r w:rsidR="002A4DDC">
        <w:t>electric energy</w:t>
      </w:r>
      <w:r w:rsidR="002A4DDC" w:rsidRPr="00035B4E">
        <w:t xml:space="preserve"> </w:t>
      </w:r>
      <w:r w:rsidR="00BB2CE6" w:rsidRPr="00035B4E">
        <w:t xml:space="preserve">savings </w:t>
      </w:r>
      <w:r w:rsidR="007B5F7B" w:rsidRPr="00035B4E">
        <w:t xml:space="preserve">relative to the total ex ante </w:t>
      </w:r>
      <w:r w:rsidR="002A4DDC">
        <w:t>electric energy</w:t>
      </w:r>
      <w:r w:rsidR="002A4DDC" w:rsidRPr="00035B4E">
        <w:t xml:space="preserve"> </w:t>
      </w:r>
      <w:r w:rsidR="007B5F7B" w:rsidRPr="00035B4E">
        <w:t>savings across</w:t>
      </w:r>
      <w:r w:rsidR="00BB2CE6" w:rsidRPr="00035B4E">
        <w:t xml:space="preserve"> the projects </w:t>
      </w:r>
      <w:r>
        <w:t xml:space="preserve">for which we received </w:t>
      </w:r>
      <w:r w:rsidR="00BB2CE6" w:rsidRPr="00035B4E">
        <w:t>survey</w:t>
      </w:r>
      <w:r>
        <w:t xml:space="preserve"> responses</w:t>
      </w:r>
      <w:r w:rsidR="002A4DDC">
        <w:t>.</w:t>
      </w:r>
      <w:r w:rsidR="00BB2CE6" w:rsidRPr="00035B4E">
        <w:t xml:space="preserve"> </w:t>
      </w:r>
    </w:p>
    <w:p w14:paraId="025EB76B" w14:textId="77777777" w:rsidR="0009215B" w:rsidRPr="00B85558" w:rsidRDefault="0009215B" w:rsidP="00B85558">
      <w:pPr>
        <w:pStyle w:val="Heading2"/>
      </w:pPr>
      <w:bookmarkStart w:id="8" w:name="_Ref149235170"/>
      <w:r w:rsidRPr="00C525FD">
        <w:t>Participant Spillover</w:t>
      </w:r>
      <w:bookmarkEnd w:id="8"/>
      <w:r w:rsidRPr="00B85558">
        <w:tab/>
      </w:r>
    </w:p>
    <w:p w14:paraId="52B10B62" w14:textId="7BC89B6C" w:rsidR="00FD7485" w:rsidRDefault="00FD7485" w:rsidP="0009215B">
      <w:r w:rsidRPr="00FD7485">
        <w:t xml:space="preserve">Spillover occurs when a respondent’s participation in an AIC Initiative influences future purchases/installations of high-efficiency measures beyond those directly incentivized through the Initiative. The evaluation team sought to estimate SO based on </w:t>
      </w:r>
      <w:r w:rsidR="00C33A15">
        <w:t xml:space="preserve">two </w:t>
      </w:r>
      <w:r w:rsidRPr="00FD7485">
        <w:t>participant responses following the protocols prescribed in the IL-TRM V12.0, Attachment A.</w:t>
      </w:r>
    </w:p>
    <w:p w14:paraId="540F820C" w14:textId="2E2E37F1" w:rsidR="00FD7485" w:rsidRDefault="00FD7485" w:rsidP="00FD7485">
      <w:r>
        <w:t xml:space="preserve">Respondents answered a battery of questions regarding whether they had purchased/installed additional energy-efficient measures for their business at the same time as or since participating in the </w:t>
      </w:r>
      <w:proofErr w:type="spellStart"/>
      <w:r>
        <w:t>VCx</w:t>
      </w:r>
      <w:proofErr w:type="spellEnd"/>
      <w:r w:rsidR="00C33A15">
        <w:t xml:space="preserve"> channel,</w:t>
      </w:r>
      <w:r>
        <w:t xml:space="preserve"> for which they did not receive an incentive. As part of this battery, the evaluation team collected basic information about the additional energy efficiency measures purchased/installed and assessed program attribution.</w:t>
      </w:r>
    </w:p>
    <w:p w14:paraId="71FCEB36" w14:textId="77777777" w:rsidR="00FD7485" w:rsidRDefault="00FD7485" w:rsidP="00FD7485">
      <w:r>
        <w:t>The evaluation team used the following questions to establish program attribution for each SO measure, per the IL-TRM:</w:t>
      </w:r>
    </w:p>
    <w:p w14:paraId="0ED86331" w14:textId="741D2902" w:rsidR="00FD7485" w:rsidRDefault="00FD7485" w:rsidP="00FD7485">
      <w:pPr>
        <w:pStyle w:val="ListBullet"/>
      </w:pPr>
      <w:r w:rsidRPr="00191C4A">
        <w:rPr>
          <w:b/>
          <w:bCs/>
        </w:rPr>
        <w:t>Measure Attribution Score 1:</w:t>
      </w:r>
      <w:r>
        <w:t xml:space="preserve"> </w:t>
      </w:r>
      <w:r w:rsidRPr="00FD7485">
        <w:t>How important was your experience in the Virtual Commissioning offering in your decision to implement the &lt;</w:t>
      </w:r>
      <w:r>
        <w:t>Energy-saving improvement</w:t>
      </w:r>
      <w:r w:rsidRPr="00FD7485">
        <w:t>&gt;? Please use a scale of 0 to 10, where 0 is “Not at all Important” and 10 is “Extremely Important”.</w:t>
      </w:r>
    </w:p>
    <w:p w14:paraId="1E6209EC" w14:textId="65DD90F0" w:rsidR="00FD7485" w:rsidRDefault="00FD7485" w:rsidP="00541974">
      <w:pPr>
        <w:pStyle w:val="ListBullet"/>
      </w:pPr>
      <w:r>
        <w:rPr>
          <w:b/>
          <w:bCs/>
        </w:rPr>
        <w:t>Measure Attribution Score 2:</w:t>
      </w:r>
      <w:r>
        <w:t xml:space="preserve"> </w:t>
      </w:r>
      <w:r w:rsidR="00541974" w:rsidRPr="00541974">
        <w:t>If you had not participated in the Virtual Commissioning offering, how likely is it that your organization would still have implemented the &lt;Energy-saving improvement&gt;? Please use a 0 to 10, scale where 0 means you “Definitely WOULD NOT have implemented this measure” and 10 means you “Definitely WOULD have implemented this measure”.</w:t>
      </w:r>
    </w:p>
    <w:p w14:paraId="32236246" w14:textId="3E24F649" w:rsidR="00FD7485" w:rsidRDefault="00FD7485" w:rsidP="00FD7485">
      <w:pPr>
        <w:pStyle w:val="ListBullet"/>
        <w:numPr>
          <w:ilvl w:val="0"/>
          <w:numId w:val="0"/>
        </w:numPr>
      </w:pPr>
      <w:r w:rsidRPr="00B826E4">
        <w:t>The IL-TRM lists two possible methods to calculate program attribution.</w:t>
      </w:r>
      <w:r>
        <w:t xml:space="preserve"> The evaluation team determined that Method 1 was the appropriate method for calculating program attribution given the </w:t>
      </w:r>
      <w:r w:rsidRPr="00B826E4">
        <w:t>data collection and analysis approach</w:t>
      </w:r>
      <w:r>
        <w:t xml:space="preserve">. </w:t>
      </w:r>
      <w:r w:rsidRPr="00B826E4">
        <w:t>According to this method, “program attribution is established if the average of Measure Attribution Score 1 and (10 – Measure Attribution Score 2) exceeds 5.0. If the average is greater than 5.0, 100% of the measure energy savings referenced in the question are considered to be attributable to the program. If the average is not greater than 5.0, none of the measure energy savings are considered to be attributable to the program</w:t>
      </w:r>
      <w:r>
        <w:t>.</w:t>
      </w:r>
      <w:r w:rsidRPr="00B826E4">
        <w:t>”</w:t>
      </w:r>
      <w:r w:rsidR="00AE139B">
        <w:rPr>
          <w:rStyle w:val="FootnoteReference"/>
        </w:rPr>
        <w:footnoteReference w:id="8"/>
      </w:r>
      <w:r w:rsidR="00AE139B">
        <w:t xml:space="preserve"> </w:t>
      </w:r>
      <w:r w:rsidR="00AE139B">
        <w:rPr>
          <w:rStyle w:val="FootnoteReference"/>
        </w:rPr>
        <w:footnoteReference w:id="9"/>
      </w:r>
    </w:p>
    <w:p w14:paraId="127DF278" w14:textId="77777777" w:rsidR="00FD7485" w:rsidRPr="006374AE" w:rsidRDefault="00FD7485" w:rsidP="00FD7485">
      <w:pPr>
        <w:pStyle w:val="ListBullet"/>
        <w:numPr>
          <w:ilvl w:val="0"/>
          <w:numId w:val="0"/>
        </w:numPr>
      </w:pPr>
      <w:r>
        <w:t xml:space="preserve">We asked respondents to provide additional information and technical specifications for SO measures with a program attribution greater than 5.0 to support the estimation of </w:t>
      </w:r>
      <w:r w:rsidRPr="006374AE">
        <w:t>the corresponding SO savings</w:t>
      </w:r>
      <w:r>
        <w:t>,</w:t>
      </w:r>
      <w:r w:rsidRPr="006374AE">
        <w:t xml:space="preserve"> in accordance with the methods and algorithms specified in the IL-TRM V12.0. </w:t>
      </w:r>
      <w:r>
        <w:t>The resulting participant spillover rate would then be calculated</w:t>
      </w:r>
      <w:r w:rsidRPr="006374AE">
        <w:t xml:space="preserve"> as depicted in the following formula: </w:t>
      </w:r>
    </w:p>
    <w:p w14:paraId="04CBB3AC" w14:textId="77777777" w:rsidR="00FD7485" w:rsidRPr="00C525FD" w:rsidRDefault="00FD7485" w:rsidP="00FD7485">
      <w:pPr>
        <w:pStyle w:val="Caption"/>
        <w:rPr>
          <w:color w:val="auto"/>
        </w:rPr>
      </w:pPr>
      <m:oMathPara>
        <m:oMath>
          <m:r>
            <w:rPr>
              <w:rFonts w:ascii="Cambria Math" w:hAnsi="Cambria Math"/>
              <w:color w:val="auto"/>
            </w:rPr>
            <w:lastRenderedPageBreak/>
            <m:t xml:space="preserve">Participant Spillover Rate = </m:t>
          </m:r>
          <m:f>
            <m:fPr>
              <m:ctrlPr>
                <w:rPr>
                  <w:rFonts w:ascii="Cambria Math" w:hAnsi="Cambria Math"/>
                  <w:color w:val="auto"/>
                </w:rPr>
              </m:ctrlPr>
            </m:fPr>
            <m:num>
              <m:eqArr>
                <m:eqArrPr>
                  <m:ctrlPr>
                    <w:rPr>
                      <w:rFonts w:ascii="Cambria Math" w:hAnsi="Cambria Math"/>
                      <w:color w:val="auto"/>
                    </w:rPr>
                  </m:ctrlPr>
                </m:eqArrPr>
                <m:e>
                  <m:r>
                    <w:rPr>
                      <w:rFonts w:ascii="Cambria Math" w:hAnsi="Cambria Math"/>
                      <w:color w:val="auto"/>
                    </w:rPr>
                    <m:t xml:space="preserve">Sum of Spillover estimates </m:t>
                  </m:r>
                </m:e>
                <m:e>
                  <m:r>
                    <w:rPr>
                      <w:rFonts w:ascii="Cambria Math" w:hAnsi="Cambria Math"/>
                      <w:color w:val="auto"/>
                    </w:rPr>
                    <m:t>for respondents in the sample</m:t>
                  </m:r>
                </m:e>
              </m:eqArr>
            </m:num>
            <m:den>
              <m:eqArr>
                <m:eqArrPr>
                  <m:ctrlPr>
                    <w:rPr>
                      <w:rFonts w:ascii="Cambria Math" w:hAnsi="Cambria Math"/>
                      <w:color w:val="auto"/>
                    </w:rPr>
                  </m:ctrlPr>
                </m:eqArrPr>
                <m:e>
                  <m:r>
                    <w:rPr>
                      <w:rFonts w:ascii="Cambria Math" w:hAnsi="Cambria Math"/>
                      <w:color w:val="auto"/>
                    </w:rPr>
                    <m:t xml:space="preserve">Ex Post Gross Impacts for all projects </m:t>
                  </m:r>
                </m:e>
                <m:e>
                  <m:r>
                    <w:rPr>
                      <w:rFonts w:ascii="Cambria Math" w:hAnsi="Cambria Math"/>
                      <w:color w:val="auto"/>
                    </w:rPr>
                    <m:t>by respondents in the sample</m:t>
                  </m:r>
                </m:e>
              </m:eqArr>
            </m:den>
          </m:f>
        </m:oMath>
      </m:oMathPara>
    </w:p>
    <w:p w14:paraId="050C9BAD" w14:textId="27EC1E38" w:rsidR="008A073D" w:rsidRDefault="008A073D" w:rsidP="00C525FD">
      <w:r>
        <w:t xml:space="preserve">Following these attribution criteria, the evaluation team determined that </w:t>
      </w:r>
      <w:r w:rsidR="00FD7485" w:rsidRPr="00BF3B58">
        <w:t>two</w:t>
      </w:r>
      <w:r w:rsidRPr="00AE139B">
        <w:t xml:space="preserve"> of the survey respondents</w:t>
      </w:r>
      <w:r>
        <w:t xml:space="preserve"> reported spillover </w:t>
      </w:r>
      <w:r w:rsidR="008C51BD">
        <w:t xml:space="preserve">actions </w:t>
      </w:r>
      <w:r>
        <w:t xml:space="preserve">attributable to the </w:t>
      </w:r>
      <w:proofErr w:type="spellStart"/>
      <w:r>
        <w:t>VCx</w:t>
      </w:r>
      <w:proofErr w:type="spellEnd"/>
      <w:r>
        <w:t xml:space="preserve"> channel. </w:t>
      </w:r>
      <w:r w:rsidR="00AE139B">
        <w:t>However, one respondent was not able to provide enough information for the evaluation team to calculate savings associated with their spillover measure</w:t>
      </w:r>
      <w:r w:rsidR="008C51BD">
        <w:t>.</w:t>
      </w:r>
      <w:r w:rsidR="00AE139B">
        <w:t xml:space="preserve"> </w:t>
      </w:r>
      <w:r>
        <w:t xml:space="preserve">As such, </w:t>
      </w:r>
      <w:r w:rsidR="00AE139B">
        <w:t xml:space="preserve">the evaluation team estimated the </w:t>
      </w:r>
      <w:r>
        <w:t xml:space="preserve">spillover </w:t>
      </w:r>
      <w:r w:rsidR="00AE139B">
        <w:t xml:space="preserve">rate </w:t>
      </w:r>
      <w:r>
        <w:t xml:space="preserve">for the </w:t>
      </w:r>
      <w:proofErr w:type="spellStart"/>
      <w:r>
        <w:t>VCx</w:t>
      </w:r>
      <w:proofErr w:type="spellEnd"/>
      <w:r>
        <w:t xml:space="preserve"> channel </w:t>
      </w:r>
      <w:r w:rsidR="00AE139B">
        <w:t>based on one respondent.</w:t>
      </w:r>
      <w:r w:rsidR="00541974" w:rsidRPr="00541974">
        <w:t xml:space="preserve"> </w:t>
      </w:r>
    </w:p>
    <w:p w14:paraId="26E75BF8" w14:textId="77655220" w:rsidR="0088256F" w:rsidRPr="00B85558" w:rsidRDefault="00B66947" w:rsidP="00B85558">
      <w:pPr>
        <w:pStyle w:val="Heading1"/>
      </w:pPr>
      <w:r w:rsidRPr="00B85558">
        <w:t xml:space="preserve">NTG </w:t>
      </w:r>
      <w:r w:rsidR="0088256F" w:rsidRPr="00B85558">
        <w:t>Results</w:t>
      </w:r>
    </w:p>
    <w:p w14:paraId="14BFF604" w14:textId="07A89CCF" w:rsidR="0088256F" w:rsidRPr="0088256F" w:rsidRDefault="006C35C7" w:rsidP="0088256F">
      <w:r>
        <w:fldChar w:fldCharType="begin"/>
      </w:r>
      <w:r>
        <w:instrText xml:space="preserve"> REF _Ref48664152 \h </w:instrText>
      </w:r>
      <w:r>
        <w:fldChar w:fldCharType="separate"/>
      </w:r>
      <w:r w:rsidRPr="002532FB">
        <w:t xml:space="preserve">Table </w:t>
      </w:r>
      <w:r>
        <w:rPr>
          <w:noProof/>
        </w:rPr>
        <w:t>4</w:t>
      </w:r>
      <w:r>
        <w:fldChar w:fldCharType="end"/>
      </w:r>
      <w:r w:rsidR="0088256F" w:rsidRPr="0088256F">
        <w:t xml:space="preserve"> presents </w:t>
      </w:r>
      <w:r w:rsidR="009F0DF5">
        <w:t>the FR</w:t>
      </w:r>
      <w:r w:rsidR="0095507F">
        <w:t>, SO,</w:t>
      </w:r>
      <w:r w:rsidR="009F0DF5">
        <w:t xml:space="preserve"> and NTGR</w:t>
      </w:r>
      <w:r w:rsidR="009F0DF5" w:rsidRPr="0088256F">
        <w:t xml:space="preserve"> </w:t>
      </w:r>
      <w:r w:rsidR="0088256F" w:rsidRPr="0088256F">
        <w:t xml:space="preserve">results </w:t>
      </w:r>
      <w:r w:rsidR="00EB02FA">
        <w:t>for the six</w:t>
      </w:r>
      <w:r w:rsidR="00EB02FA" w:rsidRPr="0088256F">
        <w:t xml:space="preserve"> </w:t>
      </w:r>
      <w:r w:rsidR="00B27363">
        <w:t>project</w:t>
      </w:r>
      <w:r w:rsidR="00EB02FA">
        <w:t xml:space="preserve">s </w:t>
      </w:r>
      <w:r w:rsidR="009F0DF5">
        <w:t>covered in the</w:t>
      </w:r>
      <w:r w:rsidR="009F0DF5" w:rsidRPr="00035B4E">
        <w:t xml:space="preserve"> </w:t>
      </w:r>
      <w:r w:rsidR="00EB02FA">
        <w:t>completed survey</w:t>
      </w:r>
      <w:r w:rsidR="009F0DF5">
        <w:t>s</w:t>
      </w:r>
      <w:r w:rsidR="0088256F" w:rsidRPr="0088256F">
        <w:t xml:space="preserve">. </w:t>
      </w:r>
      <w:r w:rsidR="009F0DF5">
        <w:t>Given</w:t>
      </w:r>
      <w:r w:rsidR="009F0DF5" w:rsidRPr="0088256F">
        <w:t xml:space="preserve"> </w:t>
      </w:r>
      <w:r w:rsidR="00BD52B3">
        <w:t xml:space="preserve">that </w:t>
      </w:r>
      <w:r w:rsidR="0088256F" w:rsidRPr="0088256F">
        <w:t xml:space="preserve">we </w:t>
      </w:r>
      <w:r w:rsidR="0088256F" w:rsidRPr="00530BCD">
        <w:t>conducted a census attempt</w:t>
      </w:r>
      <w:r w:rsidR="0088256F" w:rsidRPr="0088256F">
        <w:t xml:space="preserve"> of all </w:t>
      </w:r>
      <w:r w:rsidR="0095507F">
        <w:t xml:space="preserve">channel </w:t>
      </w:r>
      <w:r w:rsidR="008A073D">
        <w:t xml:space="preserve">participants from </w:t>
      </w:r>
      <w:r w:rsidR="002818A0">
        <w:t>2022, 2023</w:t>
      </w:r>
      <w:r w:rsidR="008A073D">
        <w:t>,</w:t>
      </w:r>
      <w:r w:rsidR="002818A0">
        <w:t xml:space="preserve"> and </w:t>
      </w:r>
      <w:r w:rsidR="008A073D">
        <w:t xml:space="preserve">the </w:t>
      </w:r>
      <w:r w:rsidR="002818A0">
        <w:t>first half of 2024</w:t>
      </w:r>
      <w:r w:rsidR="0088256F" w:rsidRPr="0088256F">
        <w:t xml:space="preserve">, there is no sampling error around </w:t>
      </w:r>
      <w:r w:rsidR="009F0DF5">
        <w:t>these</w:t>
      </w:r>
      <w:r w:rsidR="009F0DF5" w:rsidRPr="0088256F">
        <w:t xml:space="preserve"> </w:t>
      </w:r>
      <w:r w:rsidR="0088256F" w:rsidRPr="0088256F">
        <w:t>results</w:t>
      </w:r>
      <w:r w:rsidR="000775AF">
        <w:t xml:space="preserve">. </w:t>
      </w:r>
    </w:p>
    <w:p w14:paraId="77C27882" w14:textId="24B14129" w:rsidR="006A2BE3" w:rsidRDefault="0088256F" w:rsidP="00FE34BA">
      <w:pPr>
        <w:keepNext/>
        <w:jc w:val="center"/>
      </w:pPr>
      <w:bookmarkStart w:id="9" w:name="_Ref48664152"/>
      <w:bookmarkStart w:id="10" w:name="_Toc501542437"/>
      <w:r w:rsidRPr="002532FB">
        <w:t xml:space="preserve">Table </w:t>
      </w:r>
      <w:r w:rsidRPr="0088256F">
        <w:fldChar w:fldCharType="begin"/>
      </w:r>
      <w:r w:rsidRPr="002532FB">
        <w:instrText xml:space="preserve"> SEQ Table \* ARABIC </w:instrText>
      </w:r>
      <w:r w:rsidRPr="0088256F">
        <w:fldChar w:fldCharType="separate"/>
      </w:r>
      <w:r w:rsidR="002E0775">
        <w:rPr>
          <w:noProof/>
        </w:rPr>
        <w:t>4</w:t>
      </w:r>
      <w:r w:rsidRPr="0088256F">
        <w:fldChar w:fldCharType="end"/>
      </w:r>
      <w:bookmarkEnd w:id="9"/>
      <w:r w:rsidRPr="002532FB">
        <w:t xml:space="preserve">. </w:t>
      </w:r>
      <w:r w:rsidR="0012411C" w:rsidRPr="00CE7B58">
        <w:t>Virtual Commissioning™</w:t>
      </w:r>
      <w:r w:rsidR="00BD52B3">
        <w:t xml:space="preserve"> </w:t>
      </w:r>
      <w:r w:rsidR="00E21E2D">
        <w:t xml:space="preserve">Project-Level </w:t>
      </w:r>
      <w:r w:rsidRPr="002532FB">
        <w:t>F</w:t>
      </w:r>
      <w:r w:rsidR="00E21E2D">
        <w:t xml:space="preserve">ree </w:t>
      </w:r>
      <w:r w:rsidRPr="002532FB">
        <w:t>R</w:t>
      </w:r>
      <w:r w:rsidR="00E21E2D">
        <w:t>idership</w:t>
      </w:r>
      <w:r w:rsidR="00D77C5E">
        <w:t xml:space="preserve"> and N</w:t>
      </w:r>
      <w:r w:rsidR="00E21E2D">
        <w:t>et-to-</w:t>
      </w:r>
      <w:r w:rsidR="00D77C5E">
        <w:t>G</w:t>
      </w:r>
      <w:r w:rsidR="00E21E2D">
        <w:t xml:space="preserve">ross </w:t>
      </w:r>
      <w:r w:rsidR="00D77C5E">
        <w:t>R</w:t>
      </w:r>
      <w:r w:rsidR="00E21E2D">
        <w:t>atio</w:t>
      </w:r>
      <w:r w:rsidRPr="002532FB">
        <w:t xml:space="preserve"> Results</w:t>
      </w:r>
      <w:bookmarkEnd w:id="10"/>
    </w:p>
    <w:tbl>
      <w:tblPr>
        <w:tblStyle w:val="TableGrid"/>
        <w:tblW w:w="0" w:type="auto"/>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Look w:val="04A0" w:firstRow="1" w:lastRow="0" w:firstColumn="1" w:lastColumn="0" w:noHBand="0" w:noVBand="1"/>
      </w:tblPr>
      <w:tblGrid>
        <w:gridCol w:w="1795"/>
        <w:gridCol w:w="2070"/>
        <w:gridCol w:w="1686"/>
        <w:gridCol w:w="1914"/>
      </w:tblGrid>
      <w:tr w:rsidR="008227EA" w14:paraId="5D12B25A" w14:textId="77777777" w:rsidTr="00C525FD">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795" w:type="dxa"/>
          </w:tcPr>
          <w:p w14:paraId="13D7FEC4" w14:textId="490FC4A1" w:rsidR="008227EA" w:rsidRDefault="008227EA" w:rsidP="006A2BE3">
            <w:pPr>
              <w:pStyle w:val="TableHeadingCentered"/>
            </w:pPr>
            <w:r>
              <w:t>ODCID</w:t>
            </w:r>
          </w:p>
        </w:tc>
        <w:tc>
          <w:tcPr>
            <w:tcW w:w="2070" w:type="dxa"/>
          </w:tcPr>
          <w:p w14:paraId="6D17B472" w14:textId="574F2F57" w:rsidR="008227EA" w:rsidRDefault="008227EA" w:rsidP="006A2BE3">
            <w:pPr>
              <w:pStyle w:val="TableHeadingCentered"/>
              <w:cnfStyle w:val="100000000000" w:firstRow="1" w:lastRow="0" w:firstColumn="0" w:lastColumn="0" w:oddVBand="0" w:evenVBand="0" w:oddHBand="0" w:evenHBand="0" w:firstRowFirstColumn="0" w:firstRowLastColumn="0" w:lastRowFirstColumn="0" w:lastRowLastColumn="0"/>
            </w:pPr>
            <w:r>
              <w:t>Project-Level Final FR</w:t>
            </w:r>
          </w:p>
        </w:tc>
        <w:tc>
          <w:tcPr>
            <w:tcW w:w="1686" w:type="dxa"/>
          </w:tcPr>
          <w:p w14:paraId="41AB2475" w14:textId="13B920EF" w:rsidR="008227EA" w:rsidRDefault="008227EA" w:rsidP="006A2BE3">
            <w:pPr>
              <w:pStyle w:val="TableHeadingCentered"/>
              <w:cnfStyle w:val="100000000000" w:firstRow="1" w:lastRow="0" w:firstColumn="0" w:lastColumn="0" w:oddVBand="0" w:evenVBand="0" w:oddHBand="0" w:evenHBand="0" w:firstRowFirstColumn="0" w:firstRowLastColumn="0" w:lastRowFirstColumn="0" w:lastRowLastColumn="0"/>
            </w:pPr>
            <w:r>
              <w:t>Project-Level SO</w:t>
            </w:r>
          </w:p>
        </w:tc>
        <w:tc>
          <w:tcPr>
            <w:tcW w:w="1914" w:type="dxa"/>
          </w:tcPr>
          <w:p w14:paraId="41726829" w14:textId="41BB1897" w:rsidR="008227EA" w:rsidRDefault="008227EA" w:rsidP="006A2BE3">
            <w:pPr>
              <w:pStyle w:val="TableHeadingCentered"/>
              <w:cnfStyle w:val="100000000000" w:firstRow="1" w:lastRow="0" w:firstColumn="0" w:lastColumn="0" w:oddVBand="0" w:evenVBand="0" w:oddHBand="0" w:evenHBand="0" w:firstRowFirstColumn="0" w:firstRowLastColumn="0" w:lastRowFirstColumn="0" w:lastRowLastColumn="0"/>
            </w:pPr>
            <w:r>
              <w:t>Project-Level NTGR</w:t>
            </w:r>
          </w:p>
        </w:tc>
      </w:tr>
      <w:tr w:rsidR="008227EA" w14:paraId="75395DD0" w14:textId="77777777" w:rsidTr="00C525F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795" w:type="dxa"/>
            <w:vAlign w:val="top"/>
          </w:tcPr>
          <w:p w14:paraId="44ED203F" w14:textId="6A9461D3" w:rsidR="008227EA" w:rsidRDefault="008227EA" w:rsidP="007F5064">
            <w:pPr>
              <w:jc w:val="center"/>
            </w:pPr>
            <w:r w:rsidRPr="008812AB">
              <w:t>ODC842</w:t>
            </w:r>
          </w:p>
        </w:tc>
        <w:tc>
          <w:tcPr>
            <w:tcW w:w="2070" w:type="dxa"/>
            <w:vAlign w:val="top"/>
          </w:tcPr>
          <w:p w14:paraId="0DBEE03A" w14:textId="5979D76F" w:rsidR="008227EA" w:rsidRPr="00723DFC" w:rsidRDefault="008227EA" w:rsidP="007F5064">
            <w:pPr>
              <w:jc w:val="center"/>
              <w:cnfStyle w:val="000000100000" w:firstRow="0" w:lastRow="0" w:firstColumn="0" w:lastColumn="0" w:oddVBand="0" w:evenVBand="0" w:oddHBand="1" w:evenHBand="0" w:firstRowFirstColumn="0" w:firstRowLastColumn="0" w:lastRowFirstColumn="0" w:lastRowLastColumn="0"/>
            </w:pPr>
            <w:r w:rsidRPr="00723DFC">
              <w:t>0.10</w:t>
            </w:r>
          </w:p>
        </w:tc>
        <w:tc>
          <w:tcPr>
            <w:tcW w:w="1686" w:type="dxa"/>
          </w:tcPr>
          <w:p w14:paraId="3E382D68" w14:textId="44283A51" w:rsidR="008227EA" w:rsidRPr="00723DFC" w:rsidRDefault="008227EA" w:rsidP="007F5064">
            <w:pPr>
              <w:jc w:val="center"/>
              <w:cnfStyle w:val="000000100000" w:firstRow="0" w:lastRow="0" w:firstColumn="0" w:lastColumn="0" w:oddVBand="0" w:evenVBand="0" w:oddHBand="1" w:evenHBand="0" w:firstRowFirstColumn="0" w:firstRowLastColumn="0" w:lastRowFirstColumn="0" w:lastRowLastColumn="0"/>
            </w:pPr>
            <w:r>
              <w:t>0.00</w:t>
            </w:r>
          </w:p>
        </w:tc>
        <w:tc>
          <w:tcPr>
            <w:tcW w:w="1914" w:type="dxa"/>
            <w:vAlign w:val="top"/>
          </w:tcPr>
          <w:p w14:paraId="6EACC61E" w14:textId="324A99DD" w:rsidR="008227EA" w:rsidRPr="00723DFC" w:rsidRDefault="008227EA" w:rsidP="007F5064">
            <w:pPr>
              <w:jc w:val="center"/>
              <w:cnfStyle w:val="000000100000" w:firstRow="0" w:lastRow="0" w:firstColumn="0" w:lastColumn="0" w:oddVBand="0" w:evenVBand="0" w:oddHBand="1" w:evenHBand="0" w:firstRowFirstColumn="0" w:firstRowLastColumn="0" w:lastRowFirstColumn="0" w:lastRowLastColumn="0"/>
            </w:pPr>
            <w:r w:rsidRPr="00723DFC">
              <w:t>0.90</w:t>
            </w:r>
          </w:p>
        </w:tc>
      </w:tr>
      <w:tr w:rsidR="008227EA" w14:paraId="17FEC5FF" w14:textId="77777777" w:rsidTr="00C525FD">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795" w:type="dxa"/>
            <w:vAlign w:val="top"/>
          </w:tcPr>
          <w:p w14:paraId="4EC9C1BA" w14:textId="72FD7345" w:rsidR="008227EA" w:rsidRDefault="008227EA" w:rsidP="007F5064">
            <w:pPr>
              <w:jc w:val="center"/>
            </w:pPr>
            <w:r w:rsidRPr="008812AB">
              <w:t>ODC822</w:t>
            </w:r>
          </w:p>
        </w:tc>
        <w:tc>
          <w:tcPr>
            <w:tcW w:w="2070" w:type="dxa"/>
            <w:vAlign w:val="top"/>
          </w:tcPr>
          <w:p w14:paraId="17C3F376" w14:textId="003C22EB" w:rsidR="008227EA" w:rsidRPr="00723DFC" w:rsidRDefault="008227EA" w:rsidP="007F5064">
            <w:pPr>
              <w:jc w:val="center"/>
              <w:cnfStyle w:val="000000010000" w:firstRow="0" w:lastRow="0" w:firstColumn="0" w:lastColumn="0" w:oddVBand="0" w:evenVBand="0" w:oddHBand="0" w:evenHBand="1" w:firstRowFirstColumn="0" w:firstRowLastColumn="0" w:lastRowFirstColumn="0" w:lastRowLastColumn="0"/>
            </w:pPr>
            <w:r w:rsidRPr="00723DFC">
              <w:t>0.</w:t>
            </w:r>
            <w:r w:rsidRPr="00C525FD">
              <w:t>00</w:t>
            </w:r>
          </w:p>
        </w:tc>
        <w:tc>
          <w:tcPr>
            <w:tcW w:w="1686" w:type="dxa"/>
          </w:tcPr>
          <w:p w14:paraId="125E77E9" w14:textId="6261BD2C" w:rsidR="008227EA" w:rsidRPr="008227EA" w:rsidRDefault="008227EA" w:rsidP="007F5064">
            <w:pPr>
              <w:jc w:val="center"/>
              <w:cnfStyle w:val="000000010000" w:firstRow="0" w:lastRow="0" w:firstColumn="0" w:lastColumn="0" w:oddVBand="0" w:evenVBand="0" w:oddHBand="0" w:evenHBand="1" w:firstRowFirstColumn="0" w:firstRowLastColumn="0" w:lastRowFirstColumn="0" w:lastRowLastColumn="0"/>
            </w:pPr>
            <w:r>
              <w:t>0.00</w:t>
            </w:r>
          </w:p>
        </w:tc>
        <w:tc>
          <w:tcPr>
            <w:tcW w:w="1914" w:type="dxa"/>
            <w:vAlign w:val="top"/>
          </w:tcPr>
          <w:p w14:paraId="535FA9B7" w14:textId="1E1446CC" w:rsidR="008227EA" w:rsidRPr="00723DFC" w:rsidRDefault="008227EA" w:rsidP="007F5064">
            <w:pPr>
              <w:jc w:val="center"/>
              <w:cnfStyle w:val="000000010000" w:firstRow="0" w:lastRow="0" w:firstColumn="0" w:lastColumn="0" w:oddVBand="0" w:evenVBand="0" w:oddHBand="0" w:evenHBand="1" w:firstRowFirstColumn="0" w:firstRowLastColumn="0" w:lastRowFirstColumn="0" w:lastRowLastColumn="0"/>
            </w:pPr>
            <w:r>
              <w:t>0.90</w:t>
            </w:r>
          </w:p>
        </w:tc>
      </w:tr>
      <w:tr w:rsidR="008227EA" w14:paraId="632466ED" w14:textId="77777777" w:rsidTr="00C525FD">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795" w:type="dxa"/>
            <w:vAlign w:val="top"/>
          </w:tcPr>
          <w:p w14:paraId="53600A86" w14:textId="0AECC725" w:rsidR="008227EA" w:rsidRDefault="008227EA" w:rsidP="007F5064">
            <w:pPr>
              <w:jc w:val="center"/>
            </w:pPr>
            <w:r w:rsidRPr="008812AB">
              <w:t>ODC706</w:t>
            </w:r>
          </w:p>
        </w:tc>
        <w:tc>
          <w:tcPr>
            <w:tcW w:w="2070" w:type="dxa"/>
            <w:vAlign w:val="top"/>
          </w:tcPr>
          <w:p w14:paraId="26842054" w14:textId="38A09FCC" w:rsidR="008227EA" w:rsidRPr="00723DFC" w:rsidRDefault="008227EA" w:rsidP="007F5064">
            <w:pPr>
              <w:jc w:val="center"/>
              <w:cnfStyle w:val="000000100000" w:firstRow="0" w:lastRow="0" w:firstColumn="0" w:lastColumn="0" w:oddVBand="0" w:evenVBand="0" w:oddHBand="1" w:evenHBand="0" w:firstRowFirstColumn="0" w:firstRowLastColumn="0" w:lastRowFirstColumn="0" w:lastRowLastColumn="0"/>
            </w:pPr>
            <w:r w:rsidRPr="00723DFC">
              <w:t>0.</w:t>
            </w:r>
            <w:r>
              <w:t>30</w:t>
            </w:r>
          </w:p>
        </w:tc>
        <w:tc>
          <w:tcPr>
            <w:tcW w:w="1686" w:type="dxa"/>
          </w:tcPr>
          <w:p w14:paraId="03CEFE49" w14:textId="5F2317E5" w:rsidR="008227EA" w:rsidRPr="008227EA" w:rsidRDefault="008227EA" w:rsidP="007F5064">
            <w:pPr>
              <w:jc w:val="center"/>
              <w:cnfStyle w:val="000000100000" w:firstRow="0" w:lastRow="0" w:firstColumn="0" w:lastColumn="0" w:oddVBand="0" w:evenVBand="0" w:oddHBand="1" w:evenHBand="0" w:firstRowFirstColumn="0" w:firstRowLastColumn="0" w:lastRowFirstColumn="0" w:lastRowLastColumn="0"/>
            </w:pPr>
            <w:r>
              <w:t>0.00</w:t>
            </w:r>
          </w:p>
        </w:tc>
        <w:tc>
          <w:tcPr>
            <w:tcW w:w="1914" w:type="dxa"/>
            <w:vAlign w:val="top"/>
          </w:tcPr>
          <w:p w14:paraId="35D90F15" w14:textId="051F2849" w:rsidR="008227EA" w:rsidRPr="00723DFC" w:rsidRDefault="008227EA" w:rsidP="007F5064">
            <w:pPr>
              <w:jc w:val="center"/>
              <w:cnfStyle w:val="000000100000" w:firstRow="0" w:lastRow="0" w:firstColumn="0" w:lastColumn="0" w:oddVBand="0" w:evenVBand="0" w:oddHBand="1" w:evenHBand="0" w:firstRowFirstColumn="0" w:firstRowLastColumn="0" w:lastRowFirstColumn="0" w:lastRowLastColumn="0"/>
            </w:pPr>
            <w:r>
              <w:t>0.70</w:t>
            </w:r>
          </w:p>
        </w:tc>
      </w:tr>
      <w:tr w:rsidR="008227EA" w14:paraId="0EAF5FA1" w14:textId="77777777" w:rsidTr="00C525FD">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795" w:type="dxa"/>
            <w:vAlign w:val="top"/>
          </w:tcPr>
          <w:p w14:paraId="2CB695AE" w14:textId="17591D76" w:rsidR="008227EA" w:rsidRDefault="008227EA" w:rsidP="007F5064">
            <w:pPr>
              <w:jc w:val="center"/>
            </w:pPr>
            <w:r w:rsidRPr="008812AB">
              <w:t>ODC856</w:t>
            </w:r>
          </w:p>
        </w:tc>
        <w:tc>
          <w:tcPr>
            <w:tcW w:w="2070" w:type="dxa"/>
            <w:vAlign w:val="top"/>
          </w:tcPr>
          <w:p w14:paraId="2499784A" w14:textId="50CC0066" w:rsidR="008227EA" w:rsidRPr="00723DFC" w:rsidRDefault="008227EA" w:rsidP="007F5064">
            <w:pPr>
              <w:jc w:val="center"/>
              <w:cnfStyle w:val="000000010000" w:firstRow="0" w:lastRow="0" w:firstColumn="0" w:lastColumn="0" w:oddVBand="0" w:evenVBand="0" w:oddHBand="0" w:evenHBand="1" w:firstRowFirstColumn="0" w:firstRowLastColumn="0" w:lastRowFirstColumn="0" w:lastRowLastColumn="0"/>
            </w:pPr>
            <w:r w:rsidRPr="00723DFC">
              <w:t>0.</w:t>
            </w:r>
            <w:r>
              <w:t>15</w:t>
            </w:r>
          </w:p>
        </w:tc>
        <w:tc>
          <w:tcPr>
            <w:tcW w:w="1686" w:type="dxa"/>
          </w:tcPr>
          <w:p w14:paraId="466B48C8" w14:textId="7E3BEF2B" w:rsidR="008227EA" w:rsidRPr="00723DFC" w:rsidRDefault="008227EA" w:rsidP="007F5064">
            <w:pPr>
              <w:jc w:val="center"/>
              <w:cnfStyle w:val="000000010000" w:firstRow="0" w:lastRow="0" w:firstColumn="0" w:lastColumn="0" w:oddVBand="0" w:evenVBand="0" w:oddHBand="0" w:evenHBand="1" w:firstRowFirstColumn="0" w:firstRowLastColumn="0" w:lastRowFirstColumn="0" w:lastRowLastColumn="0"/>
            </w:pPr>
            <w:r>
              <w:t>0.00</w:t>
            </w:r>
          </w:p>
        </w:tc>
        <w:tc>
          <w:tcPr>
            <w:tcW w:w="1914" w:type="dxa"/>
            <w:vAlign w:val="top"/>
          </w:tcPr>
          <w:p w14:paraId="2EA86ECC" w14:textId="3D381C4D" w:rsidR="008227EA" w:rsidRPr="00723DFC" w:rsidRDefault="008227EA" w:rsidP="007F5064">
            <w:pPr>
              <w:jc w:val="center"/>
              <w:cnfStyle w:val="000000010000" w:firstRow="0" w:lastRow="0" w:firstColumn="0" w:lastColumn="0" w:oddVBand="0" w:evenVBand="0" w:oddHBand="0" w:evenHBand="1" w:firstRowFirstColumn="0" w:firstRowLastColumn="0" w:lastRowFirstColumn="0" w:lastRowLastColumn="0"/>
            </w:pPr>
            <w:r w:rsidRPr="00723DFC">
              <w:t>0.</w:t>
            </w:r>
            <w:r>
              <w:t>85</w:t>
            </w:r>
          </w:p>
        </w:tc>
      </w:tr>
      <w:tr w:rsidR="008227EA" w14:paraId="38C2F1BE" w14:textId="77777777" w:rsidTr="00C525FD">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795" w:type="dxa"/>
            <w:vAlign w:val="top"/>
          </w:tcPr>
          <w:p w14:paraId="50192D47" w14:textId="2CA2883F" w:rsidR="008227EA" w:rsidRDefault="008227EA" w:rsidP="007F5064">
            <w:pPr>
              <w:jc w:val="center"/>
            </w:pPr>
            <w:r w:rsidRPr="008812AB">
              <w:t>ODC130</w:t>
            </w:r>
          </w:p>
        </w:tc>
        <w:tc>
          <w:tcPr>
            <w:tcW w:w="2070" w:type="dxa"/>
            <w:vAlign w:val="top"/>
          </w:tcPr>
          <w:p w14:paraId="4DC3E68A" w14:textId="72519D4B" w:rsidR="008227EA" w:rsidRPr="00723DFC" w:rsidRDefault="008227EA" w:rsidP="007F5064">
            <w:pPr>
              <w:jc w:val="center"/>
              <w:cnfStyle w:val="000000100000" w:firstRow="0" w:lastRow="0" w:firstColumn="0" w:lastColumn="0" w:oddVBand="0" w:evenVBand="0" w:oddHBand="1" w:evenHBand="0" w:firstRowFirstColumn="0" w:firstRowLastColumn="0" w:lastRowFirstColumn="0" w:lastRowLastColumn="0"/>
            </w:pPr>
            <w:r w:rsidRPr="00723DFC">
              <w:t>0.08</w:t>
            </w:r>
          </w:p>
        </w:tc>
        <w:tc>
          <w:tcPr>
            <w:tcW w:w="1686" w:type="dxa"/>
          </w:tcPr>
          <w:p w14:paraId="0C8DFCAE" w14:textId="2850247C" w:rsidR="008227EA" w:rsidRPr="00723DFC" w:rsidRDefault="0095507F" w:rsidP="007F5064">
            <w:pPr>
              <w:jc w:val="center"/>
              <w:cnfStyle w:val="000000100000" w:firstRow="0" w:lastRow="0" w:firstColumn="0" w:lastColumn="0" w:oddVBand="0" w:evenVBand="0" w:oddHBand="1" w:evenHBand="0" w:firstRowFirstColumn="0" w:firstRowLastColumn="0" w:lastRowFirstColumn="0" w:lastRowLastColumn="0"/>
            </w:pPr>
            <w:r w:rsidRPr="00BF3B58">
              <w:t>0.</w:t>
            </w:r>
            <w:r w:rsidR="004F5ED9">
              <w:t>06</w:t>
            </w:r>
          </w:p>
        </w:tc>
        <w:tc>
          <w:tcPr>
            <w:tcW w:w="1914" w:type="dxa"/>
            <w:vAlign w:val="top"/>
          </w:tcPr>
          <w:p w14:paraId="6F700D81" w14:textId="2594703B" w:rsidR="008227EA" w:rsidRPr="00723DFC" w:rsidRDefault="008227EA" w:rsidP="007F5064">
            <w:pPr>
              <w:jc w:val="center"/>
              <w:cnfStyle w:val="000000100000" w:firstRow="0" w:lastRow="0" w:firstColumn="0" w:lastColumn="0" w:oddVBand="0" w:evenVBand="0" w:oddHBand="1" w:evenHBand="0" w:firstRowFirstColumn="0" w:firstRowLastColumn="0" w:lastRowFirstColumn="0" w:lastRowLastColumn="0"/>
            </w:pPr>
            <w:r w:rsidRPr="00723DFC">
              <w:t>0.9</w:t>
            </w:r>
            <w:r w:rsidR="005F798E">
              <w:t>8</w:t>
            </w:r>
          </w:p>
        </w:tc>
      </w:tr>
      <w:tr w:rsidR="008227EA" w14:paraId="596E7C16" w14:textId="77777777" w:rsidTr="00C525FD">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795" w:type="dxa"/>
            <w:vAlign w:val="top"/>
          </w:tcPr>
          <w:p w14:paraId="7A55EC3F" w14:textId="107F7305" w:rsidR="008227EA" w:rsidRDefault="008227EA" w:rsidP="007F5064">
            <w:pPr>
              <w:jc w:val="center"/>
            </w:pPr>
            <w:r w:rsidRPr="008812AB">
              <w:t>ODC480</w:t>
            </w:r>
          </w:p>
        </w:tc>
        <w:tc>
          <w:tcPr>
            <w:tcW w:w="2070" w:type="dxa"/>
            <w:vAlign w:val="top"/>
          </w:tcPr>
          <w:p w14:paraId="3B097B11" w14:textId="046C43F6" w:rsidR="008227EA" w:rsidRPr="00723DFC" w:rsidRDefault="008227EA" w:rsidP="007F5064">
            <w:pPr>
              <w:jc w:val="center"/>
              <w:cnfStyle w:val="000000010000" w:firstRow="0" w:lastRow="0" w:firstColumn="0" w:lastColumn="0" w:oddVBand="0" w:evenVBand="0" w:oddHBand="0" w:evenHBand="1" w:firstRowFirstColumn="0" w:firstRowLastColumn="0" w:lastRowFirstColumn="0" w:lastRowLastColumn="0"/>
            </w:pPr>
            <w:r w:rsidRPr="00723DFC">
              <w:t>0.</w:t>
            </w:r>
            <w:r>
              <w:t>50</w:t>
            </w:r>
          </w:p>
        </w:tc>
        <w:tc>
          <w:tcPr>
            <w:tcW w:w="1686" w:type="dxa"/>
          </w:tcPr>
          <w:p w14:paraId="6E91FFCD" w14:textId="4877F03C" w:rsidR="008227EA" w:rsidRPr="008227EA" w:rsidRDefault="0095507F" w:rsidP="007F5064">
            <w:pPr>
              <w:jc w:val="center"/>
              <w:cnfStyle w:val="000000010000" w:firstRow="0" w:lastRow="0" w:firstColumn="0" w:lastColumn="0" w:oddVBand="0" w:evenVBand="0" w:oddHBand="0" w:evenHBand="1" w:firstRowFirstColumn="0" w:firstRowLastColumn="0" w:lastRowFirstColumn="0" w:lastRowLastColumn="0"/>
            </w:pPr>
            <w:r>
              <w:t>0.00</w:t>
            </w:r>
          </w:p>
        </w:tc>
        <w:tc>
          <w:tcPr>
            <w:tcW w:w="1914" w:type="dxa"/>
            <w:vAlign w:val="top"/>
          </w:tcPr>
          <w:p w14:paraId="75C31E4E" w14:textId="3C480CA8" w:rsidR="008227EA" w:rsidRPr="00723DFC" w:rsidRDefault="008227EA" w:rsidP="007F5064">
            <w:pPr>
              <w:jc w:val="center"/>
              <w:cnfStyle w:val="000000010000" w:firstRow="0" w:lastRow="0" w:firstColumn="0" w:lastColumn="0" w:oddVBand="0" w:evenVBand="0" w:oddHBand="0" w:evenHBand="1" w:firstRowFirstColumn="0" w:firstRowLastColumn="0" w:lastRowFirstColumn="0" w:lastRowLastColumn="0"/>
            </w:pPr>
            <w:r>
              <w:t>0.50</w:t>
            </w:r>
          </w:p>
        </w:tc>
      </w:tr>
    </w:tbl>
    <w:p w14:paraId="66398E4E" w14:textId="65CAC174" w:rsidR="005234BF" w:rsidRDefault="00B27363" w:rsidP="0009215B">
      <w:r>
        <w:br w:type="textWrapping" w:clear="all"/>
      </w:r>
      <w:r w:rsidR="00B43220">
        <w:t>The evaluation team weighted</w:t>
      </w:r>
      <w:r w:rsidR="00CC6092">
        <w:t xml:space="preserve"> these p</w:t>
      </w:r>
      <w:r w:rsidR="00B43220">
        <w:t>roject</w:t>
      </w:r>
      <w:r w:rsidR="00CC6092">
        <w:t xml:space="preserve">-level FR scores </w:t>
      </w:r>
      <w:r w:rsidR="00B43220">
        <w:t>based on their</w:t>
      </w:r>
      <w:r w:rsidR="00CC6092">
        <w:t xml:space="preserve"> </w:t>
      </w:r>
      <w:r w:rsidR="00B43220">
        <w:t xml:space="preserve">ex ante </w:t>
      </w:r>
      <w:r w:rsidR="008A073D">
        <w:t xml:space="preserve">electric energy </w:t>
      </w:r>
      <w:r w:rsidR="00CC6092">
        <w:t xml:space="preserve">savings </w:t>
      </w:r>
      <w:r w:rsidR="00B43220" w:rsidRPr="00035B4E">
        <w:t xml:space="preserve">relative to the total </w:t>
      </w:r>
      <w:r w:rsidR="00B43220" w:rsidRPr="00723DFC">
        <w:t xml:space="preserve">ex ante </w:t>
      </w:r>
      <w:r w:rsidR="008A073D" w:rsidRPr="00723DFC">
        <w:t xml:space="preserve">electric energy </w:t>
      </w:r>
      <w:r w:rsidR="00B43220" w:rsidRPr="00723DFC">
        <w:t xml:space="preserve">savings across </w:t>
      </w:r>
      <w:r w:rsidR="00D77C5E" w:rsidRPr="00723DFC">
        <w:t>all</w:t>
      </w:r>
      <w:r w:rsidR="00B43220" w:rsidRPr="00723DFC">
        <w:t xml:space="preserve"> projects </w:t>
      </w:r>
      <w:r w:rsidR="009F0DF5" w:rsidRPr="00723DFC">
        <w:t xml:space="preserve">represented in the </w:t>
      </w:r>
      <w:r w:rsidR="00B43220" w:rsidRPr="00723DFC">
        <w:t>survey</w:t>
      </w:r>
      <w:r w:rsidR="009F0DF5" w:rsidRPr="00723DFC">
        <w:t xml:space="preserve"> responses</w:t>
      </w:r>
      <w:r w:rsidR="00B43220" w:rsidRPr="00723DFC">
        <w:t xml:space="preserve">, </w:t>
      </w:r>
      <w:r w:rsidR="00F95E03" w:rsidRPr="00723DFC">
        <w:t>result</w:t>
      </w:r>
      <w:r w:rsidR="00B43220" w:rsidRPr="00723DFC">
        <w:t>ing</w:t>
      </w:r>
      <w:r w:rsidR="00F95E03" w:rsidRPr="00723DFC">
        <w:t xml:space="preserve"> in</w:t>
      </w:r>
      <w:r w:rsidR="00CC6092" w:rsidRPr="00723DFC">
        <w:t xml:space="preserve"> an overall </w:t>
      </w:r>
      <w:r w:rsidR="00B43220" w:rsidRPr="00723DFC">
        <w:t>FR score of 0.</w:t>
      </w:r>
      <w:r w:rsidR="008227EA">
        <w:t>20</w:t>
      </w:r>
      <w:r w:rsidR="0095507F">
        <w:t xml:space="preserve">. </w:t>
      </w:r>
      <w:r w:rsidR="004F5ED9">
        <w:t xml:space="preserve">Similarly, the evaluation team estimated the </w:t>
      </w:r>
      <w:r w:rsidR="00ED28F7">
        <w:t>channel</w:t>
      </w:r>
      <w:r w:rsidR="004F5ED9">
        <w:t xml:space="preserve">-level spillover rate by dividing the spillover savings attributable to the </w:t>
      </w:r>
      <w:proofErr w:type="spellStart"/>
      <w:r w:rsidR="004F5ED9">
        <w:t>VCx</w:t>
      </w:r>
      <w:proofErr w:type="spellEnd"/>
      <w:r w:rsidR="004F5ED9">
        <w:t xml:space="preserve"> channel by </w:t>
      </w:r>
      <w:r w:rsidR="004F5ED9" w:rsidRPr="00035B4E">
        <w:t xml:space="preserve">the total </w:t>
      </w:r>
      <w:r w:rsidR="004F5ED9" w:rsidRPr="00723DFC">
        <w:t>ex ante electric energy savings across all projects represented in the survey responses</w:t>
      </w:r>
      <w:r w:rsidR="005F798E">
        <w:t xml:space="preserve">, resulting in an overall </w:t>
      </w:r>
      <w:r w:rsidR="0095507F">
        <w:t xml:space="preserve">spillover rate </w:t>
      </w:r>
      <w:r w:rsidR="005F798E">
        <w:t>of</w:t>
      </w:r>
      <w:r w:rsidR="0095507F">
        <w:t xml:space="preserve"> 0.005</w:t>
      </w:r>
      <w:r w:rsidR="005F798E">
        <w:t>. T</w:t>
      </w:r>
      <w:r w:rsidR="0095507F">
        <w:t>he resulting</w:t>
      </w:r>
      <w:r w:rsidR="0095507F" w:rsidRPr="00723DFC">
        <w:t xml:space="preserve"> </w:t>
      </w:r>
      <w:r w:rsidR="00D77C5E" w:rsidRPr="00723DFC">
        <w:t>overall</w:t>
      </w:r>
      <w:r w:rsidR="00B43220" w:rsidRPr="00723DFC">
        <w:t xml:space="preserve"> </w:t>
      </w:r>
      <w:r w:rsidR="00CC6092" w:rsidRPr="00723DFC">
        <w:t>NTG</w:t>
      </w:r>
      <w:r w:rsidR="00E21E2D" w:rsidRPr="00723DFC">
        <w:t>R</w:t>
      </w:r>
      <w:r w:rsidR="00CC6092" w:rsidRPr="00723DFC">
        <w:t xml:space="preserve"> </w:t>
      </w:r>
      <w:r w:rsidR="0095507F">
        <w:t>is</w:t>
      </w:r>
      <w:r w:rsidR="0095507F" w:rsidRPr="00723DFC">
        <w:t xml:space="preserve"> </w:t>
      </w:r>
      <w:r w:rsidR="00CC6092" w:rsidRPr="00BF3B58">
        <w:t>0.</w:t>
      </w:r>
      <w:r w:rsidR="008227EA" w:rsidRPr="00BF3B58">
        <w:t>80</w:t>
      </w:r>
      <w:r w:rsidR="00CC6092" w:rsidRPr="0095507F">
        <w:t>.</w:t>
      </w:r>
      <w:r w:rsidR="00CC6092">
        <w:t xml:space="preserve"> </w:t>
      </w:r>
    </w:p>
    <w:p w14:paraId="4984BAB8" w14:textId="7B062E70" w:rsidR="00454248" w:rsidRPr="0035151E" w:rsidRDefault="00454248" w:rsidP="00454248">
      <w:pPr>
        <w:pStyle w:val="Caption"/>
        <w:keepNext/>
        <w:keepLines/>
        <w:jc w:val="center"/>
        <w:rPr>
          <w:rStyle w:val="Strong"/>
          <w:rFonts w:ascii="Franklin Gothic Book" w:hAnsi="Franklin Gothic Book"/>
          <w:i w:val="0"/>
          <w:iCs w:val="0"/>
          <w:color w:val="4A4D56" w:themeColor="text1"/>
          <w:sz w:val="22"/>
          <w:szCs w:val="22"/>
        </w:rPr>
      </w:pPr>
      <w:r w:rsidRPr="0035151E">
        <w:rPr>
          <w:i w:val="0"/>
          <w:iCs w:val="0"/>
          <w:color w:val="4A4D56" w:themeColor="text1"/>
          <w:sz w:val="22"/>
          <w:szCs w:val="22"/>
        </w:rPr>
        <w:t xml:space="preserve">Table </w:t>
      </w:r>
      <w:r w:rsidRPr="0035151E">
        <w:rPr>
          <w:i w:val="0"/>
          <w:iCs w:val="0"/>
          <w:color w:val="4A4D56" w:themeColor="text1"/>
          <w:sz w:val="22"/>
          <w:szCs w:val="22"/>
        </w:rPr>
        <w:fldChar w:fldCharType="begin"/>
      </w:r>
      <w:r w:rsidRPr="0035151E">
        <w:rPr>
          <w:i w:val="0"/>
          <w:iCs w:val="0"/>
          <w:color w:val="4A4D56" w:themeColor="text1"/>
          <w:sz w:val="22"/>
          <w:szCs w:val="22"/>
        </w:rPr>
        <w:instrText xml:space="preserve"> SEQ Table \* ARABIC </w:instrText>
      </w:r>
      <w:r w:rsidRPr="0035151E">
        <w:rPr>
          <w:i w:val="0"/>
          <w:iCs w:val="0"/>
          <w:color w:val="4A4D56" w:themeColor="text1"/>
          <w:sz w:val="22"/>
          <w:szCs w:val="22"/>
        </w:rPr>
        <w:fldChar w:fldCharType="separate"/>
      </w:r>
      <w:r w:rsidR="002E0775" w:rsidRPr="0035151E">
        <w:rPr>
          <w:i w:val="0"/>
          <w:iCs w:val="0"/>
          <w:noProof/>
          <w:color w:val="4A4D56" w:themeColor="text1"/>
          <w:sz w:val="22"/>
          <w:szCs w:val="22"/>
        </w:rPr>
        <w:t>5</w:t>
      </w:r>
      <w:r w:rsidRPr="0035151E">
        <w:rPr>
          <w:i w:val="0"/>
          <w:iCs w:val="0"/>
          <w:color w:val="4A4D56" w:themeColor="text1"/>
          <w:sz w:val="22"/>
          <w:szCs w:val="22"/>
        </w:rPr>
        <w:fldChar w:fldCharType="end"/>
      </w:r>
      <w:r w:rsidRPr="0035151E">
        <w:rPr>
          <w:i w:val="0"/>
          <w:iCs w:val="0"/>
          <w:color w:val="4A4D56" w:themeColor="text1"/>
          <w:sz w:val="22"/>
          <w:szCs w:val="22"/>
        </w:rPr>
        <w:t xml:space="preserve">. </w:t>
      </w:r>
      <w:r w:rsidR="0012411C" w:rsidRPr="00FE34BA">
        <w:rPr>
          <w:i w:val="0"/>
          <w:iCs w:val="0"/>
          <w:color w:val="4A4D56" w:themeColor="text1"/>
          <w:sz w:val="22"/>
          <w:szCs w:val="22"/>
        </w:rPr>
        <w:t>Virtual Commissioning™</w:t>
      </w:r>
      <w:r w:rsidR="00BD52B3" w:rsidRPr="00FE34BA">
        <w:rPr>
          <w:i w:val="0"/>
          <w:iCs w:val="0"/>
          <w:color w:val="4A4D56" w:themeColor="text1"/>
          <w:sz w:val="22"/>
          <w:szCs w:val="22"/>
        </w:rPr>
        <w:t xml:space="preserve"> </w:t>
      </w:r>
      <w:r w:rsidR="00E21E2D" w:rsidRPr="00BD52B3">
        <w:rPr>
          <w:i w:val="0"/>
          <w:iCs w:val="0"/>
          <w:color w:val="4A4D56" w:themeColor="text1"/>
          <w:sz w:val="22"/>
          <w:szCs w:val="22"/>
        </w:rPr>
        <w:t>Channel</w:t>
      </w:r>
      <w:r w:rsidR="00E21E2D">
        <w:rPr>
          <w:i w:val="0"/>
          <w:iCs w:val="0"/>
          <w:color w:val="4A4D56" w:themeColor="text1"/>
          <w:sz w:val="22"/>
          <w:szCs w:val="22"/>
        </w:rPr>
        <w:t>-level</w:t>
      </w:r>
      <w:r w:rsidRPr="0035151E">
        <w:rPr>
          <w:i w:val="0"/>
          <w:iCs w:val="0"/>
          <w:color w:val="4A4D56" w:themeColor="text1"/>
          <w:sz w:val="22"/>
          <w:szCs w:val="22"/>
        </w:rPr>
        <w:t xml:space="preserve"> </w:t>
      </w:r>
      <w:r w:rsidR="00E21E2D">
        <w:rPr>
          <w:i w:val="0"/>
          <w:iCs w:val="0"/>
          <w:color w:val="4A4D56" w:themeColor="text1"/>
          <w:sz w:val="22"/>
          <w:szCs w:val="22"/>
        </w:rPr>
        <w:t>Net-to-Gross Ratio</w:t>
      </w:r>
      <w:r w:rsidR="00E21E2D" w:rsidRPr="0035151E">
        <w:rPr>
          <w:i w:val="0"/>
          <w:iCs w:val="0"/>
          <w:color w:val="4A4D56" w:themeColor="text1"/>
          <w:sz w:val="22"/>
          <w:szCs w:val="22"/>
        </w:rPr>
        <w:t xml:space="preserve"> </w:t>
      </w:r>
      <w:r w:rsidRPr="0035151E">
        <w:rPr>
          <w:i w:val="0"/>
          <w:iCs w:val="0"/>
          <w:color w:val="4A4D56" w:themeColor="text1"/>
          <w:sz w:val="22"/>
          <w:szCs w:val="22"/>
        </w:rPr>
        <w:t>Results</w:t>
      </w:r>
    </w:p>
    <w:tbl>
      <w:tblPr>
        <w:tblStyle w:val="TableGrid"/>
        <w:tblW w:w="3396" w:type="dxa"/>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Look w:val="04A0" w:firstRow="1" w:lastRow="0" w:firstColumn="1" w:lastColumn="0" w:noHBand="0" w:noVBand="1"/>
      </w:tblPr>
      <w:tblGrid>
        <w:gridCol w:w="948"/>
        <w:gridCol w:w="937"/>
        <w:gridCol w:w="1511"/>
      </w:tblGrid>
      <w:tr w:rsidR="00454248" w14:paraId="61DADE24" w14:textId="77777777" w:rsidTr="00BF3B58">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48" w:type="dxa"/>
            <w:tcBorders>
              <w:top w:val="none" w:sz="0" w:space="0" w:color="auto"/>
              <w:left w:val="none" w:sz="0" w:space="0" w:color="auto"/>
              <w:bottom w:val="none" w:sz="0" w:space="0" w:color="auto"/>
              <w:right w:val="none" w:sz="0" w:space="0" w:color="auto"/>
            </w:tcBorders>
          </w:tcPr>
          <w:p w14:paraId="775D5A9C" w14:textId="77777777" w:rsidR="00454248" w:rsidRPr="00B86A7A" w:rsidRDefault="00454248" w:rsidP="002D55EA">
            <w:pPr>
              <w:pStyle w:val="TableHeadingCentered"/>
              <w:keepNext/>
              <w:keepLines/>
            </w:pPr>
            <w:r>
              <w:t>FR</w:t>
            </w:r>
          </w:p>
        </w:tc>
        <w:tc>
          <w:tcPr>
            <w:tcW w:w="937" w:type="dxa"/>
            <w:tcBorders>
              <w:bottom w:val="none" w:sz="0" w:space="0" w:color="auto"/>
            </w:tcBorders>
          </w:tcPr>
          <w:p w14:paraId="536A1A24" w14:textId="77777777" w:rsidR="00454248" w:rsidRPr="00B86A7A" w:rsidRDefault="00454248" w:rsidP="002D55EA">
            <w:pPr>
              <w:pStyle w:val="TableHeadingCentered"/>
              <w:keepNext/>
              <w:keepLines/>
              <w:cnfStyle w:val="100000000000" w:firstRow="1" w:lastRow="0" w:firstColumn="0" w:lastColumn="0" w:oddVBand="0" w:evenVBand="0" w:oddHBand="0" w:evenHBand="0" w:firstRowFirstColumn="0" w:firstRowLastColumn="0" w:lastRowFirstColumn="0" w:lastRowLastColumn="0"/>
              <w:rPr>
                <w:rStyle w:val="Strong"/>
                <w:color w:val="auto"/>
              </w:rPr>
            </w:pPr>
            <w:r>
              <w:rPr>
                <w:rStyle w:val="Strong"/>
                <w:color w:val="auto"/>
              </w:rPr>
              <w:t>SO</w:t>
            </w:r>
          </w:p>
        </w:tc>
        <w:tc>
          <w:tcPr>
            <w:tcW w:w="1511" w:type="dxa"/>
            <w:tcBorders>
              <w:bottom w:val="none" w:sz="0" w:space="0" w:color="auto"/>
            </w:tcBorders>
          </w:tcPr>
          <w:p w14:paraId="1570D3E1" w14:textId="3B953420" w:rsidR="0095507F" w:rsidRDefault="00454248" w:rsidP="002D55EA">
            <w:pPr>
              <w:pStyle w:val="TableHeadingCentered"/>
              <w:keepNext/>
              <w:keepLines/>
              <w:cnfStyle w:val="100000000000" w:firstRow="1" w:lastRow="0" w:firstColumn="0" w:lastColumn="0" w:oddVBand="0" w:evenVBand="0" w:oddHBand="0" w:evenHBand="0" w:firstRowFirstColumn="0" w:firstRowLastColumn="0" w:lastRowFirstColumn="0" w:lastRowLastColumn="0"/>
              <w:rPr>
                <w:rStyle w:val="Strong"/>
                <w:color w:val="auto"/>
              </w:rPr>
            </w:pPr>
            <w:r>
              <w:rPr>
                <w:rStyle w:val="Strong"/>
                <w:color w:val="auto"/>
              </w:rPr>
              <w:t>NTG</w:t>
            </w:r>
            <w:r w:rsidR="00E21E2D">
              <w:rPr>
                <w:rStyle w:val="Strong"/>
                <w:color w:val="auto"/>
              </w:rPr>
              <w:t>R</w:t>
            </w:r>
            <w:r w:rsidR="0095507F" w:rsidDel="0095507F">
              <w:rPr>
                <w:rStyle w:val="Strong"/>
                <w:color w:val="auto"/>
              </w:rPr>
              <w:t xml:space="preserve"> </w:t>
            </w:r>
            <w:r>
              <w:rPr>
                <w:rStyle w:val="Strong"/>
                <w:color w:val="auto"/>
              </w:rPr>
              <w:t xml:space="preserve"> </w:t>
            </w:r>
          </w:p>
          <w:p w14:paraId="2879C081" w14:textId="7026A40F" w:rsidR="00454248" w:rsidRPr="00B86A7A" w:rsidRDefault="00454248" w:rsidP="002D55EA">
            <w:pPr>
              <w:pStyle w:val="TableHeadingCentered"/>
              <w:keepNext/>
              <w:keepLines/>
              <w:cnfStyle w:val="100000000000" w:firstRow="1" w:lastRow="0" w:firstColumn="0" w:lastColumn="0" w:oddVBand="0" w:evenVBand="0" w:oddHBand="0" w:evenHBand="0" w:firstRowFirstColumn="0" w:firstRowLastColumn="0" w:lastRowFirstColumn="0" w:lastRowLastColumn="0"/>
              <w:rPr>
                <w:rStyle w:val="Strong"/>
                <w:color w:val="auto"/>
              </w:rPr>
            </w:pPr>
            <w:r>
              <w:rPr>
                <w:rStyle w:val="Strong"/>
                <w:color w:val="auto"/>
              </w:rPr>
              <w:t xml:space="preserve">(1 – FR) </w:t>
            </w:r>
            <w:r>
              <w:rPr>
                <w:rStyle w:val="Strong"/>
              </w:rPr>
              <w:t>+ SO</w:t>
            </w:r>
          </w:p>
        </w:tc>
      </w:tr>
      <w:tr w:rsidR="00454248" w14:paraId="2E675F53" w14:textId="77777777" w:rsidTr="00BF3B5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48" w:type="dxa"/>
            <w:tcBorders>
              <w:top w:val="none" w:sz="0" w:space="0" w:color="auto"/>
              <w:left w:val="none" w:sz="0" w:space="0" w:color="auto"/>
              <w:bottom w:val="none" w:sz="0" w:space="0" w:color="auto"/>
              <w:right w:val="none" w:sz="0" w:space="0" w:color="auto"/>
            </w:tcBorders>
          </w:tcPr>
          <w:p w14:paraId="3677725E" w14:textId="65FD7648" w:rsidR="00454248" w:rsidRPr="00BF3B58" w:rsidRDefault="007F5064" w:rsidP="002D55EA">
            <w:pPr>
              <w:keepNext/>
              <w:keepLines/>
              <w:jc w:val="center"/>
              <w:rPr>
                <w:bCs/>
              </w:rPr>
            </w:pPr>
            <w:r w:rsidRPr="0095507F">
              <w:rPr>
                <w:bCs/>
              </w:rPr>
              <w:t>0.</w:t>
            </w:r>
            <w:r w:rsidR="008227EA" w:rsidRPr="0095507F">
              <w:rPr>
                <w:bCs/>
              </w:rPr>
              <w:t>20</w:t>
            </w:r>
          </w:p>
        </w:tc>
        <w:tc>
          <w:tcPr>
            <w:tcW w:w="937" w:type="dxa"/>
            <w:tcBorders>
              <w:top w:val="none" w:sz="0" w:space="0" w:color="auto"/>
              <w:left w:val="none" w:sz="0" w:space="0" w:color="auto"/>
              <w:bottom w:val="none" w:sz="0" w:space="0" w:color="auto"/>
              <w:right w:val="none" w:sz="0" w:space="0" w:color="auto"/>
            </w:tcBorders>
          </w:tcPr>
          <w:p w14:paraId="1F6B484F" w14:textId="34C1724C" w:rsidR="00454248" w:rsidRPr="00BF3B58" w:rsidRDefault="0095507F" w:rsidP="002D55EA">
            <w:pPr>
              <w:keepNext/>
              <w:keepLines/>
              <w:jc w:val="center"/>
              <w:cnfStyle w:val="000000100000" w:firstRow="0" w:lastRow="0" w:firstColumn="0" w:lastColumn="0" w:oddVBand="0" w:evenVBand="0" w:oddHBand="1" w:evenHBand="0" w:firstRowFirstColumn="0" w:firstRowLastColumn="0" w:lastRowFirstColumn="0" w:lastRowLastColumn="0"/>
              <w:rPr>
                <w:bCs/>
              </w:rPr>
            </w:pPr>
            <w:r w:rsidRPr="00BF3B58">
              <w:rPr>
                <w:bCs/>
              </w:rPr>
              <w:t>0.005</w:t>
            </w:r>
          </w:p>
        </w:tc>
        <w:tc>
          <w:tcPr>
            <w:tcW w:w="1511" w:type="dxa"/>
            <w:tcBorders>
              <w:top w:val="none" w:sz="0" w:space="0" w:color="auto"/>
              <w:left w:val="none" w:sz="0" w:space="0" w:color="auto"/>
              <w:bottom w:val="none" w:sz="0" w:space="0" w:color="auto"/>
              <w:right w:val="none" w:sz="0" w:space="0" w:color="auto"/>
            </w:tcBorders>
          </w:tcPr>
          <w:p w14:paraId="71C1AF1A" w14:textId="58290B63" w:rsidR="00454248" w:rsidRPr="00BF3B58" w:rsidRDefault="007F5064" w:rsidP="002D55EA">
            <w:pPr>
              <w:keepNext/>
              <w:keepLines/>
              <w:jc w:val="center"/>
              <w:cnfStyle w:val="000000100000" w:firstRow="0" w:lastRow="0" w:firstColumn="0" w:lastColumn="0" w:oddVBand="0" w:evenVBand="0" w:oddHBand="1" w:evenHBand="0" w:firstRowFirstColumn="0" w:firstRowLastColumn="0" w:lastRowFirstColumn="0" w:lastRowLastColumn="0"/>
              <w:rPr>
                <w:bCs/>
              </w:rPr>
            </w:pPr>
            <w:r w:rsidRPr="00BF3B58">
              <w:rPr>
                <w:bCs/>
              </w:rPr>
              <w:t>0.</w:t>
            </w:r>
            <w:r w:rsidR="008227EA" w:rsidRPr="00BF3B58">
              <w:rPr>
                <w:bCs/>
              </w:rPr>
              <w:t>80</w:t>
            </w:r>
          </w:p>
        </w:tc>
      </w:tr>
    </w:tbl>
    <w:p w14:paraId="2C31F079" w14:textId="77777777" w:rsidR="00454248" w:rsidRPr="00454248" w:rsidRDefault="00454248" w:rsidP="00454248"/>
    <w:p w14:paraId="58C85BC1" w14:textId="77777777" w:rsidR="00556D7B" w:rsidRDefault="00556D7B" w:rsidP="00A50E96"/>
    <w:sectPr w:rsidR="00556D7B" w:rsidSect="003924A0">
      <w:headerReference w:type="default" r:id="rId13"/>
      <w:footerReference w:type="default" r:id="rId14"/>
      <w:type w:val="continuous"/>
      <w:pgSz w:w="12240" w:h="15840" w:code="1"/>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44348" w14:textId="77777777" w:rsidR="000C33EB" w:rsidRDefault="000C33EB">
      <w:pPr>
        <w:spacing w:after="0" w:line="240" w:lineRule="auto"/>
      </w:pPr>
      <w:r>
        <w:separator/>
      </w:r>
    </w:p>
    <w:p w14:paraId="7D55EDF4" w14:textId="77777777" w:rsidR="000C33EB" w:rsidRDefault="000C33EB"/>
  </w:endnote>
  <w:endnote w:type="continuationSeparator" w:id="0">
    <w:p w14:paraId="0409E91E" w14:textId="77777777" w:rsidR="000C33EB" w:rsidRDefault="000C33EB">
      <w:pPr>
        <w:spacing w:after="0" w:line="240" w:lineRule="auto"/>
      </w:pPr>
      <w:r>
        <w:continuationSeparator/>
      </w:r>
    </w:p>
    <w:p w14:paraId="0B40D74E" w14:textId="77777777" w:rsidR="000C33EB" w:rsidRDefault="000C3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ift Soft">
    <w:panose1 w:val="00000500000000000000"/>
    <w:charset w:val="00"/>
    <w:family w:val="modern"/>
    <w:notTrueType/>
    <w:pitch w:val="variable"/>
    <w:sig w:usb0="00000007" w:usb1="00000000" w:usb2="00000000" w:usb3="00000000" w:csb0="00000093" w:csb1="00000000"/>
  </w:font>
  <w:font w:name="Rift Soft Medium">
    <w:altName w:val="Rift Soft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Rift Soft Demi">
    <w:panose1 w:val="00000700000000000000"/>
    <w:charset w:val="00"/>
    <w:family w:val="modern"/>
    <w:notTrueType/>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ODExcelPlaceholder"/>
      <w:tblW w:w="0" w:type="auto"/>
      <w:tblLayout w:type="fixed"/>
      <w:tblLook w:val="04A0" w:firstRow="1" w:lastRow="0" w:firstColumn="1" w:lastColumn="0" w:noHBand="0" w:noVBand="1"/>
    </w:tblPr>
    <w:tblGrid>
      <w:gridCol w:w="5548"/>
      <w:gridCol w:w="5548"/>
    </w:tblGrid>
    <w:tr w:rsidR="007C320D" w14:paraId="5DF1508A" w14:textId="77777777" w:rsidTr="008420AC">
      <w:trPr>
        <w:cnfStyle w:val="100000000000" w:firstRow="1" w:lastRow="0" w:firstColumn="0" w:lastColumn="0" w:oddVBand="0" w:evenVBand="0" w:oddHBand="0" w:evenHBand="0" w:firstRowFirstColumn="0" w:firstRowLastColumn="0" w:lastRowFirstColumn="0" w:lastRowLastColumn="0"/>
      </w:trPr>
      <w:tc>
        <w:tcPr>
          <w:tcW w:w="5548" w:type="dxa"/>
        </w:tcPr>
        <w:p w14:paraId="7C4AECB3" w14:textId="77777777" w:rsidR="0040139D" w:rsidRPr="00EF048B" w:rsidRDefault="000C33EB" w:rsidP="001F322C">
          <w:r w:rsidRPr="00CB54CF">
            <w:t>Opinion Dynamics</w:t>
          </w:r>
        </w:p>
      </w:tc>
      <w:tc>
        <w:tcPr>
          <w:tcW w:w="5548" w:type="dxa"/>
        </w:tcPr>
        <w:p w14:paraId="616795F9" w14:textId="77777777" w:rsidR="0040139D" w:rsidRPr="00EF048B" w:rsidRDefault="000C33EB" w:rsidP="001F322C">
          <w:r w:rsidRPr="00CB54CF">
            <w:t xml:space="preserve">| </w:t>
          </w: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0DABAB3B" w14:textId="77777777" w:rsidR="0040139D" w:rsidRDefault="0040139D" w:rsidP="001F32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ODExcelPlaceholder"/>
      <w:tblW w:w="0" w:type="auto"/>
      <w:tblLayout w:type="fixed"/>
      <w:tblLook w:val="04A0" w:firstRow="1" w:lastRow="0" w:firstColumn="1" w:lastColumn="0" w:noHBand="0" w:noVBand="1"/>
    </w:tblPr>
    <w:tblGrid>
      <w:gridCol w:w="5548"/>
      <w:gridCol w:w="5548"/>
    </w:tblGrid>
    <w:tr w:rsidR="007C320D" w14:paraId="5D411742" w14:textId="77777777" w:rsidTr="00963607">
      <w:trPr>
        <w:cnfStyle w:val="100000000000" w:firstRow="1" w:lastRow="0" w:firstColumn="0" w:lastColumn="0" w:oddVBand="0" w:evenVBand="0" w:oddHBand="0" w:evenHBand="0" w:firstRowFirstColumn="0" w:firstRowLastColumn="0" w:lastRowFirstColumn="0" w:lastRowLastColumn="0"/>
      </w:trPr>
      <w:tc>
        <w:tcPr>
          <w:tcW w:w="5548" w:type="dxa"/>
        </w:tcPr>
        <w:p w14:paraId="4EA8C5D0" w14:textId="77777777" w:rsidR="00BD573A" w:rsidRPr="00EF048B" w:rsidRDefault="000C33EB" w:rsidP="00A02BBA">
          <w:pPr>
            <w:pStyle w:val="Footer"/>
            <w:jc w:val="left"/>
          </w:pPr>
          <w:r w:rsidRPr="00CB54CF">
            <w:t>Opinion Dynamics</w:t>
          </w:r>
        </w:p>
      </w:tc>
      <w:tc>
        <w:tcPr>
          <w:tcW w:w="5548" w:type="dxa"/>
        </w:tcPr>
        <w:p w14:paraId="3BB9AD7B" w14:textId="77777777" w:rsidR="00BD573A" w:rsidRPr="00EF048B" w:rsidRDefault="000C33EB" w:rsidP="00A02BBA">
          <w:pPr>
            <w:pStyle w:val="Footer"/>
            <w:jc w:val="right"/>
          </w:pPr>
          <w:r w:rsidRPr="00CB54CF">
            <w:t>|</w:t>
          </w:r>
          <w:r w:rsidR="002E2AB7">
            <w:t xml:space="preserve">  </w:t>
          </w:r>
          <w:r w:rsidRPr="00CB54CF">
            <w:t xml:space="preserve"> </w:t>
          </w: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25261512" w14:textId="77777777" w:rsidR="00E842FE" w:rsidRPr="00BD573A" w:rsidRDefault="00E842FE" w:rsidP="00BD57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DA2EE" w14:textId="77777777" w:rsidR="000C33EB" w:rsidRDefault="000C33EB">
      <w:pPr>
        <w:spacing w:after="0" w:line="240" w:lineRule="auto"/>
      </w:pPr>
      <w:r>
        <w:separator/>
      </w:r>
    </w:p>
    <w:p w14:paraId="6A604546" w14:textId="77777777" w:rsidR="000C33EB" w:rsidRDefault="000C33EB"/>
  </w:footnote>
  <w:footnote w:type="continuationSeparator" w:id="0">
    <w:p w14:paraId="7DB248D9" w14:textId="77777777" w:rsidR="000C33EB" w:rsidRDefault="000C33EB">
      <w:pPr>
        <w:spacing w:after="0" w:line="240" w:lineRule="auto"/>
      </w:pPr>
      <w:r>
        <w:continuationSeparator/>
      </w:r>
    </w:p>
    <w:p w14:paraId="3BA19761" w14:textId="77777777" w:rsidR="000C33EB" w:rsidRDefault="000C33EB"/>
  </w:footnote>
  <w:footnote w:id="1">
    <w:p w14:paraId="70F493F3" w14:textId="7ACDEC5E" w:rsidR="00413112" w:rsidRDefault="00413112">
      <w:pPr>
        <w:pStyle w:val="FootnoteText"/>
      </w:pPr>
      <w:r>
        <w:rPr>
          <w:rStyle w:val="FootnoteReference"/>
        </w:rPr>
        <w:footnoteRef/>
      </w:r>
      <w:r>
        <w:t xml:space="preserve"> The evaluation team originally fielded this research as part of the 2023 evaluation. Due to a low number of responses, we decided to re-field the research with additional sample in 2024.</w:t>
      </w:r>
    </w:p>
  </w:footnote>
  <w:footnote w:id="2">
    <w:p w14:paraId="66B1C21F" w14:textId="4B5BDD32" w:rsidR="00ED3437" w:rsidRDefault="00ED3437">
      <w:pPr>
        <w:pStyle w:val="FootnoteText"/>
      </w:pPr>
      <w:r>
        <w:rPr>
          <w:rStyle w:val="FootnoteReference"/>
        </w:rPr>
        <w:footnoteRef/>
      </w:r>
      <w:r>
        <w:t xml:space="preserve"> IL-TRM </w:t>
      </w:r>
      <w:r w:rsidR="0004568F">
        <w:t>V12.0</w:t>
      </w:r>
      <w:r w:rsidRPr="00B85558">
        <w:t xml:space="preserve"> - Attachment</w:t>
      </w:r>
      <w:r>
        <w:t xml:space="preserve"> A: Illinois Statewide Net-to-Gross Methodologies, Section 3.4: Study-Based Protocol.</w:t>
      </w:r>
    </w:p>
  </w:footnote>
  <w:footnote w:id="3">
    <w:p w14:paraId="69FF1AEC" w14:textId="1E41AABF" w:rsidR="000D47F1" w:rsidRDefault="000D47F1">
      <w:pPr>
        <w:pStyle w:val="FootnoteText"/>
      </w:pPr>
      <w:r>
        <w:rPr>
          <w:rStyle w:val="FootnoteReference"/>
        </w:rPr>
        <w:footnoteRef/>
      </w:r>
      <w:r>
        <w:t xml:space="preserve"> Participant spillover refers to the installation of energy-efficient improvements by program participants </w:t>
      </w:r>
      <w:r w:rsidR="0004568F">
        <w:t xml:space="preserve">who </w:t>
      </w:r>
      <w:r>
        <w:t>were influenced by the program but did not receive an incentive</w:t>
      </w:r>
      <w:r w:rsidR="002E0775">
        <w:t xml:space="preserve"> or rebate</w:t>
      </w:r>
      <w:r>
        <w:t>.</w:t>
      </w:r>
    </w:p>
  </w:footnote>
  <w:footnote w:id="4">
    <w:p w14:paraId="3D4465BA" w14:textId="77777777" w:rsidR="001D4C01" w:rsidRPr="003B2D6E" w:rsidRDefault="001D4C01" w:rsidP="001D4C01">
      <w:pPr>
        <w:pStyle w:val="FootnoteText"/>
        <w:rPr>
          <w:szCs w:val="18"/>
        </w:rPr>
      </w:pPr>
      <w:r w:rsidRPr="003B2D6E">
        <w:rPr>
          <w:rStyle w:val="FootnoteReference"/>
          <w:szCs w:val="18"/>
        </w:rPr>
        <w:footnoteRef/>
      </w:r>
      <w:r w:rsidRPr="003B2D6E">
        <w:rPr>
          <w:szCs w:val="18"/>
        </w:rPr>
        <w:t xml:space="preserve"> </w:t>
      </w:r>
      <w:hyperlink r:id="rId1" w:history="1">
        <w:r w:rsidRPr="00743DBA">
          <w:rPr>
            <w:rStyle w:val="Hyperlink"/>
            <w:sz w:val="18"/>
            <w:szCs w:val="18"/>
          </w:rPr>
          <w:t>https://www.icc.illinois.gov/docket/P2023-0761/documents/344226/files/601129.pdf</w:t>
        </w:r>
      </w:hyperlink>
    </w:p>
  </w:footnote>
  <w:footnote w:id="5">
    <w:p w14:paraId="76B60380" w14:textId="77777777" w:rsidR="00F2773B" w:rsidRDefault="00F2773B" w:rsidP="00F2773B">
      <w:pPr>
        <w:pStyle w:val="FootnoteText"/>
      </w:pPr>
      <w:r>
        <w:rPr>
          <w:rStyle w:val="FootnoteReference"/>
        </w:rPr>
        <w:footnoteRef/>
      </w:r>
      <w:r>
        <w:t xml:space="preserve"> </w:t>
      </w:r>
      <w:r w:rsidRPr="00A348A2">
        <w:t xml:space="preserve">We received </w:t>
      </w:r>
      <w:r>
        <w:t>10</w:t>
      </w:r>
      <w:r w:rsidRPr="00A348A2">
        <w:t xml:space="preserve"> total responses to the survey, </w:t>
      </w:r>
      <w:r>
        <w:t xml:space="preserve">but 4 </w:t>
      </w:r>
      <w:r w:rsidRPr="00E22E68">
        <w:t xml:space="preserve">were located in a qualifying disadvantaged </w:t>
      </w:r>
      <w:r>
        <w:t>area</w:t>
      </w:r>
      <w:r w:rsidRPr="00E22E68">
        <w:t>.</w:t>
      </w:r>
    </w:p>
  </w:footnote>
  <w:footnote w:id="6">
    <w:p w14:paraId="5ED509D5" w14:textId="58402439" w:rsidR="008A5DFE" w:rsidRDefault="008A5DFE">
      <w:pPr>
        <w:pStyle w:val="FootnoteText"/>
      </w:pPr>
      <w:r>
        <w:rPr>
          <w:rStyle w:val="FootnoteReference"/>
        </w:rPr>
        <w:footnoteRef/>
      </w:r>
      <w:r>
        <w:t xml:space="preserve"> According to the Study-Based FR protocol in the IL-TRM, there are </w:t>
      </w:r>
      <w:r w:rsidRPr="00AD1D34">
        <w:t>two options for calculating th</w:t>
      </w:r>
      <w:r>
        <w:t>e counterfactual FR</w:t>
      </w:r>
      <w:r w:rsidRPr="00AD1D34">
        <w:t xml:space="preserve"> score</w:t>
      </w:r>
      <w:r>
        <w:t xml:space="preserve">, where Option 1 should be used in all cases for </w:t>
      </w:r>
      <w:proofErr w:type="spellStart"/>
      <w:r>
        <w:t>VCx</w:t>
      </w:r>
      <w:proofErr w:type="spellEnd"/>
      <w:r>
        <w:t xml:space="preserve"> programs. The main differences between Options 1 and 2 is that in Option 2, the counterfactual FR score not only depends on responses to the scenario question, </w:t>
      </w:r>
      <w:r w:rsidRPr="004F6732">
        <w:t xml:space="preserve">but also on responses to additional questions. For more information, see Section 3.4: Study-Based Protocol of the IL-TRM </w:t>
      </w:r>
      <w:r w:rsidR="00833639">
        <w:t xml:space="preserve">Version 12.0 </w:t>
      </w:r>
      <w:r w:rsidRPr="004F6732">
        <w:t>- Attachment</w:t>
      </w:r>
      <w:r>
        <w:t xml:space="preserve"> A: Illinois Statewide Net-to-Gross Methodologies.</w:t>
      </w:r>
    </w:p>
  </w:footnote>
  <w:footnote w:id="7">
    <w:p w14:paraId="52240B34" w14:textId="355B2C27" w:rsidR="00237FEF" w:rsidRDefault="00237FEF">
      <w:pPr>
        <w:pStyle w:val="FootnoteText"/>
      </w:pPr>
      <w:r>
        <w:rPr>
          <w:rStyle w:val="FootnoteReference"/>
        </w:rPr>
        <w:footnoteRef/>
      </w:r>
      <w:r>
        <w:t xml:space="preserve"> The</w:t>
      </w:r>
      <w:r w:rsidR="00681CBB">
        <w:t xml:space="preserve"> evaluation team calculated the timing adjustments in accordance with updated guidance included in IL-TRM V12.0, published on September 21, 2023: </w:t>
      </w:r>
      <w:hyperlink r:id="rId2" w:history="1">
        <w:r w:rsidR="00681CBB" w:rsidRPr="00744348">
          <w:rPr>
            <w:rStyle w:val="Hyperlink"/>
            <w:rFonts w:ascii="Franklin Gothic Book" w:hAnsi="Franklin Gothic Book"/>
            <w:noProof w:val="0"/>
            <w:sz w:val="18"/>
          </w:rPr>
          <w:t>https://www.ilsag.info/wp-content/uploads/IL-TRM_Effective_010124_v12.0_Vol_4_X-Cutting_Measures_and_Attach_09222023_FINAL.pdf</w:t>
        </w:r>
      </w:hyperlink>
      <w:r w:rsidR="00681CBB">
        <w:t>. This updated guidance recommends considering a maximum timeframe</w:t>
      </w:r>
      <w:r w:rsidR="00310C3A">
        <w:t xml:space="preserve"> of two years, instead of four years as</w:t>
      </w:r>
      <w:r w:rsidR="00681CBB">
        <w:t xml:space="preserve"> prescribed in</w:t>
      </w:r>
      <w:r w:rsidR="00310C3A">
        <w:t xml:space="preserve"> previous versions of the TRM. </w:t>
      </w:r>
    </w:p>
  </w:footnote>
  <w:footnote w:id="8">
    <w:p w14:paraId="20322561" w14:textId="78C1FA3B" w:rsidR="00AE139B" w:rsidRDefault="00AE139B">
      <w:pPr>
        <w:pStyle w:val="FootnoteText"/>
      </w:pPr>
      <w:r>
        <w:rPr>
          <w:rStyle w:val="FootnoteReference"/>
        </w:rPr>
        <w:footnoteRef/>
      </w:r>
      <w:r>
        <w:t xml:space="preserve"> </w:t>
      </w:r>
      <w:r w:rsidRPr="00B826E4">
        <w:t>IL-TRM V12.0 Attachment A: Illinois Statewide Net-to-Gross Methodologies, Section 3.1.2.2: Approach for Identifying and Quantifying Spillover.</w:t>
      </w:r>
    </w:p>
  </w:footnote>
  <w:footnote w:id="9">
    <w:p w14:paraId="54E5C32A" w14:textId="3AA98A2F" w:rsidR="00AE139B" w:rsidRDefault="00AE139B">
      <w:pPr>
        <w:pStyle w:val="FootnoteText"/>
      </w:pPr>
      <w:r>
        <w:rPr>
          <w:rStyle w:val="FootnoteReference"/>
        </w:rPr>
        <w:footnoteRef/>
      </w:r>
      <w:r>
        <w:t xml:space="preserve"> The second method estimates an attribution rate that is equal to the sum of Measure Attribution Score 1 and (10 - Measure Attribution Score 2) divided by 20. The resulting attribution rate is then applied to the energy savings from the measure(s) in question to calculate the spillover savings attributable to the program. Following guidance from the IL-TRM and b</w:t>
      </w:r>
      <w:r w:rsidRPr="00277FED">
        <w:t>ased on the survey design and data collected from respondents, the evaluation team used the</w:t>
      </w:r>
      <w:r>
        <w:t xml:space="preserve"> first</w:t>
      </w:r>
      <w:r w:rsidRPr="00277FED">
        <w:t xml:space="preserve"> method to </w:t>
      </w:r>
      <w:r>
        <w:t>determine</w:t>
      </w:r>
      <w:r w:rsidRPr="00277FED">
        <w:t xml:space="preserve"> whether </w:t>
      </w:r>
      <w:r>
        <w:t xml:space="preserve">energy-saving </w:t>
      </w:r>
      <w:r w:rsidRPr="00277FED">
        <w:t>a</w:t>
      </w:r>
      <w:r>
        <w:t>ctions</w:t>
      </w:r>
      <w:r w:rsidRPr="00277FED">
        <w:t xml:space="preserve"> </w:t>
      </w:r>
      <w:r>
        <w:t xml:space="preserve">taken by respondents outside of the </w:t>
      </w:r>
      <w:proofErr w:type="spellStart"/>
      <w:r>
        <w:t>VCx</w:t>
      </w:r>
      <w:proofErr w:type="spellEnd"/>
      <w:r>
        <w:t xml:space="preserve"> channel</w:t>
      </w:r>
      <w:r w:rsidRPr="00277FED">
        <w:t xml:space="preserve"> qualified </w:t>
      </w:r>
      <w:r>
        <w:t>as</w:t>
      </w:r>
      <w:r w:rsidRPr="00277FED">
        <w:t xml:space="preserve"> spillover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1D5C" w14:textId="77777777" w:rsidR="0040139D" w:rsidRDefault="000C33EB" w:rsidP="00AE2204">
    <w:r>
      <w:rPr>
        <w:noProof/>
      </w:rPr>
      <w:drawing>
        <wp:anchor distT="0" distB="0" distL="114300" distR="114300" simplePos="0" relativeHeight="251659264" behindDoc="0" locked="1" layoutInCell="1" allowOverlap="1" wp14:anchorId="6EAA558B" wp14:editId="17A097E1">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230441103" name="Picture 23044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4110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0247" w14:textId="77777777" w:rsidR="00E842FE" w:rsidRDefault="000C33EB">
    <w:r>
      <w:rPr>
        <w:noProof/>
      </w:rPr>
      <w:drawing>
        <wp:anchor distT="0" distB="0" distL="114300" distR="114300" simplePos="0" relativeHeight="251658240" behindDoc="0" locked="1" layoutInCell="1" allowOverlap="1" wp14:anchorId="06EF5940" wp14:editId="273F9CCE">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981587770" name="Picture 98158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77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5F80716"/>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1" w15:restartNumberingAfterBreak="0">
    <w:nsid w:val="00000002"/>
    <w:multiLevelType w:val="multilevel"/>
    <w:tmpl w:val="75F80716"/>
    <w:lvl w:ilvl="0">
      <w:start w:val="1"/>
      <w:numFmt w:val="bullet"/>
      <w:pStyle w:val="Bullet2"/>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2" w15:restartNumberingAfterBreak="0">
    <w:nsid w:val="00000003"/>
    <w:multiLevelType w:val="multilevel"/>
    <w:tmpl w:val="75F80716"/>
    <w:lvl w:ilvl="0">
      <w:start w:val="1"/>
      <w:numFmt w:val="bullet"/>
      <w:lvlText w:val=""/>
      <w:lvlJc w:val="left"/>
      <w:pPr>
        <w:ind w:left="720" w:hanging="360"/>
      </w:pPr>
      <w:rPr>
        <w:rFonts w:ascii="Wingdings" w:hAnsi="Wingdings" w:hint="default"/>
        <w:color w:val="053572"/>
        <w:sz w:val="22"/>
      </w:rPr>
    </w:lvl>
    <w:lvl w:ilvl="1">
      <w:start w:val="1"/>
      <w:numFmt w:val="bullet"/>
      <w:pStyle w:val="Bullet3"/>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3" w15:restartNumberingAfterBreak="0">
    <w:nsid w:val="00000004"/>
    <w:multiLevelType w:val="hybridMultilevel"/>
    <w:tmpl w:val="1B8E5A38"/>
    <w:lvl w:ilvl="0" w:tplc="56E88874">
      <w:start w:val="1"/>
      <w:numFmt w:val="decimal"/>
      <w:pStyle w:val="CaptionFigure"/>
      <w:suff w:val="space"/>
      <w:lvlText w:val="Figure %1."/>
      <w:lvlJc w:val="left"/>
      <w:pPr>
        <w:ind w:left="0" w:firstLine="0"/>
      </w:pPr>
      <w:rPr>
        <w:rFonts w:hint="default"/>
      </w:rPr>
    </w:lvl>
    <w:lvl w:ilvl="1" w:tplc="4052086A" w:tentative="1">
      <w:start w:val="1"/>
      <w:numFmt w:val="lowerLetter"/>
      <w:lvlText w:val="%2."/>
      <w:lvlJc w:val="left"/>
      <w:pPr>
        <w:ind w:left="1440" w:hanging="360"/>
      </w:pPr>
    </w:lvl>
    <w:lvl w:ilvl="2" w:tplc="266A147A" w:tentative="1">
      <w:start w:val="1"/>
      <w:numFmt w:val="lowerRoman"/>
      <w:lvlText w:val="%3."/>
      <w:lvlJc w:val="right"/>
      <w:pPr>
        <w:ind w:left="2160" w:hanging="180"/>
      </w:pPr>
    </w:lvl>
    <w:lvl w:ilvl="3" w:tplc="DE64582A" w:tentative="1">
      <w:start w:val="1"/>
      <w:numFmt w:val="decimal"/>
      <w:lvlText w:val="%4."/>
      <w:lvlJc w:val="left"/>
      <w:pPr>
        <w:ind w:left="2880" w:hanging="360"/>
      </w:pPr>
    </w:lvl>
    <w:lvl w:ilvl="4" w:tplc="DD2C6B0A" w:tentative="1">
      <w:start w:val="1"/>
      <w:numFmt w:val="lowerLetter"/>
      <w:lvlText w:val="%5."/>
      <w:lvlJc w:val="left"/>
      <w:pPr>
        <w:ind w:left="3600" w:hanging="360"/>
      </w:pPr>
    </w:lvl>
    <w:lvl w:ilvl="5" w:tplc="C7382350" w:tentative="1">
      <w:start w:val="1"/>
      <w:numFmt w:val="lowerRoman"/>
      <w:lvlText w:val="%6."/>
      <w:lvlJc w:val="right"/>
      <w:pPr>
        <w:ind w:left="4320" w:hanging="180"/>
      </w:pPr>
    </w:lvl>
    <w:lvl w:ilvl="6" w:tplc="2A8EF032" w:tentative="1">
      <w:start w:val="1"/>
      <w:numFmt w:val="decimal"/>
      <w:lvlText w:val="%7."/>
      <w:lvlJc w:val="left"/>
      <w:pPr>
        <w:ind w:left="5040" w:hanging="360"/>
      </w:pPr>
    </w:lvl>
    <w:lvl w:ilvl="7" w:tplc="6068D17E" w:tentative="1">
      <w:start w:val="1"/>
      <w:numFmt w:val="lowerLetter"/>
      <w:lvlText w:val="%8."/>
      <w:lvlJc w:val="left"/>
      <w:pPr>
        <w:ind w:left="5760" w:hanging="360"/>
      </w:pPr>
    </w:lvl>
    <w:lvl w:ilvl="8" w:tplc="610C6D54" w:tentative="1">
      <w:start w:val="1"/>
      <w:numFmt w:val="lowerRoman"/>
      <w:lvlText w:val="%9."/>
      <w:lvlJc w:val="right"/>
      <w:pPr>
        <w:ind w:left="6480" w:hanging="180"/>
      </w:pPr>
    </w:lvl>
  </w:abstractNum>
  <w:abstractNum w:abstractNumId="4" w15:restartNumberingAfterBreak="0">
    <w:nsid w:val="00000005"/>
    <w:multiLevelType w:val="hybridMultilevel"/>
    <w:tmpl w:val="F0A220D0"/>
    <w:lvl w:ilvl="0" w:tplc="3DA8E5CE">
      <w:start w:val="1"/>
      <w:numFmt w:val="decimal"/>
      <w:pStyle w:val="CaptionTable"/>
      <w:suff w:val="space"/>
      <w:lvlText w:val="Table %1."/>
      <w:lvlJc w:val="left"/>
      <w:pPr>
        <w:ind w:left="0" w:firstLine="0"/>
      </w:pPr>
      <w:rPr>
        <w:rFonts w:hint="default"/>
      </w:rPr>
    </w:lvl>
    <w:lvl w:ilvl="1" w:tplc="9EAEE094" w:tentative="1">
      <w:start w:val="1"/>
      <w:numFmt w:val="lowerLetter"/>
      <w:lvlText w:val="%2."/>
      <w:lvlJc w:val="left"/>
      <w:pPr>
        <w:ind w:left="1440" w:hanging="360"/>
      </w:pPr>
    </w:lvl>
    <w:lvl w:ilvl="2" w:tplc="3ABA3FA6" w:tentative="1">
      <w:start w:val="1"/>
      <w:numFmt w:val="lowerRoman"/>
      <w:lvlText w:val="%3."/>
      <w:lvlJc w:val="right"/>
      <w:pPr>
        <w:ind w:left="2160" w:hanging="180"/>
      </w:pPr>
    </w:lvl>
    <w:lvl w:ilvl="3" w:tplc="3EEEB0EA" w:tentative="1">
      <w:start w:val="1"/>
      <w:numFmt w:val="decimal"/>
      <w:lvlText w:val="%4."/>
      <w:lvlJc w:val="left"/>
      <w:pPr>
        <w:ind w:left="2880" w:hanging="360"/>
      </w:pPr>
    </w:lvl>
    <w:lvl w:ilvl="4" w:tplc="7EAC3240" w:tentative="1">
      <w:start w:val="1"/>
      <w:numFmt w:val="lowerLetter"/>
      <w:lvlText w:val="%5."/>
      <w:lvlJc w:val="left"/>
      <w:pPr>
        <w:ind w:left="3600" w:hanging="360"/>
      </w:pPr>
    </w:lvl>
    <w:lvl w:ilvl="5" w:tplc="12E0921E" w:tentative="1">
      <w:start w:val="1"/>
      <w:numFmt w:val="lowerRoman"/>
      <w:lvlText w:val="%6."/>
      <w:lvlJc w:val="right"/>
      <w:pPr>
        <w:ind w:left="4320" w:hanging="180"/>
      </w:pPr>
    </w:lvl>
    <w:lvl w:ilvl="6" w:tplc="ED321540" w:tentative="1">
      <w:start w:val="1"/>
      <w:numFmt w:val="decimal"/>
      <w:lvlText w:val="%7."/>
      <w:lvlJc w:val="left"/>
      <w:pPr>
        <w:ind w:left="5040" w:hanging="360"/>
      </w:pPr>
    </w:lvl>
    <w:lvl w:ilvl="7" w:tplc="BF861E44" w:tentative="1">
      <w:start w:val="1"/>
      <w:numFmt w:val="lowerLetter"/>
      <w:lvlText w:val="%8."/>
      <w:lvlJc w:val="left"/>
      <w:pPr>
        <w:ind w:left="5760" w:hanging="360"/>
      </w:pPr>
    </w:lvl>
    <w:lvl w:ilvl="8" w:tplc="727A35E4" w:tentative="1">
      <w:start w:val="1"/>
      <w:numFmt w:val="lowerRoman"/>
      <w:lvlText w:val="%9."/>
      <w:lvlJc w:val="right"/>
      <w:pPr>
        <w:ind w:left="6480" w:hanging="180"/>
      </w:pPr>
    </w:lvl>
  </w:abstractNum>
  <w:abstractNum w:abstractNumId="5" w15:restartNumberingAfterBreak="0">
    <w:nsid w:val="00000006"/>
    <w:multiLevelType w:val="multilevel"/>
    <w:tmpl w:val="7694A4F6"/>
    <w:lvl w:ilvl="0">
      <w:start w:val="1"/>
      <w:numFmt w:val="decimal"/>
      <w:lvlText w:val="%1."/>
      <w:lvlJc w:val="left"/>
      <w:pPr>
        <w:tabs>
          <w:tab w:val="num" w:pos="1080"/>
        </w:tabs>
        <w:ind w:left="0" w:firstLine="0"/>
      </w:pPr>
      <w:rPr>
        <w:rFonts w:hint="default"/>
      </w:rPr>
    </w:lvl>
    <w:lvl w:ilvl="1">
      <w:start w:val="1"/>
      <w:numFmt w:val="decimal"/>
      <w:lvlText w:val="%1.%2"/>
      <w:lvlJc w:val="left"/>
      <w:pPr>
        <w:tabs>
          <w:tab w:val="num" w:pos="1080"/>
        </w:tabs>
        <w:ind w:left="0" w:firstLine="0"/>
      </w:pPr>
    </w:lvl>
    <w:lvl w:ilvl="2">
      <w:start w:val="1"/>
      <w:numFmt w:val="decimal"/>
      <w:lvlText w:val="%1.%2.%3"/>
      <w:lvlJc w:val="left"/>
      <w:pPr>
        <w:tabs>
          <w:tab w:val="num" w:pos="1080"/>
        </w:tabs>
        <w:ind w:left="0" w:firstLine="0"/>
      </w:pPr>
      <w:rPr>
        <w:rFonts w:cs="Times New Roman"/>
        <w:b w:val="0"/>
        <w:bCs w:val="0"/>
        <w:i w:val="0"/>
        <w:iCs w:val="0"/>
        <w:caps w:val="0"/>
        <w:smallCaps w:val="0"/>
        <w:strike w:val="0"/>
        <w:dstrike w:val="0"/>
        <w:outline w:val="0"/>
        <w:shadow w:val="0"/>
        <w:emboss w:val="0"/>
        <w:imprint w:val="0"/>
        <w:noProof w:val="0"/>
        <w:vanish w:val="0"/>
        <w:color w:val="265EAC" w:themeColor="accent2"/>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6" w15:restartNumberingAfterBreak="0">
    <w:nsid w:val="00000009"/>
    <w:multiLevelType w:val="singleLevel"/>
    <w:tmpl w:val="01A6B67E"/>
    <w:lvl w:ilvl="0">
      <w:start w:val="1"/>
      <w:numFmt w:val="decimal"/>
      <w:pStyle w:val="ListNumber"/>
      <w:lvlText w:val="%1."/>
      <w:lvlJc w:val="left"/>
      <w:pPr>
        <w:tabs>
          <w:tab w:val="num" w:pos="360"/>
        </w:tabs>
        <w:ind w:left="360" w:hanging="360"/>
      </w:pPr>
    </w:lvl>
  </w:abstractNum>
  <w:abstractNum w:abstractNumId="7" w15:restartNumberingAfterBreak="0">
    <w:nsid w:val="0000000A"/>
    <w:multiLevelType w:val="singleLevel"/>
    <w:tmpl w:val="AB1A98D2"/>
    <w:lvl w:ilvl="0">
      <w:start w:val="1"/>
      <w:numFmt w:val="decimal"/>
      <w:pStyle w:val="ListNumber2"/>
      <w:lvlText w:val="%1."/>
      <w:lvlJc w:val="left"/>
      <w:pPr>
        <w:tabs>
          <w:tab w:val="num" w:pos="720"/>
        </w:tabs>
        <w:ind w:left="720" w:hanging="360"/>
      </w:pPr>
    </w:lvl>
  </w:abstractNum>
  <w:abstractNum w:abstractNumId="8" w15:restartNumberingAfterBreak="0">
    <w:nsid w:val="0000000B"/>
    <w:multiLevelType w:val="singleLevel"/>
    <w:tmpl w:val="57B63BE6"/>
    <w:lvl w:ilvl="0">
      <w:start w:val="1"/>
      <w:numFmt w:val="decimal"/>
      <w:pStyle w:val="ListNumber3"/>
      <w:lvlText w:val="%1."/>
      <w:lvlJc w:val="left"/>
      <w:pPr>
        <w:tabs>
          <w:tab w:val="num" w:pos="1080"/>
        </w:tabs>
        <w:ind w:left="1080" w:hanging="360"/>
      </w:pPr>
    </w:lvl>
  </w:abstractNum>
  <w:abstractNum w:abstractNumId="9" w15:restartNumberingAfterBreak="0">
    <w:nsid w:val="0000000C"/>
    <w:multiLevelType w:val="multilevel"/>
    <w:tmpl w:val="7C74D798"/>
    <w:lvl w:ilvl="0">
      <w:start w:val="1"/>
      <w:numFmt w:val="decimal"/>
      <w:pStyle w:val="NoList1"/>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000000D"/>
    <w:multiLevelType w:val="multilevel"/>
    <w:tmpl w:val="CA48C9AC"/>
    <w:lvl w:ilvl="0">
      <w:start w:val="1"/>
      <w:numFmt w:val="decimal"/>
      <w:lvlText w:val="%1."/>
      <w:lvlJc w:val="left"/>
      <w:pPr>
        <w:ind w:left="360" w:hanging="360"/>
      </w:pPr>
      <w:rPr>
        <w:rFonts w:hint="default"/>
        <w:b w:val="0"/>
        <w:i w:val="0"/>
        <w:color w:val="auto"/>
        <w:sz w:val="22"/>
      </w:rPr>
    </w:lvl>
    <w:lvl w:ilvl="1">
      <w:start w:val="1"/>
      <w:numFmt w:val="lowerLetter"/>
      <w:pStyle w:val="NoList2"/>
      <w:lvlText w:val="%2."/>
      <w:lvlJc w:val="left"/>
      <w:pPr>
        <w:ind w:left="720" w:hanging="360"/>
      </w:p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000000E"/>
    <w:multiLevelType w:val="multilevel"/>
    <w:tmpl w:val="73526CFC"/>
    <w:lvl w:ilvl="0">
      <w:start w:val="1"/>
      <w:numFmt w:val="decimal"/>
      <w:lvlText w:val="%1."/>
      <w:lvlJc w:val="left"/>
      <w:pPr>
        <w:ind w:left="360" w:hanging="360"/>
      </w:pPr>
      <w:rPr>
        <w:rFonts w:hint="default"/>
        <w:b w:val="0"/>
        <w:i w:val="0"/>
        <w:color w:val="auto"/>
        <w:sz w:val="22"/>
      </w:rPr>
    </w:lvl>
    <w:lvl w:ilvl="1">
      <w:start w:val="1"/>
      <w:numFmt w:val="lowerLetter"/>
      <w:lvlText w:val="%2."/>
      <w:lvlJc w:val="left"/>
      <w:pPr>
        <w:ind w:left="720" w:hanging="360"/>
      </w:pPr>
      <w:rPr>
        <w:rFonts w:hint="default"/>
        <w:color w:val="auto"/>
      </w:rPr>
    </w:lvl>
    <w:lvl w:ilvl="2">
      <w:start w:val="1"/>
      <w:numFmt w:val="lowerRoman"/>
      <w:pStyle w:val="NoList3"/>
      <w:lvlText w:val="%3."/>
      <w:lvlJc w:val="left"/>
      <w:pPr>
        <w:ind w:left="1080" w:hanging="360"/>
      </w:pPr>
      <w:rPr>
        <w:rFonts w:hint="default"/>
        <w:color w:val="4A4D56" w:themeColor="text1"/>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000012"/>
    <w:multiLevelType w:val="multilevel"/>
    <w:tmpl w:val="62AA902E"/>
    <w:lvl w:ilvl="0">
      <w:start w:val="1"/>
      <w:numFmt w:val="bullet"/>
      <w:pStyle w:val="TableBullet"/>
      <w:lvlText w:val=""/>
      <w:lvlJc w:val="left"/>
      <w:pPr>
        <w:ind w:left="720" w:hanging="360"/>
      </w:pPr>
      <w:rPr>
        <w:rFonts w:ascii="Wingdings" w:hAnsi="Wingdings" w:hint="default"/>
        <w:color w:val="053572" w:themeColor="text2"/>
        <w:sz w:val="20"/>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13" w15:restartNumberingAfterBreak="0">
    <w:nsid w:val="07AD347D"/>
    <w:multiLevelType w:val="hybridMultilevel"/>
    <w:tmpl w:val="155EF4A8"/>
    <w:lvl w:ilvl="0" w:tplc="DFF8E5EC">
      <w:start w:val="1"/>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A076EA"/>
    <w:multiLevelType w:val="hybridMultilevel"/>
    <w:tmpl w:val="DBC49F70"/>
    <w:lvl w:ilvl="0" w:tplc="52D87FA2">
      <w:start w:val="1"/>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5915ED"/>
    <w:multiLevelType w:val="multilevel"/>
    <w:tmpl w:val="75F80716"/>
    <w:lvl w:ilvl="0">
      <w:start w:val="1"/>
      <w:numFmt w:val="bullet"/>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16" w15:restartNumberingAfterBreak="0">
    <w:nsid w:val="48BA3A0A"/>
    <w:multiLevelType w:val="multilevel"/>
    <w:tmpl w:val="FCB0889E"/>
    <w:styleLink w:val="Number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4D4754F6"/>
    <w:multiLevelType w:val="hybridMultilevel"/>
    <w:tmpl w:val="3BA492E8"/>
    <w:lvl w:ilvl="0" w:tplc="7E7E4F80">
      <w:numFmt w:val="bullet"/>
      <w:lvlText w:val="-"/>
      <w:lvlJc w:val="left"/>
      <w:pPr>
        <w:ind w:left="720" w:hanging="360"/>
      </w:pPr>
      <w:rPr>
        <w:rFonts w:ascii="Franklin Gothic Book" w:eastAsiaTheme="minorHAnsi" w:hAnsi="Franklin Gothic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3D6C61"/>
    <w:multiLevelType w:val="hybridMultilevel"/>
    <w:tmpl w:val="57AA98B0"/>
    <w:lvl w:ilvl="0" w:tplc="303A6FAC">
      <w:start w:val="1"/>
      <w:numFmt w:val="bullet"/>
      <w:pStyle w:val="ListBullet"/>
      <w:lvlText w:val=""/>
      <w:lvlJc w:val="left"/>
      <w:pPr>
        <w:ind w:left="540" w:hanging="360"/>
      </w:pPr>
      <w:rPr>
        <w:rFonts w:ascii="Wingdings" w:hAnsi="Wingdings" w:hint="default"/>
        <w:color w:val="053572" w:themeColor="text2"/>
      </w:rPr>
    </w:lvl>
    <w:lvl w:ilvl="1" w:tplc="9138973A">
      <w:start w:val="1"/>
      <w:numFmt w:val="bullet"/>
      <w:pStyle w:val="ListBullet2"/>
      <w:lvlText w:val=""/>
      <w:lvlJc w:val="left"/>
      <w:pPr>
        <w:ind w:left="2670" w:hanging="360"/>
      </w:pPr>
      <w:rPr>
        <w:rFonts w:ascii="Wingdings" w:hAnsi="Wingdings" w:hint="default"/>
        <w:color w:val="1FA9E1" w:themeColor="accent3"/>
      </w:rPr>
    </w:lvl>
    <w:lvl w:ilvl="2" w:tplc="33D260E4">
      <w:start w:val="1"/>
      <w:numFmt w:val="bullet"/>
      <w:pStyle w:val="ListBullet3"/>
      <w:lvlText w:val=""/>
      <w:lvlJc w:val="left"/>
      <w:pPr>
        <w:ind w:left="3390" w:hanging="360"/>
      </w:pPr>
      <w:rPr>
        <w:rFonts w:ascii="Wingdings" w:hAnsi="Wingdings" w:hint="default"/>
        <w:color w:val="7E83C0" w:themeColor="accent4"/>
      </w:rPr>
    </w:lvl>
    <w:lvl w:ilvl="3" w:tplc="93CEF16C" w:tentative="1">
      <w:start w:val="1"/>
      <w:numFmt w:val="bullet"/>
      <w:lvlText w:val=""/>
      <w:lvlJc w:val="left"/>
      <w:pPr>
        <w:ind w:left="4110" w:hanging="360"/>
      </w:pPr>
      <w:rPr>
        <w:rFonts w:ascii="Symbol" w:hAnsi="Symbol" w:hint="default"/>
      </w:rPr>
    </w:lvl>
    <w:lvl w:ilvl="4" w:tplc="8126FF06" w:tentative="1">
      <w:start w:val="1"/>
      <w:numFmt w:val="bullet"/>
      <w:lvlText w:val="o"/>
      <w:lvlJc w:val="left"/>
      <w:pPr>
        <w:ind w:left="4830" w:hanging="360"/>
      </w:pPr>
      <w:rPr>
        <w:rFonts w:ascii="Courier New" w:hAnsi="Courier New" w:cs="Courier New" w:hint="default"/>
      </w:rPr>
    </w:lvl>
    <w:lvl w:ilvl="5" w:tplc="148A4FCC" w:tentative="1">
      <w:start w:val="1"/>
      <w:numFmt w:val="bullet"/>
      <w:lvlText w:val=""/>
      <w:lvlJc w:val="left"/>
      <w:pPr>
        <w:ind w:left="5550" w:hanging="360"/>
      </w:pPr>
      <w:rPr>
        <w:rFonts w:ascii="Wingdings" w:hAnsi="Wingdings" w:hint="default"/>
      </w:rPr>
    </w:lvl>
    <w:lvl w:ilvl="6" w:tplc="CCA44C88" w:tentative="1">
      <w:start w:val="1"/>
      <w:numFmt w:val="bullet"/>
      <w:lvlText w:val=""/>
      <w:lvlJc w:val="left"/>
      <w:pPr>
        <w:ind w:left="6270" w:hanging="360"/>
      </w:pPr>
      <w:rPr>
        <w:rFonts w:ascii="Symbol" w:hAnsi="Symbol" w:hint="default"/>
      </w:rPr>
    </w:lvl>
    <w:lvl w:ilvl="7" w:tplc="76A06480" w:tentative="1">
      <w:start w:val="1"/>
      <w:numFmt w:val="bullet"/>
      <w:lvlText w:val="o"/>
      <w:lvlJc w:val="left"/>
      <w:pPr>
        <w:ind w:left="6990" w:hanging="360"/>
      </w:pPr>
      <w:rPr>
        <w:rFonts w:ascii="Courier New" w:hAnsi="Courier New" w:cs="Courier New" w:hint="default"/>
      </w:rPr>
    </w:lvl>
    <w:lvl w:ilvl="8" w:tplc="06F402DC" w:tentative="1">
      <w:start w:val="1"/>
      <w:numFmt w:val="bullet"/>
      <w:lvlText w:val=""/>
      <w:lvlJc w:val="left"/>
      <w:pPr>
        <w:ind w:left="7710" w:hanging="360"/>
      </w:pPr>
      <w:rPr>
        <w:rFonts w:ascii="Wingdings" w:hAnsi="Wingdings" w:hint="default"/>
      </w:rPr>
    </w:lvl>
  </w:abstractNum>
  <w:abstractNum w:abstractNumId="19" w15:restartNumberingAfterBreak="0">
    <w:nsid w:val="575D65CB"/>
    <w:multiLevelType w:val="multilevel"/>
    <w:tmpl w:val="359AAF8C"/>
    <w:styleLink w:val="ODXAPPENDIX"/>
    <w:lvl w:ilvl="0">
      <w:start w:val="1"/>
      <w:numFmt w:val="upperLetter"/>
      <w:lvlText w:val="APPENDIX %1 "/>
      <w:lvlJc w:val="left"/>
      <w:pPr>
        <w:ind w:left="360" w:hanging="360"/>
      </w:pPr>
      <w:rPr>
        <w:rFonts w:ascii="Rift Soft" w:hAnsi="Rift Soft" w:hint="default"/>
        <w:color w:val="053572" w:themeColor="text2"/>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9662F5"/>
    <w:multiLevelType w:val="hybridMultilevel"/>
    <w:tmpl w:val="EFBA42B4"/>
    <w:lvl w:ilvl="0" w:tplc="41E6A56E">
      <w:start w:val="1"/>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4E5C8B"/>
    <w:multiLevelType w:val="multilevel"/>
    <w:tmpl w:val="E6E2F988"/>
    <w:name w:val="Appendix Headings"/>
    <w:lvl w:ilvl="0">
      <w:start w:val="1"/>
      <w:numFmt w:val="upperLetter"/>
      <w:lvlText w:val="APPENDIX %1. "/>
      <w:lvlJc w:val="left"/>
      <w:pPr>
        <w:ind w:left="2268" w:hanging="2268"/>
      </w:pPr>
      <w:rPr>
        <w:rFonts w:ascii="Rift Soft" w:hAnsi="Rift Soft" w:hint="default"/>
        <w:color w:val="053572" w:themeColor="text2"/>
        <w:sz w:val="36"/>
      </w:rPr>
    </w:lvl>
    <w:lvl w:ilvl="1">
      <w:start w:val="1"/>
      <w:numFmt w:val="upperRoman"/>
      <w:lvlText w:val="APPENDIX %1-%2."/>
      <w:lvlJc w:val="left"/>
      <w:pPr>
        <w:ind w:left="2268" w:hanging="2268"/>
      </w:pPr>
      <w:rPr>
        <w:rFonts w:ascii="Rift Soft" w:hAnsi="Rift Soft" w:hint="default"/>
        <w:color w:val="1FA9E1" w:themeColor="accent3"/>
        <w:sz w:val="36"/>
      </w:rPr>
    </w:lvl>
    <w:lvl w:ilvl="2">
      <w:start w:val="1"/>
      <w:numFmt w:val="upperRoman"/>
      <w:lvlText w:val="APPENDIX %1-%2.%3."/>
      <w:lvlJc w:val="left"/>
      <w:pPr>
        <w:ind w:left="2268" w:hanging="2268"/>
      </w:pPr>
      <w:rPr>
        <w:rFonts w:ascii="Rift Soft" w:hAnsi="Rift Soft" w:hint="default"/>
        <w:color w:val="4A4D56" w:themeColor="text1"/>
        <w:sz w:val="32"/>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num w:numId="1" w16cid:durableId="1361206283">
    <w:abstractNumId w:val="0"/>
  </w:num>
  <w:num w:numId="2" w16cid:durableId="545600677">
    <w:abstractNumId w:val="1"/>
  </w:num>
  <w:num w:numId="3" w16cid:durableId="1299147011">
    <w:abstractNumId w:val="2"/>
  </w:num>
  <w:num w:numId="4" w16cid:durableId="1501771948">
    <w:abstractNumId w:val="3"/>
  </w:num>
  <w:num w:numId="5" w16cid:durableId="556820789">
    <w:abstractNumId w:val="4"/>
  </w:num>
  <w:num w:numId="6" w16cid:durableId="2095126736">
    <w:abstractNumId w:val="5"/>
  </w:num>
  <w:num w:numId="7" w16cid:durableId="1435440616">
    <w:abstractNumId w:val="6"/>
  </w:num>
  <w:num w:numId="8" w16cid:durableId="1899240670">
    <w:abstractNumId w:val="7"/>
  </w:num>
  <w:num w:numId="9" w16cid:durableId="1607806446">
    <w:abstractNumId w:val="8"/>
  </w:num>
  <w:num w:numId="10" w16cid:durableId="614562843">
    <w:abstractNumId w:val="9"/>
  </w:num>
  <w:num w:numId="11" w16cid:durableId="1790003988">
    <w:abstractNumId w:val="10"/>
  </w:num>
  <w:num w:numId="12" w16cid:durableId="699361803">
    <w:abstractNumId w:val="11"/>
  </w:num>
  <w:num w:numId="13" w16cid:durableId="1925264602">
    <w:abstractNumId w:val="12"/>
  </w:num>
  <w:num w:numId="14" w16cid:durableId="1804107596">
    <w:abstractNumId w:val="18"/>
  </w:num>
  <w:num w:numId="15" w16cid:durableId="1244608247">
    <w:abstractNumId w:val="19"/>
  </w:num>
  <w:num w:numId="16" w16cid:durableId="1371999592">
    <w:abstractNumId w:val="21"/>
  </w:num>
  <w:num w:numId="17" w16cid:durableId="1388994287">
    <w:abstractNumId w:val="16"/>
  </w:num>
  <w:num w:numId="18" w16cid:durableId="1138113758">
    <w:abstractNumId w:val="15"/>
  </w:num>
  <w:num w:numId="19" w16cid:durableId="925268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0965200">
    <w:abstractNumId w:val="20"/>
  </w:num>
  <w:num w:numId="21" w16cid:durableId="91361545">
    <w:abstractNumId w:val="14"/>
  </w:num>
  <w:num w:numId="22" w16cid:durableId="1763641930">
    <w:abstractNumId w:val="13"/>
  </w:num>
  <w:num w:numId="23" w16cid:durableId="214152899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EB"/>
    <w:rsid w:val="00002523"/>
    <w:rsid w:val="00005BB2"/>
    <w:rsid w:val="00007C5D"/>
    <w:rsid w:val="000274B9"/>
    <w:rsid w:val="000300B7"/>
    <w:rsid w:val="000317D8"/>
    <w:rsid w:val="000318F4"/>
    <w:rsid w:val="00032488"/>
    <w:rsid w:val="000343BF"/>
    <w:rsid w:val="0003528B"/>
    <w:rsid w:val="00035B4E"/>
    <w:rsid w:val="000413E8"/>
    <w:rsid w:val="00041AA5"/>
    <w:rsid w:val="00043AD2"/>
    <w:rsid w:val="0004568F"/>
    <w:rsid w:val="00046703"/>
    <w:rsid w:val="00046E17"/>
    <w:rsid w:val="0004774B"/>
    <w:rsid w:val="00050A68"/>
    <w:rsid w:val="00050F40"/>
    <w:rsid w:val="00054530"/>
    <w:rsid w:val="00055AEA"/>
    <w:rsid w:val="0006058A"/>
    <w:rsid w:val="00060B63"/>
    <w:rsid w:val="0006463B"/>
    <w:rsid w:val="000672C0"/>
    <w:rsid w:val="00070C72"/>
    <w:rsid w:val="000768C0"/>
    <w:rsid w:val="00076C00"/>
    <w:rsid w:val="000775AF"/>
    <w:rsid w:val="0007772C"/>
    <w:rsid w:val="000823C5"/>
    <w:rsid w:val="00090080"/>
    <w:rsid w:val="0009215B"/>
    <w:rsid w:val="00092C43"/>
    <w:rsid w:val="000A0C88"/>
    <w:rsid w:val="000A6C48"/>
    <w:rsid w:val="000A6F7E"/>
    <w:rsid w:val="000B43A1"/>
    <w:rsid w:val="000B69D6"/>
    <w:rsid w:val="000C2EF9"/>
    <w:rsid w:val="000C33EB"/>
    <w:rsid w:val="000D47F1"/>
    <w:rsid w:val="000D7C26"/>
    <w:rsid w:val="000E00E6"/>
    <w:rsid w:val="000E0419"/>
    <w:rsid w:val="000E0ECE"/>
    <w:rsid w:val="000E68C9"/>
    <w:rsid w:val="000F2C3E"/>
    <w:rsid w:val="000F37CE"/>
    <w:rsid w:val="000F4228"/>
    <w:rsid w:val="000F5311"/>
    <w:rsid w:val="000F56FC"/>
    <w:rsid w:val="00101505"/>
    <w:rsid w:val="00105940"/>
    <w:rsid w:val="00116C3E"/>
    <w:rsid w:val="00121298"/>
    <w:rsid w:val="001240B9"/>
    <w:rsid w:val="0012411C"/>
    <w:rsid w:val="00126909"/>
    <w:rsid w:val="00134ABC"/>
    <w:rsid w:val="0013593F"/>
    <w:rsid w:val="0014226F"/>
    <w:rsid w:val="00143C13"/>
    <w:rsid w:val="00144B1E"/>
    <w:rsid w:val="0014572C"/>
    <w:rsid w:val="00151B74"/>
    <w:rsid w:val="001528D9"/>
    <w:rsid w:val="00153DBC"/>
    <w:rsid w:val="00154532"/>
    <w:rsid w:val="00155088"/>
    <w:rsid w:val="00155875"/>
    <w:rsid w:val="0015610E"/>
    <w:rsid w:val="00157D54"/>
    <w:rsid w:val="0016138F"/>
    <w:rsid w:val="00171C84"/>
    <w:rsid w:val="00172B87"/>
    <w:rsid w:val="00172F67"/>
    <w:rsid w:val="00177788"/>
    <w:rsid w:val="00181175"/>
    <w:rsid w:val="00181954"/>
    <w:rsid w:val="00181DA9"/>
    <w:rsid w:val="00191389"/>
    <w:rsid w:val="001914EE"/>
    <w:rsid w:val="00193142"/>
    <w:rsid w:val="00196D76"/>
    <w:rsid w:val="001A25DC"/>
    <w:rsid w:val="001C32D6"/>
    <w:rsid w:val="001C4ACA"/>
    <w:rsid w:val="001C7112"/>
    <w:rsid w:val="001D4C01"/>
    <w:rsid w:val="001D5B3C"/>
    <w:rsid w:val="001E0BBF"/>
    <w:rsid w:val="001E0E4B"/>
    <w:rsid w:val="001E37D0"/>
    <w:rsid w:val="001F09E4"/>
    <w:rsid w:val="001F1009"/>
    <w:rsid w:val="001F322C"/>
    <w:rsid w:val="001F3867"/>
    <w:rsid w:val="001F4D82"/>
    <w:rsid w:val="0020138D"/>
    <w:rsid w:val="00203708"/>
    <w:rsid w:val="00203C00"/>
    <w:rsid w:val="002051EB"/>
    <w:rsid w:val="002114D1"/>
    <w:rsid w:val="002139E5"/>
    <w:rsid w:val="0021540D"/>
    <w:rsid w:val="0022062F"/>
    <w:rsid w:val="002258A8"/>
    <w:rsid w:val="002277C7"/>
    <w:rsid w:val="00234B80"/>
    <w:rsid w:val="0023527F"/>
    <w:rsid w:val="002365EB"/>
    <w:rsid w:val="00237647"/>
    <w:rsid w:val="00237FEF"/>
    <w:rsid w:val="00241E2C"/>
    <w:rsid w:val="002532FB"/>
    <w:rsid w:val="002546A4"/>
    <w:rsid w:val="0025535A"/>
    <w:rsid w:val="00256335"/>
    <w:rsid w:val="00267358"/>
    <w:rsid w:val="002707B6"/>
    <w:rsid w:val="00272A4F"/>
    <w:rsid w:val="002749C2"/>
    <w:rsid w:val="00277FED"/>
    <w:rsid w:val="002818A0"/>
    <w:rsid w:val="002827C6"/>
    <w:rsid w:val="00286197"/>
    <w:rsid w:val="00294548"/>
    <w:rsid w:val="00295DD0"/>
    <w:rsid w:val="00295FBC"/>
    <w:rsid w:val="002A35C7"/>
    <w:rsid w:val="002A4DDC"/>
    <w:rsid w:val="002B0E65"/>
    <w:rsid w:val="002B3CAA"/>
    <w:rsid w:val="002B512D"/>
    <w:rsid w:val="002B5829"/>
    <w:rsid w:val="002C07F6"/>
    <w:rsid w:val="002C1FF1"/>
    <w:rsid w:val="002C54E1"/>
    <w:rsid w:val="002C7664"/>
    <w:rsid w:val="002D3E1B"/>
    <w:rsid w:val="002E0775"/>
    <w:rsid w:val="002E20E6"/>
    <w:rsid w:val="002E27D4"/>
    <w:rsid w:val="002E2AB7"/>
    <w:rsid w:val="002E3BF0"/>
    <w:rsid w:val="002E7772"/>
    <w:rsid w:val="002F08E7"/>
    <w:rsid w:val="00302D80"/>
    <w:rsid w:val="003079D9"/>
    <w:rsid w:val="00310C3A"/>
    <w:rsid w:val="003166DC"/>
    <w:rsid w:val="00316B19"/>
    <w:rsid w:val="00324AEF"/>
    <w:rsid w:val="0032603B"/>
    <w:rsid w:val="00326FA6"/>
    <w:rsid w:val="003308B0"/>
    <w:rsid w:val="003315C4"/>
    <w:rsid w:val="00340B55"/>
    <w:rsid w:val="00344C36"/>
    <w:rsid w:val="00351406"/>
    <w:rsid w:val="0035151E"/>
    <w:rsid w:val="00351734"/>
    <w:rsid w:val="003606AA"/>
    <w:rsid w:val="00363CB8"/>
    <w:rsid w:val="00364EE9"/>
    <w:rsid w:val="00376D43"/>
    <w:rsid w:val="00387A77"/>
    <w:rsid w:val="003924A0"/>
    <w:rsid w:val="00392DC9"/>
    <w:rsid w:val="003956AA"/>
    <w:rsid w:val="003A3404"/>
    <w:rsid w:val="003A6058"/>
    <w:rsid w:val="003B2D6E"/>
    <w:rsid w:val="003B3012"/>
    <w:rsid w:val="003B615C"/>
    <w:rsid w:val="003B7E46"/>
    <w:rsid w:val="003C0DE9"/>
    <w:rsid w:val="003C2FFE"/>
    <w:rsid w:val="003C4811"/>
    <w:rsid w:val="003C7378"/>
    <w:rsid w:val="003D1C9A"/>
    <w:rsid w:val="003D1DED"/>
    <w:rsid w:val="003D25CA"/>
    <w:rsid w:val="003D2675"/>
    <w:rsid w:val="003D7645"/>
    <w:rsid w:val="003E38F9"/>
    <w:rsid w:val="003F2141"/>
    <w:rsid w:val="003F45B2"/>
    <w:rsid w:val="00400B38"/>
    <w:rsid w:val="0040139D"/>
    <w:rsid w:val="00404F9F"/>
    <w:rsid w:val="00405989"/>
    <w:rsid w:val="00413112"/>
    <w:rsid w:val="00416EF7"/>
    <w:rsid w:val="00417F71"/>
    <w:rsid w:val="00420E85"/>
    <w:rsid w:val="00421B00"/>
    <w:rsid w:val="00422D7D"/>
    <w:rsid w:val="00423A84"/>
    <w:rsid w:val="0042448A"/>
    <w:rsid w:val="00431A6B"/>
    <w:rsid w:val="00433819"/>
    <w:rsid w:val="00434F0D"/>
    <w:rsid w:val="00442FF7"/>
    <w:rsid w:val="0044544A"/>
    <w:rsid w:val="00454248"/>
    <w:rsid w:val="00455E81"/>
    <w:rsid w:val="00456518"/>
    <w:rsid w:val="004573DA"/>
    <w:rsid w:val="00464243"/>
    <w:rsid w:val="00464D2F"/>
    <w:rsid w:val="00465BF0"/>
    <w:rsid w:val="0046689E"/>
    <w:rsid w:val="00467F8B"/>
    <w:rsid w:val="00472A38"/>
    <w:rsid w:val="00483CE5"/>
    <w:rsid w:val="00484152"/>
    <w:rsid w:val="004915EF"/>
    <w:rsid w:val="0049318C"/>
    <w:rsid w:val="00494799"/>
    <w:rsid w:val="00497DE1"/>
    <w:rsid w:val="004A1B0E"/>
    <w:rsid w:val="004A4F72"/>
    <w:rsid w:val="004B4B52"/>
    <w:rsid w:val="004C7DEB"/>
    <w:rsid w:val="004D2137"/>
    <w:rsid w:val="004E05FC"/>
    <w:rsid w:val="004E228D"/>
    <w:rsid w:val="004E232C"/>
    <w:rsid w:val="004E7EA5"/>
    <w:rsid w:val="004F00B3"/>
    <w:rsid w:val="004F5ED9"/>
    <w:rsid w:val="004F6732"/>
    <w:rsid w:val="004F7FA8"/>
    <w:rsid w:val="00503497"/>
    <w:rsid w:val="00503B5A"/>
    <w:rsid w:val="00504F1B"/>
    <w:rsid w:val="00510655"/>
    <w:rsid w:val="00513F8B"/>
    <w:rsid w:val="005210B0"/>
    <w:rsid w:val="005234BF"/>
    <w:rsid w:val="00523F2B"/>
    <w:rsid w:val="00526CF2"/>
    <w:rsid w:val="00530BCD"/>
    <w:rsid w:val="005315C4"/>
    <w:rsid w:val="00531B1A"/>
    <w:rsid w:val="00534B32"/>
    <w:rsid w:val="005350F7"/>
    <w:rsid w:val="005367F0"/>
    <w:rsid w:val="00540564"/>
    <w:rsid w:val="00540D33"/>
    <w:rsid w:val="0054133B"/>
    <w:rsid w:val="00541974"/>
    <w:rsid w:val="00543010"/>
    <w:rsid w:val="0054466C"/>
    <w:rsid w:val="00550317"/>
    <w:rsid w:val="00556B05"/>
    <w:rsid w:val="00556D7B"/>
    <w:rsid w:val="00557C33"/>
    <w:rsid w:val="00560215"/>
    <w:rsid w:val="00562306"/>
    <w:rsid w:val="005676FF"/>
    <w:rsid w:val="005709EF"/>
    <w:rsid w:val="00572CBA"/>
    <w:rsid w:val="0057436B"/>
    <w:rsid w:val="0057476F"/>
    <w:rsid w:val="00576403"/>
    <w:rsid w:val="005776D9"/>
    <w:rsid w:val="0058024F"/>
    <w:rsid w:val="005829A3"/>
    <w:rsid w:val="005877F6"/>
    <w:rsid w:val="00597170"/>
    <w:rsid w:val="005A032C"/>
    <w:rsid w:val="005A28F5"/>
    <w:rsid w:val="005A422D"/>
    <w:rsid w:val="005A4AF0"/>
    <w:rsid w:val="005A72B7"/>
    <w:rsid w:val="005B6E6E"/>
    <w:rsid w:val="005C754B"/>
    <w:rsid w:val="005D453D"/>
    <w:rsid w:val="005D6469"/>
    <w:rsid w:val="005F120F"/>
    <w:rsid w:val="005F5448"/>
    <w:rsid w:val="005F6832"/>
    <w:rsid w:val="005F798E"/>
    <w:rsid w:val="00605E81"/>
    <w:rsid w:val="006069C4"/>
    <w:rsid w:val="00614FF7"/>
    <w:rsid w:val="00615F65"/>
    <w:rsid w:val="00620DD9"/>
    <w:rsid w:val="006219EF"/>
    <w:rsid w:val="006246C7"/>
    <w:rsid w:val="00631179"/>
    <w:rsid w:val="0063566D"/>
    <w:rsid w:val="0063604E"/>
    <w:rsid w:val="00641AF9"/>
    <w:rsid w:val="00643915"/>
    <w:rsid w:val="00645611"/>
    <w:rsid w:val="00652535"/>
    <w:rsid w:val="00652EDE"/>
    <w:rsid w:val="00660CEF"/>
    <w:rsid w:val="0067044D"/>
    <w:rsid w:val="006759CE"/>
    <w:rsid w:val="00675D67"/>
    <w:rsid w:val="0068154D"/>
    <w:rsid w:val="00681CBB"/>
    <w:rsid w:val="00684AA9"/>
    <w:rsid w:val="0069265D"/>
    <w:rsid w:val="00694564"/>
    <w:rsid w:val="006A2679"/>
    <w:rsid w:val="006A2BE3"/>
    <w:rsid w:val="006B2076"/>
    <w:rsid w:val="006B2FA7"/>
    <w:rsid w:val="006B2FF4"/>
    <w:rsid w:val="006B3567"/>
    <w:rsid w:val="006B4808"/>
    <w:rsid w:val="006B4EE8"/>
    <w:rsid w:val="006C0BE0"/>
    <w:rsid w:val="006C0F43"/>
    <w:rsid w:val="006C35C7"/>
    <w:rsid w:val="006C4804"/>
    <w:rsid w:val="006C4AF6"/>
    <w:rsid w:val="006D3C26"/>
    <w:rsid w:val="006D5732"/>
    <w:rsid w:val="006D6E85"/>
    <w:rsid w:val="006D731A"/>
    <w:rsid w:val="006E68B0"/>
    <w:rsid w:val="0070090F"/>
    <w:rsid w:val="0071509F"/>
    <w:rsid w:val="007167E1"/>
    <w:rsid w:val="00723DFC"/>
    <w:rsid w:val="00725A3A"/>
    <w:rsid w:val="00743F7E"/>
    <w:rsid w:val="00745AC7"/>
    <w:rsid w:val="00746E45"/>
    <w:rsid w:val="00747447"/>
    <w:rsid w:val="00752054"/>
    <w:rsid w:val="007522A8"/>
    <w:rsid w:val="007535FC"/>
    <w:rsid w:val="00753BC5"/>
    <w:rsid w:val="00760DC7"/>
    <w:rsid w:val="00761B33"/>
    <w:rsid w:val="00767E6C"/>
    <w:rsid w:val="00772144"/>
    <w:rsid w:val="007741F5"/>
    <w:rsid w:val="007748FE"/>
    <w:rsid w:val="007813CC"/>
    <w:rsid w:val="00784E44"/>
    <w:rsid w:val="00786A5A"/>
    <w:rsid w:val="00795E9B"/>
    <w:rsid w:val="007A519A"/>
    <w:rsid w:val="007B2112"/>
    <w:rsid w:val="007B2CAB"/>
    <w:rsid w:val="007B5F7B"/>
    <w:rsid w:val="007B6DF3"/>
    <w:rsid w:val="007B7B21"/>
    <w:rsid w:val="007C320D"/>
    <w:rsid w:val="007C4016"/>
    <w:rsid w:val="007C5AA1"/>
    <w:rsid w:val="007D5F7A"/>
    <w:rsid w:val="007E38F0"/>
    <w:rsid w:val="007E54AE"/>
    <w:rsid w:val="007E67D5"/>
    <w:rsid w:val="007F5064"/>
    <w:rsid w:val="007F668F"/>
    <w:rsid w:val="00800951"/>
    <w:rsid w:val="00800BCD"/>
    <w:rsid w:val="0080549D"/>
    <w:rsid w:val="00806037"/>
    <w:rsid w:val="00811F9D"/>
    <w:rsid w:val="00814582"/>
    <w:rsid w:val="00815C2E"/>
    <w:rsid w:val="00815F70"/>
    <w:rsid w:val="008227EA"/>
    <w:rsid w:val="00833639"/>
    <w:rsid w:val="008345C5"/>
    <w:rsid w:val="00835E7C"/>
    <w:rsid w:val="00837244"/>
    <w:rsid w:val="00837CA8"/>
    <w:rsid w:val="00840D33"/>
    <w:rsid w:val="00843ECB"/>
    <w:rsid w:val="008459C2"/>
    <w:rsid w:val="00846C5A"/>
    <w:rsid w:val="00862AE1"/>
    <w:rsid w:val="00862AF0"/>
    <w:rsid w:val="00867860"/>
    <w:rsid w:val="0088256F"/>
    <w:rsid w:val="00882CCD"/>
    <w:rsid w:val="00883750"/>
    <w:rsid w:val="008A073D"/>
    <w:rsid w:val="008A5DFE"/>
    <w:rsid w:val="008B2F0D"/>
    <w:rsid w:val="008B41E1"/>
    <w:rsid w:val="008C272A"/>
    <w:rsid w:val="008C2E4D"/>
    <w:rsid w:val="008C3F93"/>
    <w:rsid w:val="008C51BD"/>
    <w:rsid w:val="008C7FBF"/>
    <w:rsid w:val="008D367B"/>
    <w:rsid w:val="008D37DE"/>
    <w:rsid w:val="008D6171"/>
    <w:rsid w:val="008E12F6"/>
    <w:rsid w:val="008F0909"/>
    <w:rsid w:val="008F1510"/>
    <w:rsid w:val="008F3721"/>
    <w:rsid w:val="00900F0B"/>
    <w:rsid w:val="00904EE9"/>
    <w:rsid w:val="009160BC"/>
    <w:rsid w:val="009217FD"/>
    <w:rsid w:val="009236A2"/>
    <w:rsid w:val="00925259"/>
    <w:rsid w:val="00934556"/>
    <w:rsid w:val="00954350"/>
    <w:rsid w:val="0095507F"/>
    <w:rsid w:val="00962988"/>
    <w:rsid w:val="00963609"/>
    <w:rsid w:val="00963A5F"/>
    <w:rsid w:val="00967684"/>
    <w:rsid w:val="00972826"/>
    <w:rsid w:val="009803B5"/>
    <w:rsid w:val="00980F9B"/>
    <w:rsid w:val="00981331"/>
    <w:rsid w:val="00985305"/>
    <w:rsid w:val="009854A3"/>
    <w:rsid w:val="00985BB4"/>
    <w:rsid w:val="00992C27"/>
    <w:rsid w:val="00994030"/>
    <w:rsid w:val="009A24AC"/>
    <w:rsid w:val="009A2DE9"/>
    <w:rsid w:val="009A34A4"/>
    <w:rsid w:val="009A751D"/>
    <w:rsid w:val="009C21AC"/>
    <w:rsid w:val="009C3A7D"/>
    <w:rsid w:val="009D723B"/>
    <w:rsid w:val="009E5482"/>
    <w:rsid w:val="009E7EFF"/>
    <w:rsid w:val="009F0DF5"/>
    <w:rsid w:val="009F4BC0"/>
    <w:rsid w:val="009F5AAD"/>
    <w:rsid w:val="00A02BBA"/>
    <w:rsid w:val="00A1487D"/>
    <w:rsid w:val="00A14F20"/>
    <w:rsid w:val="00A15B19"/>
    <w:rsid w:val="00A23C8D"/>
    <w:rsid w:val="00A24A8A"/>
    <w:rsid w:val="00A30C50"/>
    <w:rsid w:val="00A3139C"/>
    <w:rsid w:val="00A33424"/>
    <w:rsid w:val="00A4257C"/>
    <w:rsid w:val="00A44436"/>
    <w:rsid w:val="00A46573"/>
    <w:rsid w:val="00A46CAA"/>
    <w:rsid w:val="00A50E96"/>
    <w:rsid w:val="00A5317D"/>
    <w:rsid w:val="00A53C8F"/>
    <w:rsid w:val="00A5705E"/>
    <w:rsid w:val="00A612E6"/>
    <w:rsid w:val="00A6135B"/>
    <w:rsid w:val="00A62414"/>
    <w:rsid w:val="00A625F8"/>
    <w:rsid w:val="00A6314F"/>
    <w:rsid w:val="00A63589"/>
    <w:rsid w:val="00A652BB"/>
    <w:rsid w:val="00A65E06"/>
    <w:rsid w:val="00A8237C"/>
    <w:rsid w:val="00A83BC4"/>
    <w:rsid w:val="00A84FAD"/>
    <w:rsid w:val="00A85B8D"/>
    <w:rsid w:val="00A85C65"/>
    <w:rsid w:val="00A85EC2"/>
    <w:rsid w:val="00A90CC7"/>
    <w:rsid w:val="00A92582"/>
    <w:rsid w:val="00A95B7F"/>
    <w:rsid w:val="00A95C32"/>
    <w:rsid w:val="00A96735"/>
    <w:rsid w:val="00AA0D1B"/>
    <w:rsid w:val="00AA0F6E"/>
    <w:rsid w:val="00AA5DA7"/>
    <w:rsid w:val="00AA7A7F"/>
    <w:rsid w:val="00AA7BB7"/>
    <w:rsid w:val="00AB5038"/>
    <w:rsid w:val="00AB6E58"/>
    <w:rsid w:val="00AB79BD"/>
    <w:rsid w:val="00AB7C6D"/>
    <w:rsid w:val="00AC2186"/>
    <w:rsid w:val="00AC29AB"/>
    <w:rsid w:val="00AC5A96"/>
    <w:rsid w:val="00AD1D34"/>
    <w:rsid w:val="00AD73FD"/>
    <w:rsid w:val="00AE139B"/>
    <w:rsid w:val="00AE2204"/>
    <w:rsid w:val="00AF0C00"/>
    <w:rsid w:val="00AF60F9"/>
    <w:rsid w:val="00AF76DA"/>
    <w:rsid w:val="00B010C4"/>
    <w:rsid w:val="00B01C46"/>
    <w:rsid w:val="00B02B47"/>
    <w:rsid w:val="00B02E90"/>
    <w:rsid w:val="00B15948"/>
    <w:rsid w:val="00B16825"/>
    <w:rsid w:val="00B205EF"/>
    <w:rsid w:val="00B27363"/>
    <w:rsid w:val="00B34B34"/>
    <w:rsid w:val="00B3791D"/>
    <w:rsid w:val="00B42FC3"/>
    <w:rsid w:val="00B43220"/>
    <w:rsid w:val="00B514A6"/>
    <w:rsid w:val="00B51AF9"/>
    <w:rsid w:val="00B55F1D"/>
    <w:rsid w:val="00B62FCA"/>
    <w:rsid w:val="00B66947"/>
    <w:rsid w:val="00B72E51"/>
    <w:rsid w:val="00B73F34"/>
    <w:rsid w:val="00B803B6"/>
    <w:rsid w:val="00B80E80"/>
    <w:rsid w:val="00B821B8"/>
    <w:rsid w:val="00B85543"/>
    <w:rsid w:val="00B85558"/>
    <w:rsid w:val="00B860FB"/>
    <w:rsid w:val="00B86570"/>
    <w:rsid w:val="00B86A7A"/>
    <w:rsid w:val="00B87A6C"/>
    <w:rsid w:val="00B90C45"/>
    <w:rsid w:val="00B931EA"/>
    <w:rsid w:val="00B9536C"/>
    <w:rsid w:val="00B958B1"/>
    <w:rsid w:val="00B96142"/>
    <w:rsid w:val="00BA30AD"/>
    <w:rsid w:val="00BA3F6A"/>
    <w:rsid w:val="00BA4B65"/>
    <w:rsid w:val="00BA6418"/>
    <w:rsid w:val="00BB1FE7"/>
    <w:rsid w:val="00BB26C7"/>
    <w:rsid w:val="00BB2CE6"/>
    <w:rsid w:val="00BC1802"/>
    <w:rsid w:val="00BC564C"/>
    <w:rsid w:val="00BC6E39"/>
    <w:rsid w:val="00BD29E8"/>
    <w:rsid w:val="00BD52B3"/>
    <w:rsid w:val="00BD573A"/>
    <w:rsid w:val="00BE0286"/>
    <w:rsid w:val="00BE0CCC"/>
    <w:rsid w:val="00BE5299"/>
    <w:rsid w:val="00BF335D"/>
    <w:rsid w:val="00BF3B58"/>
    <w:rsid w:val="00BF4333"/>
    <w:rsid w:val="00BF4B9E"/>
    <w:rsid w:val="00C0483F"/>
    <w:rsid w:val="00C057A7"/>
    <w:rsid w:val="00C06B46"/>
    <w:rsid w:val="00C07C0D"/>
    <w:rsid w:val="00C100EA"/>
    <w:rsid w:val="00C16456"/>
    <w:rsid w:val="00C17B51"/>
    <w:rsid w:val="00C17C7A"/>
    <w:rsid w:val="00C208ED"/>
    <w:rsid w:val="00C20A03"/>
    <w:rsid w:val="00C2344D"/>
    <w:rsid w:val="00C2664B"/>
    <w:rsid w:val="00C2694D"/>
    <w:rsid w:val="00C337AA"/>
    <w:rsid w:val="00C33A15"/>
    <w:rsid w:val="00C404A3"/>
    <w:rsid w:val="00C4553A"/>
    <w:rsid w:val="00C46EE4"/>
    <w:rsid w:val="00C525FD"/>
    <w:rsid w:val="00C52B7A"/>
    <w:rsid w:val="00C5313F"/>
    <w:rsid w:val="00C544E9"/>
    <w:rsid w:val="00C54B21"/>
    <w:rsid w:val="00C60549"/>
    <w:rsid w:val="00C64C08"/>
    <w:rsid w:val="00C661C4"/>
    <w:rsid w:val="00C8284A"/>
    <w:rsid w:val="00C84A2D"/>
    <w:rsid w:val="00C85166"/>
    <w:rsid w:val="00C852EE"/>
    <w:rsid w:val="00C979B4"/>
    <w:rsid w:val="00CA476F"/>
    <w:rsid w:val="00CB3F12"/>
    <w:rsid w:val="00CB54CF"/>
    <w:rsid w:val="00CC19D3"/>
    <w:rsid w:val="00CC265E"/>
    <w:rsid w:val="00CC50DA"/>
    <w:rsid w:val="00CC6092"/>
    <w:rsid w:val="00CD2E12"/>
    <w:rsid w:val="00CD79DD"/>
    <w:rsid w:val="00CF3869"/>
    <w:rsid w:val="00CF586F"/>
    <w:rsid w:val="00CF7A38"/>
    <w:rsid w:val="00CF7FDC"/>
    <w:rsid w:val="00D0063A"/>
    <w:rsid w:val="00D075CA"/>
    <w:rsid w:val="00D13573"/>
    <w:rsid w:val="00D147A9"/>
    <w:rsid w:val="00D21B81"/>
    <w:rsid w:val="00D23D91"/>
    <w:rsid w:val="00D27354"/>
    <w:rsid w:val="00D30600"/>
    <w:rsid w:val="00D30F39"/>
    <w:rsid w:val="00D32421"/>
    <w:rsid w:val="00D326C4"/>
    <w:rsid w:val="00D3559C"/>
    <w:rsid w:val="00D366FC"/>
    <w:rsid w:val="00D4188F"/>
    <w:rsid w:val="00D441D6"/>
    <w:rsid w:val="00D456E9"/>
    <w:rsid w:val="00D4579E"/>
    <w:rsid w:val="00D46027"/>
    <w:rsid w:val="00D46533"/>
    <w:rsid w:val="00D510A9"/>
    <w:rsid w:val="00D54F6F"/>
    <w:rsid w:val="00D551D3"/>
    <w:rsid w:val="00D5542F"/>
    <w:rsid w:val="00D601BF"/>
    <w:rsid w:val="00D6294B"/>
    <w:rsid w:val="00D63984"/>
    <w:rsid w:val="00D72EED"/>
    <w:rsid w:val="00D77C5E"/>
    <w:rsid w:val="00D84DBF"/>
    <w:rsid w:val="00D85F48"/>
    <w:rsid w:val="00D9146F"/>
    <w:rsid w:val="00D954C0"/>
    <w:rsid w:val="00DA604F"/>
    <w:rsid w:val="00DB0D2F"/>
    <w:rsid w:val="00DB4114"/>
    <w:rsid w:val="00DB79E2"/>
    <w:rsid w:val="00DC0C3C"/>
    <w:rsid w:val="00DC0F99"/>
    <w:rsid w:val="00DD2F88"/>
    <w:rsid w:val="00DD4048"/>
    <w:rsid w:val="00DE6AF9"/>
    <w:rsid w:val="00DF2904"/>
    <w:rsid w:val="00DF2DA9"/>
    <w:rsid w:val="00DF40C9"/>
    <w:rsid w:val="00E03E88"/>
    <w:rsid w:val="00E0436C"/>
    <w:rsid w:val="00E04BF6"/>
    <w:rsid w:val="00E12D8A"/>
    <w:rsid w:val="00E15D85"/>
    <w:rsid w:val="00E175C7"/>
    <w:rsid w:val="00E21C1F"/>
    <w:rsid w:val="00E21E2D"/>
    <w:rsid w:val="00E23A85"/>
    <w:rsid w:val="00E31645"/>
    <w:rsid w:val="00E31FAC"/>
    <w:rsid w:val="00E358B7"/>
    <w:rsid w:val="00E51FB2"/>
    <w:rsid w:val="00E53385"/>
    <w:rsid w:val="00E5571C"/>
    <w:rsid w:val="00E5641F"/>
    <w:rsid w:val="00E601DE"/>
    <w:rsid w:val="00E6039A"/>
    <w:rsid w:val="00E64AD5"/>
    <w:rsid w:val="00E65671"/>
    <w:rsid w:val="00E767C8"/>
    <w:rsid w:val="00E816BA"/>
    <w:rsid w:val="00E82C1C"/>
    <w:rsid w:val="00E842FE"/>
    <w:rsid w:val="00E845ED"/>
    <w:rsid w:val="00E849CB"/>
    <w:rsid w:val="00E9259E"/>
    <w:rsid w:val="00E9637C"/>
    <w:rsid w:val="00E96C20"/>
    <w:rsid w:val="00EA21DB"/>
    <w:rsid w:val="00EB02FA"/>
    <w:rsid w:val="00EB4CF4"/>
    <w:rsid w:val="00EC3775"/>
    <w:rsid w:val="00ED103B"/>
    <w:rsid w:val="00ED28F7"/>
    <w:rsid w:val="00ED3437"/>
    <w:rsid w:val="00EF048B"/>
    <w:rsid w:val="00EF1049"/>
    <w:rsid w:val="00EF3BEF"/>
    <w:rsid w:val="00EF5178"/>
    <w:rsid w:val="00F005B8"/>
    <w:rsid w:val="00F0167B"/>
    <w:rsid w:val="00F02176"/>
    <w:rsid w:val="00F121DB"/>
    <w:rsid w:val="00F12E47"/>
    <w:rsid w:val="00F15C32"/>
    <w:rsid w:val="00F2087D"/>
    <w:rsid w:val="00F23723"/>
    <w:rsid w:val="00F2773B"/>
    <w:rsid w:val="00F344D2"/>
    <w:rsid w:val="00F36EB2"/>
    <w:rsid w:val="00F37B64"/>
    <w:rsid w:val="00F41B77"/>
    <w:rsid w:val="00F43439"/>
    <w:rsid w:val="00F47C92"/>
    <w:rsid w:val="00F51639"/>
    <w:rsid w:val="00F57E07"/>
    <w:rsid w:val="00F622D7"/>
    <w:rsid w:val="00F663ED"/>
    <w:rsid w:val="00F70DAD"/>
    <w:rsid w:val="00F724A9"/>
    <w:rsid w:val="00F7299B"/>
    <w:rsid w:val="00F776B4"/>
    <w:rsid w:val="00F82339"/>
    <w:rsid w:val="00F8545B"/>
    <w:rsid w:val="00F855E5"/>
    <w:rsid w:val="00F92AF4"/>
    <w:rsid w:val="00F95E03"/>
    <w:rsid w:val="00F97193"/>
    <w:rsid w:val="00FA247A"/>
    <w:rsid w:val="00FA39DF"/>
    <w:rsid w:val="00FA646D"/>
    <w:rsid w:val="00FA6CF4"/>
    <w:rsid w:val="00FD4291"/>
    <w:rsid w:val="00FD42FA"/>
    <w:rsid w:val="00FD5647"/>
    <w:rsid w:val="00FD7485"/>
    <w:rsid w:val="00FE34BA"/>
    <w:rsid w:val="00FE3500"/>
    <w:rsid w:val="00FE42C2"/>
    <w:rsid w:val="00FE6BD1"/>
    <w:rsid w:val="00FF34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1262E"/>
  <w15:chartTrackingRefBased/>
  <w15:docId w15:val="{CEC56A40-6039-4938-9B7D-6331E2FB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93"/>
    <w:rPr>
      <w:rFonts w:ascii="Franklin Gothic Book" w:eastAsia="Times New Roman" w:hAnsi="Franklin Gothic Book" w:cs="Times New Roman"/>
      <w:color w:val="4A4D56" w:themeColor="text1"/>
      <w:lang w:val="en-US"/>
    </w:rPr>
  </w:style>
  <w:style w:type="paragraph" w:styleId="Heading1">
    <w:name w:val="heading 1"/>
    <w:next w:val="Normal"/>
    <w:uiPriority w:val="9"/>
    <w:qFormat/>
    <w:rsid w:val="000C295B"/>
    <w:pPr>
      <w:keepNext/>
      <w:keepLines/>
      <w:suppressAutoHyphens/>
      <w:spacing w:before="300" w:after="240" w:line="360" w:lineRule="exact"/>
      <w:outlineLvl w:val="0"/>
    </w:pPr>
    <w:rPr>
      <w:rFonts w:ascii="Rift Soft Medium" w:eastAsia="Times New Roman" w:hAnsi="Rift Soft Medium" w:cs="Times New Roman"/>
      <w:color w:val="053572"/>
      <w:sz w:val="36"/>
      <w:szCs w:val="24"/>
      <w:lang w:val="en-US"/>
    </w:rPr>
  </w:style>
  <w:style w:type="paragraph" w:styleId="Heading2">
    <w:name w:val="heading 2"/>
    <w:basedOn w:val="Heading1"/>
    <w:next w:val="Normal"/>
    <w:uiPriority w:val="9"/>
    <w:qFormat/>
    <w:rsid w:val="00423A84"/>
    <w:pPr>
      <w:numPr>
        <w:ilvl w:val="1"/>
      </w:numPr>
      <w:outlineLvl w:val="1"/>
    </w:pPr>
    <w:rPr>
      <w:color w:val="1FA9E1" w:themeColor="accent3"/>
    </w:rPr>
  </w:style>
  <w:style w:type="paragraph" w:styleId="Heading3">
    <w:name w:val="heading 3"/>
    <w:basedOn w:val="Heading1"/>
    <w:next w:val="Normal"/>
    <w:uiPriority w:val="9"/>
    <w:qFormat/>
    <w:rsid w:val="00D85F48"/>
    <w:pPr>
      <w:numPr>
        <w:ilvl w:val="2"/>
      </w:numPr>
      <w:outlineLvl w:val="2"/>
    </w:pPr>
    <w:rPr>
      <w:color w:val="265EAC" w:themeColor="accent2"/>
    </w:rPr>
  </w:style>
  <w:style w:type="paragraph" w:styleId="Heading4">
    <w:name w:val="heading 4"/>
    <w:basedOn w:val="Normal"/>
    <w:uiPriority w:val="9"/>
    <w:qFormat/>
    <w:rsid w:val="00994030"/>
    <w:pPr>
      <w:spacing w:before="240" w:after="180"/>
      <w:outlineLvl w:val="3"/>
    </w:pPr>
    <w:rPr>
      <w:rFonts w:ascii="Rift Soft Medium" w:hAnsi="Rift Soft Medium" w:cs="Arial"/>
      <w:bCs/>
      <w:color w:val="053572" w:themeColor="text2"/>
      <w:sz w:val="36"/>
      <w:szCs w:val="24"/>
    </w:rPr>
  </w:style>
  <w:style w:type="paragraph" w:styleId="Heading5">
    <w:name w:val="heading 5"/>
    <w:basedOn w:val="Heading4"/>
    <w:uiPriority w:val="9"/>
    <w:rsid w:val="00EA21DB"/>
    <w:pPr>
      <w:spacing w:after="160"/>
      <w:outlineLvl w:val="4"/>
    </w:pPr>
    <w:rPr>
      <w:rFonts w:ascii="Rift Soft Demi" w:hAnsi="Rift Soft Demi"/>
      <w:iCs/>
      <w:color w:val="416DCB" w:themeColor="accent1" w:themeTint="99"/>
      <w:sz w:val="32"/>
      <w:szCs w:val="22"/>
    </w:rPr>
  </w:style>
  <w:style w:type="paragraph" w:styleId="Heading6">
    <w:name w:val="heading 6"/>
    <w:uiPriority w:val="9"/>
    <w:rsid w:val="00994030"/>
    <w:pPr>
      <w:spacing w:after="120"/>
      <w:outlineLvl w:val="5"/>
    </w:pPr>
    <w:rPr>
      <w:rFonts w:ascii="Franklin Gothic Book" w:eastAsia="Times New Roman" w:hAnsi="Franklin Gothic Book" w:cs="Arial"/>
      <w:b/>
      <w:bCs/>
      <w:iCs/>
      <w:color w:val="4A4D56" w:themeColor="text1"/>
      <w:sz w:val="28"/>
      <w:szCs w:val="21"/>
      <w:lang w:val="en-US"/>
    </w:rPr>
  </w:style>
  <w:style w:type="paragraph" w:styleId="Heading7">
    <w:name w:val="heading 7"/>
    <w:basedOn w:val="Heading6"/>
    <w:next w:val="Normal"/>
    <w:uiPriority w:val="2"/>
    <w:rsid w:val="004960B4"/>
    <w:pPr>
      <w:outlineLvl w:val="6"/>
    </w:pPr>
    <w:rPr>
      <w:rFonts w:asciiTheme="majorHAnsi" w:hAnsiTheme="majorHAnsi"/>
      <w:b w:val="0"/>
      <w:bCs w:val="0"/>
      <w:color w:val="053572" w:themeColor="text2"/>
      <w:szCs w:val="28"/>
    </w:rPr>
  </w:style>
  <w:style w:type="paragraph" w:styleId="Heading8">
    <w:name w:val="heading 8"/>
    <w:basedOn w:val="Normal"/>
    <w:next w:val="Normal"/>
    <w:uiPriority w:val="2"/>
    <w:rsid w:val="00454842"/>
    <w:pPr>
      <w:outlineLvl w:val="7"/>
    </w:pPr>
    <w:rPr>
      <w:rFonts w:asciiTheme="majorHAnsi" w:hAnsiTheme="majorHAnsi"/>
      <w:color w:val="1FA9E1" w:themeColor="accent3"/>
      <w:sz w:val="24"/>
      <w:szCs w:val="24"/>
    </w:rPr>
  </w:style>
  <w:style w:type="paragraph" w:styleId="Heading9">
    <w:name w:val="heading 9"/>
    <w:basedOn w:val="Heading8"/>
    <w:next w:val="Normal"/>
    <w:uiPriority w:val="2"/>
    <w:rsid w:val="00454842"/>
    <w:pPr>
      <w:outlineLvl w:val="8"/>
    </w:pPr>
    <w:rPr>
      <w:color w:val="6B9BDE" w:themeColor="accent2" w:themeTint="99"/>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next w:val="Normal"/>
    <w:uiPriority w:val="99"/>
    <w:unhideWhenUsed/>
    <w:rsid w:val="003C4811"/>
    <w:pPr>
      <w:tabs>
        <w:tab w:val="right" w:leader="dot" w:pos="10070"/>
      </w:tabs>
      <w:spacing w:before="120" w:after="120"/>
      <w:ind w:right="-4"/>
    </w:pPr>
    <w:rPr>
      <w:rFonts w:ascii="Rift Soft" w:eastAsia="Times New Roman" w:hAnsi="Rift Soft" w:cs="Times New Roman"/>
      <w:color w:val="053572"/>
      <w:sz w:val="48"/>
      <w:szCs w:val="48"/>
      <w:lang w:val="en-US"/>
    </w:rPr>
  </w:style>
  <w:style w:type="character" w:styleId="Strong">
    <w:name w:val="Strong"/>
    <w:uiPriority w:val="22"/>
    <w:qFormat/>
    <w:rsid w:val="00BD573A"/>
    <w:rPr>
      <w:rFonts w:ascii="Franklin Gothic Medium" w:hAnsi="Franklin Gothic Medium"/>
    </w:rPr>
  </w:style>
  <w:style w:type="paragraph" w:styleId="BalloonText">
    <w:name w:val="Balloon Text"/>
    <w:basedOn w:val="Normal"/>
    <w:semiHidden/>
    <w:rsid w:val="00B51ADD"/>
    <w:rPr>
      <w:rFonts w:ascii="Tahoma" w:hAnsi="Tahoma" w:cs="Tahoma"/>
      <w:sz w:val="16"/>
      <w:szCs w:val="16"/>
    </w:rPr>
  </w:style>
  <w:style w:type="paragraph" w:customStyle="1" w:styleId="Bullet1">
    <w:name w:val="Bullet 1"/>
    <w:aliases w:val="Bullet_1"/>
    <w:basedOn w:val="Normal"/>
    <w:next w:val="Normal"/>
    <w:uiPriority w:val="1"/>
    <w:qFormat/>
    <w:rsid w:val="00F54AE8"/>
    <w:pPr>
      <w:numPr>
        <w:numId w:val="1"/>
      </w:numPr>
      <w:tabs>
        <w:tab w:val="num" w:pos="360"/>
      </w:tabs>
      <w:spacing w:after="120"/>
      <w:ind w:left="0" w:firstLine="0"/>
    </w:pPr>
  </w:style>
  <w:style w:type="paragraph" w:customStyle="1" w:styleId="Bullet2">
    <w:name w:val="Bullet 2"/>
    <w:basedOn w:val="Normal"/>
    <w:next w:val="Normal"/>
    <w:uiPriority w:val="1"/>
    <w:qFormat/>
    <w:rsid w:val="00F54AE8"/>
    <w:pPr>
      <w:numPr>
        <w:ilvl w:val="1"/>
        <w:numId w:val="2"/>
      </w:numPr>
      <w:tabs>
        <w:tab w:val="num" w:pos="360"/>
      </w:tabs>
      <w:spacing w:after="120"/>
      <w:ind w:left="0" w:firstLine="0"/>
    </w:pPr>
  </w:style>
  <w:style w:type="paragraph" w:customStyle="1" w:styleId="Bullet3">
    <w:name w:val="Bullet 3"/>
    <w:basedOn w:val="Normal"/>
    <w:next w:val="Normal"/>
    <w:uiPriority w:val="1"/>
    <w:qFormat/>
    <w:rsid w:val="00F54AE8"/>
    <w:pPr>
      <w:numPr>
        <w:ilvl w:val="2"/>
        <w:numId w:val="3"/>
      </w:numPr>
      <w:spacing w:after="120"/>
    </w:pPr>
  </w:style>
  <w:style w:type="paragraph" w:customStyle="1" w:styleId="CaptionFigure">
    <w:name w:val="Caption Figure"/>
    <w:uiPriority w:val="99"/>
    <w:semiHidden/>
    <w:qFormat/>
    <w:locked/>
    <w:rsid w:val="000C2EF9"/>
    <w:pPr>
      <w:keepNext/>
      <w:numPr>
        <w:numId w:val="4"/>
      </w:numPr>
      <w:spacing w:before="200" w:after="80" w:line="240" w:lineRule="auto"/>
      <w:jc w:val="center"/>
    </w:pPr>
    <w:rPr>
      <w:rFonts w:eastAsia="Times New Roman" w:cs="Times New Roman"/>
      <w:bCs/>
      <w:color w:val="4A4D56" w:themeColor="text1"/>
      <w:szCs w:val="20"/>
      <w:lang w:val="en-US"/>
    </w:rPr>
  </w:style>
  <w:style w:type="paragraph" w:customStyle="1" w:styleId="CaptionTable">
    <w:name w:val="Caption Table"/>
    <w:uiPriority w:val="99"/>
    <w:semiHidden/>
    <w:qFormat/>
    <w:locked/>
    <w:rsid w:val="000C2EF9"/>
    <w:pPr>
      <w:keepNext/>
      <w:numPr>
        <w:numId w:val="5"/>
      </w:numPr>
      <w:spacing w:before="200" w:after="80" w:line="240" w:lineRule="auto"/>
      <w:jc w:val="center"/>
    </w:pPr>
    <w:rPr>
      <w:rFonts w:eastAsia="Times New Roman" w:cs="Times New Roman"/>
      <w:bCs/>
      <w:color w:val="4A4D56" w:themeColor="text1"/>
      <w:szCs w:val="20"/>
      <w:lang w:val="en-US"/>
    </w:rPr>
  </w:style>
  <w:style w:type="paragraph" w:customStyle="1" w:styleId="CenterTableText">
    <w:name w:val="Center Table Text"/>
    <w:uiPriority w:val="14"/>
    <w:semiHidden/>
    <w:rsid w:val="00BD0DC6"/>
    <w:pPr>
      <w:spacing w:after="0" w:line="240" w:lineRule="auto"/>
      <w:jc w:val="center"/>
    </w:pPr>
    <w:rPr>
      <w:rFonts w:ascii="Franklin Gothic Book" w:eastAsia="Times New Roman" w:hAnsi="Franklin Gothic Book" w:cs="Times New Roman"/>
      <w:sz w:val="20"/>
      <w:lang w:val="en-US"/>
    </w:rPr>
  </w:style>
  <w:style w:type="paragraph" w:customStyle="1" w:styleId="TOC3Style">
    <w:name w:val="TOC 3 Style"/>
    <w:rsid w:val="001C4ACA"/>
    <w:pPr>
      <w:tabs>
        <w:tab w:val="right" w:leader="dot" w:pos="9360"/>
      </w:tabs>
      <w:spacing w:before="100"/>
      <w:ind w:left="1584" w:right="-4" w:hanging="648"/>
    </w:pPr>
    <w:rPr>
      <w:rFonts w:ascii="Franklin Gothic Book" w:eastAsia="Times New Roman" w:hAnsi="Franklin Gothic Book" w:cs="Times New Roman"/>
      <w:color w:val="4A4D56" w:themeColor="text1"/>
      <w:szCs w:val="20"/>
      <w:lang w:val="en-US"/>
    </w:rPr>
  </w:style>
  <w:style w:type="paragraph" w:styleId="CommentSubject">
    <w:name w:val="annotation subject"/>
    <w:semiHidden/>
    <w:rsid w:val="00B51ADD"/>
    <w:pPr>
      <w:spacing w:before="200" w:line="240" w:lineRule="auto"/>
      <w:jc w:val="both"/>
    </w:pPr>
    <w:rPr>
      <w:rFonts w:ascii="Franklin Gothic Book" w:eastAsia="Times New Roman" w:hAnsi="Franklin Gothic Book" w:cs="Times New Roman"/>
      <w:b/>
      <w:bCs/>
      <w:sz w:val="20"/>
      <w:szCs w:val="20"/>
      <w:lang w:val="en-US"/>
    </w:rPr>
  </w:style>
  <w:style w:type="paragraph" w:styleId="CommentText">
    <w:name w:val="annotation text"/>
    <w:basedOn w:val="Normal"/>
    <w:uiPriority w:val="99"/>
    <w:semiHidden/>
    <w:rsid w:val="00B51ADD"/>
    <w:rPr>
      <w:sz w:val="20"/>
      <w:szCs w:val="20"/>
    </w:rPr>
  </w:style>
  <w:style w:type="character" w:styleId="Emphasis">
    <w:name w:val="Emphasis"/>
    <w:basedOn w:val="DefaultParagraphFont"/>
    <w:uiPriority w:val="4"/>
    <w:qFormat/>
    <w:rsid w:val="00B51ADD"/>
    <w:rPr>
      <w:i/>
      <w:iCs/>
    </w:rPr>
  </w:style>
  <w:style w:type="paragraph" w:customStyle="1" w:styleId="Tablecontents">
    <w:name w:val="Table contents"/>
    <w:basedOn w:val="Normal"/>
    <w:rsid w:val="006E68B0"/>
    <w:pPr>
      <w:spacing w:after="0" w:line="240" w:lineRule="auto"/>
      <w:jc w:val="center"/>
    </w:pPr>
    <w:rPr>
      <w:rFonts w:ascii="Franklin Gothic Medium" w:hAnsi="Franklin Gothic Medium"/>
      <w:sz w:val="18"/>
      <w:szCs w:val="20"/>
    </w:rPr>
  </w:style>
  <w:style w:type="paragraph" w:styleId="EndnoteText">
    <w:name w:val="endnote text"/>
    <w:basedOn w:val="Normal"/>
    <w:uiPriority w:val="69"/>
    <w:rsid w:val="002A6F47"/>
    <w:pPr>
      <w:spacing w:after="0"/>
    </w:pPr>
    <w:rPr>
      <w:sz w:val="18"/>
      <w:szCs w:val="20"/>
    </w:rPr>
  </w:style>
  <w:style w:type="paragraph" w:customStyle="1" w:styleId="FigureCaption">
    <w:name w:val="Figure_Caption"/>
    <w:basedOn w:val="Normal"/>
    <w:next w:val="Normal"/>
    <w:uiPriority w:val="3"/>
    <w:semiHidden/>
    <w:qFormat/>
    <w:locked/>
    <w:rsid w:val="00B51ADD"/>
    <w:pPr>
      <w:keepNext/>
      <w:keepLines/>
      <w:suppressAutoHyphens/>
      <w:spacing w:before="320" w:after="120"/>
      <w:jc w:val="center"/>
    </w:pPr>
    <w:rPr>
      <w:b/>
    </w:rPr>
  </w:style>
  <w:style w:type="character" w:styleId="FollowedHyperlink">
    <w:name w:val="FollowedHyperlink"/>
    <w:basedOn w:val="DefaultParagraphFont"/>
    <w:uiPriority w:val="69"/>
    <w:rsid w:val="001C4ACA"/>
    <w:rPr>
      <w:rFonts w:asciiTheme="minorHAnsi" w:hAnsiTheme="minorHAnsi"/>
      <w:color w:val="5661AC" w:themeColor="accent5"/>
      <w:sz w:val="22"/>
      <w:u w:val="single"/>
    </w:rPr>
  </w:style>
  <w:style w:type="character" w:styleId="FootnoteReference">
    <w:name w:val="footnote reference"/>
    <w:aliases w:val="Footnote_Reference"/>
    <w:basedOn w:val="DefaultParagraphFont"/>
    <w:uiPriority w:val="69"/>
    <w:qFormat/>
    <w:rsid w:val="00B51ADD"/>
    <w:rPr>
      <w:vertAlign w:val="superscript"/>
    </w:rPr>
  </w:style>
  <w:style w:type="paragraph" w:styleId="FootnoteText">
    <w:name w:val="footnote text"/>
    <w:basedOn w:val="Normal"/>
    <w:uiPriority w:val="69"/>
    <w:rsid w:val="002A6F47"/>
    <w:pPr>
      <w:spacing w:after="0"/>
    </w:pPr>
    <w:rPr>
      <w:sz w:val="18"/>
      <w:szCs w:val="20"/>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table" w:styleId="GridTable1Light-Accent1">
    <w:name w:val="Grid Table 1 Light Accent 1"/>
    <w:basedOn w:val="TableNormal"/>
    <w:uiPriority w:val="46"/>
    <w:locked/>
    <w:rsid w:val="00D721EA"/>
    <w:pPr>
      <w:spacing w:before="200" w:after="0" w:line="240" w:lineRule="auto"/>
    </w:pPr>
    <w:rPr>
      <w:rFonts w:ascii="Franklin Gothic Book" w:eastAsia="Times New Roman" w:hAnsi="Franklin Gothic Book" w:cs="Times New Roman"/>
      <w:lang w:val="en-US"/>
    </w:rPr>
    <w:tblPr>
      <w:tblStyleRowBandSize w:val="1"/>
      <w:tblStyleColBandSize w:val="1"/>
      <w:tblBorders>
        <w:top w:val="single" w:sz="4" w:space="0" w:color="809EDC" w:themeColor="accent1" w:themeTint="66"/>
        <w:left w:val="single" w:sz="4" w:space="0" w:color="809EDC" w:themeColor="accent1" w:themeTint="66"/>
        <w:bottom w:val="single" w:sz="4" w:space="0" w:color="809EDC" w:themeColor="accent1" w:themeTint="66"/>
        <w:right w:val="single" w:sz="4" w:space="0" w:color="809EDC" w:themeColor="accent1" w:themeTint="66"/>
        <w:insideH w:val="single" w:sz="4" w:space="0" w:color="809EDC" w:themeColor="accent1" w:themeTint="66"/>
        <w:insideV w:val="single" w:sz="4" w:space="0" w:color="809EDC" w:themeColor="accent1" w:themeTint="66"/>
      </w:tblBorders>
    </w:tblPr>
    <w:tblStylePr w:type="firstRow">
      <w:rPr>
        <w:b/>
        <w:bCs/>
      </w:rPr>
      <w:tblPr/>
      <w:tcPr>
        <w:tcBorders>
          <w:bottom w:val="single" w:sz="12" w:space="0" w:color="416DCB" w:themeColor="accent1" w:themeTint="99"/>
        </w:tcBorders>
      </w:tcPr>
    </w:tblStylePr>
    <w:tblStylePr w:type="lastRow">
      <w:rPr>
        <w:b/>
        <w:bCs/>
      </w:rPr>
      <w:tblPr/>
      <w:tcPr>
        <w:tcBorders>
          <w:top w:val="double" w:sz="2" w:space="0" w:color="416DCB" w:themeColor="accent1" w:themeTint="99"/>
        </w:tcBorders>
      </w:tcPr>
    </w:tblStylePr>
    <w:tblStylePr w:type="firstCol">
      <w:rPr>
        <w:b/>
        <w:bCs/>
      </w:rPr>
    </w:tblStylePr>
    <w:tblStylePr w:type="lastCol">
      <w:rPr>
        <w:b/>
        <w:bCs/>
      </w:rPr>
    </w:tblStylePr>
  </w:style>
  <w:style w:type="paragraph" w:customStyle="1" w:styleId="Headernone">
    <w:name w:val="Header_none"/>
    <w:uiPriority w:val="1"/>
    <w:semiHidden/>
    <w:locked/>
    <w:rsid w:val="00B51ADD"/>
    <w:pPr>
      <w:tabs>
        <w:tab w:val="right" w:pos="9360"/>
      </w:tabs>
      <w:spacing w:before="200" w:line="240" w:lineRule="auto"/>
      <w:jc w:val="both"/>
    </w:pPr>
    <w:rPr>
      <w:rFonts w:ascii="Franklin Gothic Book" w:eastAsia="Times New Roman" w:hAnsi="Franklin Gothic Book" w:cs="Times New Roman"/>
      <w:i/>
      <w:noProof/>
      <w:sz w:val="16"/>
      <w:szCs w:val="16"/>
      <w:lang w:val="en-US"/>
    </w:rPr>
  </w:style>
  <w:style w:type="character" w:styleId="Hyperlink">
    <w:name w:val="Hyperlink"/>
    <w:basedOn w:val="DefaultParagraphFont"/>
    <w:uiPriority w:val="99"/>
    <w:rsid w:val="001C4ACA"/>
    <w:rPr>
      <w:rFonts w:asciiTheme="minorHAnsi" w:hAnsiTheme="minorHAnsi"/>
      <w:noProof/>
      <w:color w:val="5661AC" w:themeColor="accent5"/>
      <w:sz w:val="22"/>
      <w:u w:val="single"/>
    </w:rPr>
  </w:style>
  <w:style w:type="paragraph" w:styleId="Index1">
    <w:name w:val="index 1"/>
    <w:basedOn w:val="Normal"/>
    <w:next w:val="Normal"/>
    <w:autoRedefine/>
    <w:semiHidden/>
    <w:rsid w:val="00B51ADD"/>
    <w:pPr>
      <w:ind w:left="240" w:hanging="240"/>
    </w:pPr>
  </w:style>
  <w:style w:type="character" w:styleId="IntenseEmphasis">
    <w:name w:val="Intense Emphasis"/>
    <w:basedOn w:val="DefaultParagraphFont"/>
    <w:uiPriority w:val="4"/>
    <w:rsid w:val="001C4ACA"/>
    <w:rPr>
      <w:rFonts w:ascii="Franklin Gothic Medium" w:hAnsi="Franklin Gothic Medium"/>
      <w:b w:val="0"/>
      <w:i w:val="0"/>
      <w:iCs/>
      <w:color w:val="4A4D56" w:themeColor="text1"/>
      <w:sz w:val="22"/>
    </w:rPr>
  </w:style>
  <w:style w:type="paragraph" w:styleId="ListBullet">
    <w:name w:val="List Bullet"/>
    <w:basedOn w:val="Normal"/>
    <w:uiPriority w:val="9"/>
    <w:qFormat/>
    <w:rsid w:val="002E20E6"/>
    <w:pPr>
      <w:numPr>
        <w:numId w:val="14"/>
      </w:numPr>
      <w:spacing w:before="120" w:after="120"/>
      <w:ind w:left="465" w:hanging="285"/>
    </w:pPr>
  </w:style>
  <w:style w:type="paragraph" w:styleId="ListBullet2">
    <w:name w:val="List Bullet 2"/>
    <w:uiPriority w:val="9"/>
    <w:qFormat/>
    <w:rsid w:val="001C32D6"/>
    <w:pPr>
      <w:numPr>
        <w:ilvl w:val="1"/>
        <w:numId w:val="14"/>
      </w:numPr>
      <w:spacing w:before="120" w:after="120"/>
      <w:ind w:left="735" w:hanging="285"/>
    </w:pPr>
    <w:rPr>
      <w:rFonts w:ascii="Franklin Gothic Book" w:eastAsia="Times New Roman" w:hAnsi="Franklin Gothic Book" w:cs="Times New Roman"/>
      <w:color w:val="4A4D56" w:themeColor="text1"/>
      <w:lang w:val="en-US"/>
    </w:rPr>
  </w:style>
  <w:style w:type="paragraph" w:styleId="ListBullet3">
    <w:name w:val="List Bullet 3"/>
    <w:uiPriority w:val="9"/>
    <w:qFormat/>
    <w:rsid w:val="001C32D6"/>
    <w:pPr>
      <w:numPr>
        <w:ilvl w:val="2"/>
        <w:numId w:val="14"/>
      </w:numPr>
      <w:spacing w:before="120" w:after="120"/>
      <w:ind w:left="1035" w:hanging="285"/>
    </w:pPr>
    <w:rPr>
      <w:rFonts w:ascii="Franklin Gothic Book" w:eastAsia="Times New Roman" w:hAnsi="Franklin Gothic Book" w:cs="Times New Roman"/>
      <w:color w:val="4A4D56" w:themeColor="text1"/>
      <w:lang w:val="en-US"/>
    </w:rPr>
  </w:style>
  <w:style w:type="paragraph" w:styleId="ListNumber">
    <w:name w:val="List Number"/>
    <w:basedOn w:val="Normal"/>
    <w:uiPriority w:val="99"/>
    <w:semiHidden/>
    <w:rsid w:val="00351E32"/>
    <w:pPr>
      <w:numPr>
        <w:numId w:val="7"/>
      </w:numPr>
      <w:spacing w:after="120"/>
    </w:pPr>
  </w:style>
  <w:style w:type="paragraph" w:styleId="ListNumber2">
    <w:name w:val="List Number 2"/>
    <w:basedOn w:val="Normal"/>
    <w:uiPriority w:val="99"/>
    <w:semiHidden/>
    <w:rsid w:val="00351E32"/>
    <w:pPr>
      <w:numPr>
        <w:numId w:val="8"/>
      </w:numPr>
      <w:spacing w:after="120"/>
    </w:pPr>
  </w:style>
  <w:style w:type="paragraph" w:styleId="ListNumber3">
    <w:name w:val="List Number 3"/>
    <w:basedOn w:val="Normal"/>
    <w:uiPriority w:val="99"/>
    <w:semiHidden/>
    <w:rsid w:val="004D778A"/>
    <w:pPr>
      <w:numPr>
        <w:numId w:val="9"/>
      </w:numPr>
      <w:contextualSpacing/>
    </w:pPr>
  </w:style>
  <w:style w:type="paragraph" w:customStyle="1" w:styleId="ListNumber1">
    <w:name w:val="List Number1"/>
    <w:basedOn w:val="Normal"/>
    <w:uiPriority w:val="99"/>
    <w:semiHidden/>
    <w:locked/>
    <w:rsid w:val="00351E32"/>
    <w:pPr>
      <w:tabs>
        <w:tab w:val="num" w:pos="360"/>
      </w:tabs>
      <w:spacing w:after="120"/>
      <w:ind w:left="360" w:hanging="360"/>
    </w:pPr>
  </w:style>
  <w:style w:type="paragraph" w:styleId="ListParagraph">
    <w:name w:val="List Paragraph"/>
    <w:basedOn w:val="Normal"/>
    <w:uiPriority w:val="34"/>
    <w:qFormat/>
    <w:rsid w:val="00BD0DC6"/>
    <w:pPr>
      <w:ind w:left="720"/>
      <w:contextualSpacing/>
    </w:pPr>
  </w:style>
  <w:style w:type="table" w:styleId="ListTable7Colorful-Accent1">
    <w:name w:val="List Table 7 Colorful Accent 1"/>
    <w:basedOn w:val="TableNormal"/>
    <w:uiPriority w:val="52"/>
    <w:locked/>
    <w:rsid w:val="006B3D7D"/>
    <w:pPr>
      <w:spacing w:after="0" w:line="240" w:lineRule="auto"/>
    </w:pPr>
    <w:rPr>
      <w:rFonts w:ascii="Franklin Gothic Book" w:eastAsia="Franklin Gothic Book" w:hAnsi="Franklin Gothic Book" w:cs="Times New Roman"/>
      <w:color w:val="032755"/>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2B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2B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2B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2B54" w:themeColor="accent1"/>
        </w:tcBorders>
        <w:shd w:val="clear" w:color="auto" w:fill="FFFFFF" w:themeFill="background1"/>
      </w:tcPr>
    </w:tblStylePr>
    <w:tblStylePr w:type="band1Vert">
      <w:tblPr/>
      <w:tcPr>
        <w:shd w:val="clear" w:color="auto" w:fill="BFCEED" w:themeFill="accent1" w:themeFillTint="33"/>
      </w:tcPr>
    </w:tblStylePr>
    <w:tblStylePr w:type="band1Horz">
      <w:tblPr/>
      <w:tcPr>
        <w:shd w:val="clear" w:color="auto" w:fill="BFCE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List1">
    <w:name w:val="No. List 1"/>
    <w:uiPriority w:val="9"/>
    <w:rsid w:val="00E65671"/>
    <w:pPr>
      <w:numPr>
        <w:numId w:val="10"/>
      </w:numPr>
      <w:spacing w:after="120" w:line="240" w:lineRule="auto"/>
      <w:jc w:val="both"/>
    </w:pPr>
    <w:rPr>
      <w:rFonts w:ascii="Franklin Gothic Book" w:eastAsia="Times New Roman" w:hAnsi="Franklin Gothic Book" w:cs="Times New Roman"/>
      <w:color w:val="4A4D56" w:themeColor="text1"/>
      <w:lang w:val="en-US"/>
    </w:rPr>
  </w:style>
  <w:style w:type="paragraph" w:customStyle="1" w:styleId="NoList2">
    <w:name w:val="No. List 2"/>
    <w:uiPriority w:val="9"/>
    <w:rsid w:val="00E65671"/>
    <w:pPr>
      <w:numPr>
        <w:ilvl w:val="1"/>
        <w:numId w:val="11"/>
      </w:numPr>
      <w:spacing w:after="120" w:line="240" w:lineRule="auto"/>
      <w:jc w:val="both"/>
    </w:pPr>
    <w:rPr>
      <w:rFonts w:ascii="Franklin Gothic Book" w:eastAsia="Times New Roman" w:hAnsi="Franklin Gothic Book" w:cs="Times New Roman"/>
      <w:color w:val="4A4D56" w:themeColor="text1"/>
      <w:lang w:val="en-US"/>
    </w:rPr>
  </w:style>
  <w:style w:type="paragraph" w:customStyle="1" w:styleId="NoList3">
    <w:name w:val="No. List 3"/>
    <w:uiPriority w:val="9"/>
    <w:rsid w:val="00E65671"/>
    <w:pPr>
      <w:numPr>
        <w:ilvl w:val="2"/>
        <w:numId w:val="12"/>
      </w:numPr>
      <w:spacing w:after="120" w:line="240" w:lineRule="auto"/>
      <w:jc w:val="both"/>
    </w:pPr>
    <w:rPr>
      <w:rFonts w:ascii="Franklin Gothic Book" w:eastAsia="Times New Roman" w:hAnsi="Franklin Gothic Book" w:cs="Times New Roman"/>
      <w:color w:val="4A4D56" w:themeColor="text1"/>
      <w:lang w:val="en-US"/>
    </w:rPr>
  </w:style>
  <w:style w:type="paragraph" w:styleId="NormalWeb">
    <w:name w:val="Normal (Web)"/>
    <w:basedOn w:val="Normal"/>
    <w:uiPriority w:val="99"/>
    <w:semiHidden/>
    <w:rsid w:val="00B51ADD"/>
    <w:pPr>
      <w:spacing w:before="100" w:beforeAutospacing="1" w:after="100" w:afterAutospacing="1"/>
    </w:pPr>
    <w:rPr>
      <w:rFonts w:ascii="Times New Roman" w:hAnsi="Times New Roman"/>
    </w:rPr>
  </w:style>
  <w:style w:type="paragraph" w:customStyle="1" w:styleId="NormalCenter">
    <w:name w:val="Normal Center"/>
    <w:basedOn w:val="Normal"/>
    <w:uiPriority w:val="1"/>
    <w:rsid w:val="001E1344"/>
    <w:pPr>
      <w:jc w:val="center"/>
    </w:pPr>
    <w:rPr>
      <w:noProof/>
    </w:rPr>
  </w:style>
  <w:style w:type="numbering" w:customStyle="1" w:styleId="ODBulletList">
    <w:name w:val="OD Bullet List"/>
    <w:uiPriority w:val="99"/>
    <w:rsid w:val="0028728B"/>
  </w:style>
  <w:style w:type="numbering" w:customStyle="1" w:styleId="ODNumberList">
    <w:name w:val="OD Number List"/>
    <w:uiPriority w:val="99"/>
    <w:rsid w:val="00BD0DC6"/>
  </w:style>
  <w:style w:type="table" w:customStyle="1" w:styleId="ODCBasic-1">
    <w:name w:val="ODC_Basic-1"/>
    <w:basedOn w:val="TableNormal"/>
    <w:uiPriority w:val="99"/>
    <w:qFormat/>
    <w:rsid w:val="00E6039A"/>
    <w:pPr>
      <w:spacing w:after="0" w:line="240" w:lineRule="auto"/>
    </w:pPr>
    <w:rPr>
      <w:rFonts w:ascii="Franklin Gothic Book" w:eastAsia="Times New Roman" w:hAnsi="Franklin Gothic Book" w:cs="Times New Roman"/>
      <w:color w:val="FFFFFF" w:themeColor="background1"/>
      <w:sz w:val="18"/>
      <w:szCs w:val="20"/>
      <w:lang w:val="en-US"/>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Franklin Gothic Medium" w:hAnsi="Franklin Gothic Medium"/>
        <w:b w:val="0"/>
        <w:i w:val="0"/>
        <w:iCs/>
        <w:color w:val="1FA9E1" w:themeColor="accent3"/>
        <w:sz w:val="18"/>
      </w:rPr>
      <w:tblPr/>
      <w:tcPr>
        <w:tcBorders>
          <w:bottom w:val="single" w:sz="4" w:space="0" w:color="FFFFFF" w:themeColor="background2"/>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ageNumber">
    <w:name w:val="page number"/>
    <w:basedOn w:val="DefaultParagraphFont"/>
    <w:uiPriority w:val="99"/>
    <w:semiHidden/>
    <w:rsid w:val="00B51ADD"/>
  </w:style>
  <w:style w:type="character" w:styleId="PlaceholderText">
    <w:name w:val="Placeholder Text"/>
    <w:basedOn w:val="DefaultParagraphFont"/>
    <w:uiPriority w:val="99"/>
    <w:semiHidden/>
    <w:rsid w:val="002C33BF"/>
    <w:rPr>
      <w:color w:val="808080"/>
    </w:rPr>
  </w:style>
  <w:style w:type="table" w:styleId="PlainTable1">
    <w:name w:val="Plain Table 1"/>
    <w:basedOn w:val="TableNormal"/>
    <w:uiPriority w:val="41"/>
    <w:locked/>
    <w:rsid w:val="006143D1"/>
    <w:pPr>
      <w:spacing w:before="200" w:after="0" w:line="240" w:lineRule="auto"/>
    </w:pPr>
    <w:rPr>
      <w:rFonts w:ascii="Franklin Gothic Book" w:eastAsia="Times New Roman" w:hAnsi="Franklin Gothic Book"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locked/>
    <w:rsid w:val="00904FB6"/>
    <w:pPr>
      <w:spacing w:before="200" w:after="0" w:line="240" w:lineRule="auto"/>
    </w:pPr>
    <w:rPr>
      <w:rFonts w:ascii="Franklin Gothic Book" w:eastAsia="Times New Roman" w:hAnsi="Franklin Gothic Book" w:cs="Times New Roman"/>
      <w:lang w:val="en-US"/>
    </w:rPr>
    <w:tblPr>
      <w:tblStyleRowBandSize w:val="1"/>
      <w:tblStyleColBandSize w:val="1"/>
    </w:tblPr>
    <w:tblStylePr w:type="firstRow">
      <w:rPr>
        <w:b/>
        <w:bCs/>
        <w:caps/>
      </w:rPr>
      <w:tblPr/>
      <w:tcPr>
        <w:tcBorders>
          <w:bottom w:val="single" w:sz="4" w:space="0" w:color="A0A3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0A3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QuoteStyle">
    <w:name w:val="Quote Style"/>
    <w:basedOn w:val="Normal"/>
    <w:next w:val="Normal"/>
    <w:uiPriority w:val="5"/>
    <w:rsid w:val="00D075CA"/>
    <w:pPr>
      <w:jc w:val="center"/>
    </w:pPr>
    <w:rPr>
      <w:color w:val="6B9BDE" w:themeColor="accent2" w:themeTint="99"/>
      <w:sz w:val="24"/>
    </w:rPr>
  </w:style>
  <w:style w:type="paragraph" w:styleId="Quote">
    <w:name w:val="Quote"/>
    <w:basedOn w:val="Normal"/>
    <w:next w:val="Normal"/>
    <w:uiPriority w:val="99"/>
    <w:semiHidden/>
    <w:qFormat/>
    <w:rsid w:val="00C970BA"/>
    <w:pPr>
      <w:ind w:left="864" w:right="864"/>
      <w:jc w:val="center"/>
    </w:pPr>
    <w:rPr>
      <w:i/>
      <w:iCs/>
    </w:rPr>
  </w:style>
  <w:style w:type="paragraph" w:styleId="Signature">
    <w:name w:val="Signature"/>
    <w:basedOn w:val="Normal"/>
    <w:uiPriority w:val="99"/>
    <w:semiHidden/>
    <w:rsid w:val="00B51ADD"/>
    <w:pPr>
      <w:spacing w:after="0"/>
      <w:ind w:left="4320"/>
    </w:pPr>
  </w:style>
  <w:style w:type="character" w:styleId="SubtleEmphasis">
    <w:name w:val="Subtle Emphasis"/>
    <w:uiPriority w:val="4"/>
    <w:qFormat/>
    <w:rsid w:val="00BD573A"/>
    <w:rPr>
      <w:rFonts w:ascii="Franklin Gothic Medium" w:hAnsi="Franklin Gothic Medium"/>
      <w:b w:val="0"/>
      <w:iCs/>
      <w:color w:val="4A4D56" w:themeColor="text1"/>
    </w:rPr>
  </w:style>
  <w:style w:type="paragraph" w:styleId="TOC1">
    <w:name w:val="toc 1"/>
    <w:basedOn w:val="Normal"/>
    <w:next w:val="Normal"/>
    <w:autoRedefine/>
    <w:uiPriority w:val="39"/>
    <w:qFormat/>
    <w:rsid w:val="00155088"/>
    <w:pPr>
      <w:tabs>
        <w:tab w:val="left" w:pos="1584"/>
        <w:tab w:val="right" w:leader="dot" w:pos="10746"/>
      </w:tabs>
      <w:spacing w:before="120" w:after="120"/>
      <w:ind w:left="360" w:right="-4" w:hanging="360"/>
    </w:pPr>
    <w:rPr>
      <w:noProof/>
    </w:rPr>
  </w:style>
  <w:style w:type="paragraph" w:styleId="TOC2">
    <w:name w:val="toc 2"/>
    <w:basedOn w:val="Normal"/>
    <w:next w:val="Normal"/>
    <w:autoRedefine/>
    <w:uiPriority w:val="39"/>
    <w:rsid w:val="00A14F20"/>
    <w:pPr>
      <w:tabs>
        <w:tab w:val="left" w:leader="dot" w:pos="1152"/>
        <w:tab w:val="right" w:leader="dot" w:pos="10746"/>
      </w:tabs>
      <w:spacing w:before="120" w:after="120"/>
      <w:ind w:left="936" w:right="360" w:hanging="504"/>
    </w:pPr>
    <w:rPr>
      <w:noProof/>
    </w:rPr>
  </w:style>
  <w:style w:type="paragraph" w:styleId="TOC3">
    <w:name w:val="toc 3"/>
    <w:basedOn w:val="Normal"/>
    <w:next w:val="Normal"/>
    <w:autoRedefine/>
    <w:uiPriority w:val="39"/>
    <w:rsid w:val="00046703"/>
    <w:pPr>
      <w:tabs>
        <w:tab w:val="right" w:leader="dot" w:pos="9360"/>
      </w:tabs>
      <w:spacing w:before="100"/>
      <w:ind w:left="1584" w:right="333" w:hanging="648"/>
    </w:pPr>
  </w:style>
  <w:style w:type="paragraph" w:styleId="TOC4">
    <w:name w:val="toc 4"/>
    <w:basedOn w:val="Normal"/>
    <w:next w:val="Normal"/>
    <w:autoRedefine/>
    <w:uiPriority w:val="39"/>
    <w:semiHidden/>
    <w:rsid w:val="00721364"/>
    <w:pPr>
      <w:spacing w:after="0"/>
      <w:ind w:left="660"/>
    </w:pPr>
    <w:rPr>
      <w:sz w:val="20"/>
      <w:szCs w:val="20"/>
    </w:rPr>
  </w:style>
  <w:style w:type="paragraph" w:styleId="TOC5">
    <w:name w:val="toc 5"/>
    <w:basedOn w:val="Normal"/>
    <w:next w:val="Normal"/>
    <w:autoRedefine/>
    <w:uiPriority w:val="39"/>
    <w:semiHidden/>
    <w:rsid w:val="00721364"/>
    <w:pPr>
      <w:spacing w:after="0"/>
      <w:ind w:left="880"/>
    </w:pPr>
    <w:rPr>
      <w:sz w:val="20"/>
      <w:szCs w:val="20"/>
    </w:rPr>
  </w:style>
  <w:style w:type="paragraph" w:styleId="TOC6">
    <w:name w:val="toc 6"/>
    <w:basedOn w:val="Normal"/>
    <w:next w:val="Normal"/>
    <w:autoRedefine/>
    <w:uiPriority w:val="39"/>
    <w:semiHidden/>
    <w:rsid w:val="00721364"/>
    <w:pPr>
      <w:spacing w:after="0"/>
      <w:ind w:left="1100"/>
    </w:pPr>
    <w:rPr>
      <w:sz w:val="20"/>
      <w:szCs w:val="20"/>
    </w:rPr>
  </w:style>
  <w:style w:type="paragraph" w:styleId="TOC9">
    <w:name w:val="toc 9"/>
    <w:basedOn w:val="Normal"/>
    <w:next w:val="Normal"/>
    <w:autoRedefine/>
    <w:uiPriority w:val="99"/>
    <w:semiHidden/>
    <w:rsid w:val="00102DB2"/>
    <w:pPr>
      <w:spacing w:after="100"/>
      <w:ind w:left="1760"/>
    </w:pPr>
  </w:style>
  <w:style w:type="paragraph" w:styleId="TOCHeading">
    <w:name w:val="TOC Heading"/>
    <w:basedOn w:val="Normal"/>
    <w:uiPriority w:val="39"/>
    <w:qFormat/>
    <w:rsid w:val="003B615C"/>
    <w:pPr>
      <w:spacing w:line="500" w:lineRule="exact"/>
    </w:pPr>
    <w:rPr>
      <w:rFonts w:ascii="Rift Soft" w:hAnsi="Rift Soft"/>
      <w:color w:val="053572"/>
      <w:sz w:val="48"/>
      <w:szCs w:val="48"/>
    </w:rPr>
  </w:style>
  <w:style w:type="table" w:styleId="Table3Deffects3">
    <w:name w:val="Table 3D effects 3"/>
    <w:basedOn w:val="TableNormal"/>
    <w:locked/>
    <w:rsid w:val="004B54F7"/>
    <w:pPr>
      <w:spacing w:before="200" w:line="240" w:lineRule="auto"/>
      <w:jc w:val="both"/>
    </w:pPr>
    <w:rPr>
      <w:rFonts w:ascii="Franklin Gothic Book" w:eastAsia="Times New Roman" w:hAnsi="Franklin Gothic Book" w:cs="Times New Roman"/>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uiPriority w:val="6"/>
    <w:qFormat/>
    <w:rsid w:val="00800410"/>
    <w:pPr>
      <w:numPr>
        <w:numId w:val="13"/>
      </w:numPr>
      <w:spacing w:after="0"/>
      <w:ind w:left="144" w:hanging="144"/>
    </w:pPr>
    <w:rPr>
      <w:sz w:val="20"/>
      <w:szCs w:val="20"/>
    </w:rPr>
  </w:style>
  <w:style w:type="paragraph" w:customStyle="1" w:styleId="TableCenterText">
    <w:name w:val="Table Center Text"/>
    <w:uiPriority w:val="6"/>
    <w:rsid w:val="00D46027"/>
    <w:pPr>
      <w:spacing w:after="0" w:line="240" w:lineRule="auto"/>
      <w:jc w:val="center"/>
    </w:pPr>
    <w:rPr>
      <w:rFonts w:ascii="Franklin Gothic Book" w:eastAsia="Times New Roman" w:hAnsi="Franklin Gothic Book" w:cs="Times New Roman"/>
      <w:color w:val="4A4D56" w:themeColor="text1"/>
      <w:sz w:val="20"/>
      <w:lang w:val="en-US"/>
    </w:rPr>
  </w:style>
  <w:style w:type="table" w:styleId="TableGrid">
    <w:name w:val="Table Grid"/>
    <w:locked/>
    <w:rsid w:val="002B512D"/>
    <w:pPr>
      <w:spacing w:after="0" w:line="240" w:lineRule="auto"/>
    </w:pPr>
    <w:rPr>
      <w:rFonts w:ascii="Franklin Gothic Book" w:eastAsia="Times New Roman" w:hAnsi="Franklin Gothic Book" w:cs="Times New Roman"/>
      <w:color w:val="FFFFFF"/>
      <w:sz w:val="20"/>
      <w:szCs w:val="20"/>
      <w:lang w:val="en-US" w:eastAsia="en-ZA"/>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ftText">
    <w:name w:val="Table Left Text"/>
    <w:uiPriority w:val="6"/>
    <w:qFormat/>
    <w:rsid w:val="007C5AA1"/>
    <w:pPr>
      <w:spacing w:after="0" w:line="240" w:lineRule="auto"/>
    </w:pPr>
    <w:rPr>
      <w:rFonts w:ascii="Franklin Gothic Book" w:eastAsia="Times New Roman" w:hAnsi="Franklin Gothic Book" w:cs="Times New Roman"/>
      <w:color w:val="4A4D56" w:themeColor="text1"/>
      <w:sz w:val="20"/>
      <w:lang w:val="en-US"/>
    </w:rPr>
  </w:style>
  <w:style w:type="paragraph" w:customStyle="1" w:styleId="TableRightText">
    <w:name w:val="Table Right Text"/>
    <w:basedOn w:val="Normal"/>
    <w:uiPriority w:val="6"/>
    <w:rsid w:val="00C33039"/>
    <w:pPr>
      <w:spacing w:after="0"/>
      <w:jc w:val="right"/>
    </w:pPr>
    <w:rPr>
      <w:sz w:val="20"/>
    </w:rPr>
  </w:style>
  <w:style w:type="paragraph" w:customStyle="1" w:styleId="TableHeadingCentered">
    <w:name w:val="Table Heading (Centered)"/>
    <w:uiPriority w:val="6"/>
    <w:qFormat/>
    <w:rsid w:val="006E68B0"/>
    <w:pPr>
      <w:spacing w:after="0" w:line="240" w:lineRule="auto"/>
      <w:jc w:val="center"/>
    </w:pPr>
    <w:rPr>
      <w:rFonts w:ascii="Franklin Gothic Medium" w:eastAsia="Times New Roman" w:hAnsi="Franklin Gothic Medium" w:cs="Times New Roman"/>
      <w:color w:val="FFFFFF" w:themeColor="background1"/>
      <w:sz w:val="20"/>
      <w:szCs w:val="20"/>
      <w:lang w:val="en-US"/>
    </w:rPr>
  </w:style>
  <w:style w:type="paragraph" w:customStyle="1" w:styleId="TableWhiteTextBook">
    <w:name w:val="Table White Text (Book)"/>
    <w:uiPriority w:val="6"/>
    <w:rsid w:val="000F7F43"/>
    <w:pPr>
      <w:spacing w:after="0" w:line="240" w:lineRule="auto"/>
    </w:pPr>
    <w:rPr>
      <w:rFonts w:ascii="Franklin Gothic Book" w:eastAsia="Times New Roman" w:hAnsi="Franklin Gothic Book" w:cs="Times New Roman"/>
      <w:color w:val="FFFFFF"/>
      <w:sz w:val="20"/>
      <w:szCs w:val="20"/>
      <w:lang w:val="en-US"/>
    </w:rPr>
  </w:style>
  <w:style w:type="paragraph" w:styleId="TableofFigures">
    <w:name w:val="table of figures"/>
    <w:basedOn w:val="Normal"/>
    <w:next w:val="Normal"/>
    <w:uiPriority w:val="99"/>
    <w:rsid w:val="00173A1F"/>
    <w:pPr>
      <w:tabs>
        <w:tab w:val="right" w:leader="dot" w:pos="10070"/>
      </w:tabs>
      <w:spacing w:before="120" w:after="120"/>
      <w:ind w:right="360"/>
    </w:pPr>
  </w:style>
  <w:style w:type="paragraph" w:customStyle="1" w:styleId="TableFootnote">
    <w:name w:val="Table_Footnote"/>
    <w:uiPriority w:val="6"/>
    <w:rsid w:val="007C5AA1"/>
    <w:pPr>
      <w:spacing w:before="40" w:after="60" w:line="240" w:lineRule="auto"/>
      <w:jc w:val="both"/>
    </w:pPr>
    <w:rPr>
      <w:rFonts w:ascii="Franklin Gothic Book" w:eastAsia="Times New Roman" w:hAnsi="Franklin Gothic Book" w:cs="Times New Roman"/>
      <w:color w:val="4A4D56" w:themeColor="text1"/>
      <w:sz w:val="18"/>
      <w:szCs w:val="19"/>
      <w:lang w:val="en-US"/>
    </w:rPr>
  </w:style>
  <w:style w:type="character" w:styleId="UnresolvedMention">
    <w:name w:val="Unresolved Mention"/>
    <w:basedOn w:val="DefaultParagraphFont"/>
    <w:uiPriority w:val="99"/>
    <w:semiHidden/>
    <w:unhideWhenUsed/>
    <w:rsid w:val="00E71369"/>
    <w:rPr>
      <w:color w:val="605E5C"/>
      <w:shd w:val="clear" w:color="auto" w:fill="E1DFDD"/>
    </w:rPr>
  </w:style>
  <w:style w:type="table" w:customStyle="1" w:styleId="ODExcelPlaceholder">
    <w:name w:val="_OD Excel Placeholder"/>
    <w:basedOn w:val="TableNormal"/>
    <w:uiPriority w:val="99"/>
    <w:rsid w:val="00865C6A"/>
    <w:pPr>
      <w:spacing w:after="0"/>
    </w:pPr>
    <w:rPr>
      <w:sz w:val="18"/>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customStyle="1" w:styleId="zSRnote">
    <w:name w:val="zSR note"/>
    <w:basedOn w:val="Normal"/>
    <w:uiPriority w:val="99"/>
    <w:semiHidden/>
    <w:locked/>
    <w:rsid w:val="000C2EF9"/>
    <w:pPr>
      <w:spacing w:after="0"/>
    </w:pPr>
    <w:rPr>
      <w:color w:val="C00000"/>
    </w:rPr>
  </w:style>
  <w:style w:type="table" w:customStyle="1" w:styleId="ODTable1">
    <w:name w:val="OD Table 1"/>
    <w:basedOn w:val="TableNormal"/>
    <w:uiPriority w:val="99"/>
    <w:rsid w:val="008F0909"/>
    <w:pPr>
      <w:spacing w:after="0" w:line="240" w:lineRule="auto"/>
    </w:pPr>
    <w:tblPr/>
  </w:style>
  <w:style w:type="numbering" w:customStyle="1" w:styleId="ODXAPPENDIX">
    <w:name w:val="ODX APPENDIX"/>
    <w:uiPriority w:val="99"/>
    <w:rsid w:val="008B2F0D"/>
    <w:pPr>
      <w:numPr>
        <w:numId w:val="15"/>
      </w:numPr>
    </w:pPr>
  </w:style>
  <w:style w:type="character" w:styleId="SmartLink">
    <w:name w:val="Smart Link"/>
    <w:basedOn w:val="DefaultParagraphFont"/>
    <w:uiPriority w:val="99"/>
    <w:semiHidden/>
    <w:unhideWhenUsed/>
    <w:rsid w:val="000C2EF9"/>
    <w:rPr>
      <w:rFonts w:asciiTheme="minorHAnsi" w:hAnsiTheme="minorHAnsi"/>
      <w:color w:val="1FA9E1" w:themeColor="accent3"/>
      <w:sz w:val="22"/>
      <w:u w:val="single"/>
      <w:shd w:val="clear" w:color="auto" w:fill="F3F2F1"/>
    </w:rPr>
  </w:style>
  <w:style w:type="paragraph" w:customStyle="1" w:styleId="TableHeadingLeft">
    <w:name w:val="Table Heading (Left)"/>
    <w:qFormat/>
    <w:rsid w:val="007C5AA1"/>
    <w:pPr>
      <w:spacing w:after="0" w:line="240" w:lineRule="auto"/>
    </w:pPr>
    <w:rPr>
      <w:rFonts w:ascii="Franklin Gothic Medium" w:eastAsia="Times New Roman" w:hAnsi="Franklin Gothic Medium" w:cs="Times New Roman"/>
      <w:color w:val="FFFFFF" w:themeColor="background1"/>
      <w:sz w:val="20"/>
      <w:szCs w:val="20"/>
      <w:lang w:val="en-US"/>
    </w:rPr>
  </w:style>
  <w:style w:type="paragraph" w:customStyle="1" w:styleId="AppendicesEntries">
    <w:name w:val="Appendices Entries"/>
    <w:rsid w:val="003C4811"/>
    <w:pPr>
      <w:tabs>
        <w:tab w:val="left" w:pos="1584"/>
        <w:tab w:val="right" w:leader="dot" w:pos="10746"/>
      </w:tabs>
      <w:spacing w:before="120" w:after="120"/>
      <w:ind w:left="360" w:right="-4" w:hanging="360"/>
    </w:pPr>
    <w:rPr>
      <w:rFonts w:ascii="Franklin Gothic Book" w:eastAsia="Times New Roman" w:hAnsi="Franklin Gothic Book" w:cs="Times New Roman"/>
      <w:noProof/>
      <w:color w:val="4A4D56" w:themeColor="text1"/>
      <w:szCs w:val="20"/>
      <w:lang w:val="en-US"/>
    </w:rPr>
  </w:style>
  <w:style w:type="paragraph" w:customStyle="1" w:styleId="TableTextLeftMedium">
    <w:name w:val="Table Text Left (Medium)"/>
    <w:qFormat/>
    <w:rsid w:val="000E0419"/>
    <w:pPr>
      <w:spacing w:after="0" w:line="240" w:lineRule="auto"/>
    </w:pPr>
    <w:rPr>
      <w:rFonts w:ascii="Franklin Gothic Medium" w:eastAsia="Times New Roman" w:hAnsi="Franklin Gothic Medium" w:cs="Times New Roman"/>
      <w:color w:val="4A4D56" w:themeColor="text1"/>
      <w:sz w:val="20"/>
      <w:lang w:val="en-US"/>
    </w:rPr>
  </w:style>
  <w:style w:type="paragraph" w:styleId="Header">
    <w:name w:val="header"/>
    <w:basedOn w:val="Normal"/>
    <w:link w:val="HeaderChar"/>
    <w:uiPriority w:val="99"/>
    <w:unhideWhenUsed/>
    <w:rsid w:val="00A0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BBA"/>
    <w:rPr>
      <w:rFonts w:ascii="Franklin Gothic Book" w:eastAsia="Times New Roman" w:hAnsi="Franklin Gothic Book" w:cs="Times New Roman"/>
      <w:color w:val="4A4D56" w:themeColor="text1"/>
      <w:lang w:val="en-US"/>
    </w:rPr>
  </w:style>
  <w:style w:type="paragraph" w:styleId="Footer">
    <w:name w:val="footer"/>
    <w:basedOn w:val="Normal"/>
    <w:link w:val="FooterChar"/>
    <w:uiPriority w:val="99"/>
    <w:unhideWhenUsed/>
    <w:rsid w:val="00A0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BBA"/>
    <w:rPr>
      <w:rFonts w:ascii="Franklin Gothic Book" w:eastAsia="Times New Roman" w:hAnsi="Franklin Gothic Book" w:cs="Times New Roman"/>
      <w:color w:val="4A4D56" w:themeColor="text1"/>
      <w:lang w:val="en-US"/>
    </w:rPr>
  </w:style>
  <w:style w:type="numbering" w:customStyle="1" w:styleId="NumberList">
    <w:name w:val="Number List"/>
    <w:uiPriority w:val="99"/>
    <w:rsid w:val="0088256F"/>
    <w:pPr>
      <w:numPr>
        <w:numId w:val="17"/>
      </w:numPr>
    </w:pPr>
  </w:style>
  <w:style w:type="paragraph" w:styleId="BodyText">
    <w:name w:val="Body Text"/>
    <w:basedOn w:val="Normal"/>
    <w:link w:val="BodyTextChar"/>
    <w:uiPriority w:val="99"/>
    <w:semiHidden/>
    <w:unhideWhenUsed/>
    <w:rsid w:val="00E816BA"/>
    <w:pPr>
      <w:spacing w:after="120"/>
    </w:pPr>
  </w:style>
  <w:style w:type="character" w:customStyle="1" w:styleId="BodyTextChar">
    <w:name w:val="Body Text Char"/>
    <w:basedOn w:val="DefaultParagraphFont"/>
    <w:link w:val="BodyText"/>
    <w:uiPriority w:val="99"/>
    <w:semiHidden/>
    <w:rsid w:val="00E816BA"/>
    <w:rPr>
      <w:rFonts w:ascii="Franklin Gothic Book" w:eastAsia="Times New Roman" w:hAnsi="Franklin Gothic Book" w:cs="Times New Roman"/>
      <w:color w:val="4A4D56" w:themeColor="text1"/>
      <w:lang w:val="en-US"/>
    </w:rPr>
  </w:style>
  <w:style w:type="character" w:styleId="CommentReference">
    <w:name w:val="annotation reference"/>
    <w:basedOn w:val="DefaultParagraphFont"/>
    <w:uiPriority w:val="99"/>
    <w:semiHidden/>
    <w:unhideWhenUsed/>
    <w:rsid w:val="00302D80"/>
    <w:rPr>
      <w:sz w:val="16"/>
      <w:szCs w:val="16"/>
    </w:rPr>
  </w:style>
  <w:style w:type="paragraph" w:styleId="Revision">
    <w:name w:val="Revision"/>
    <w:hidden/>
    <w:uiPriority w:val="99"/>
    <w:semiHidden/>
    <w:rsid w:val="00F92AF4"/>
    <w:pPr>
      <w:spacing w:after="0" w:line="240" w:lineRule="auto"/>
    </w:pPr>
    <w:rPr>
      <w:rFonts w:ascii="Franklin Gothic Book" w:eastAsia="Times New Roman" w:hAnsi="Franklin Gothic Book" w:cs="Times New Roman"/>
      <w:color w:val="4A4D56" w:themeColor="text1"/>
      <w:lang w:val="en-US"/>
    </w:rPr>
  </w:style>
  <w:style w:type="paragraph" w:styleId="Caption">
    <w:name w:val="caption"/>
    <w:basedOn w:val="Normal"/>
    <w:next w:val="Normal"/>
    <w:link w:val="CaptionChar"/>
    <w:uiPriority w:val="35"/>
    <w:unhideWhenUsed/>
    <w:qFormat/>
    <w:rsid w:val="00A95B7F"/>
    <w:pPr>
      <w:spacing w:after="200" w:line="240" w:lineRule="auto"/>
    </w:pPr>
    <w:rPr>
      <w:i/>
      <w:iCs/>
      <w:color w:val="053572" w:themeColor="text2"/>
      <w:sz w:val="18"/>
      <w:szCs w:val="18"/>
    </w:rPr>
  </w:style>
  <w:style w:type="character" w:customStyle="1" w:styleId="CaptionChar">
    <w:name w:val="Caption Char"/>
    <w:basedOn w:val="DefaultParagraphFont"/>
    <w:link w:val="Caption"/>
    <w:uiPriority w:val="35"/>
    <w:rsid w:val="00FA6CF4"/>
    <w:rPr>
      <w:rFonts w:ascii="Franklin Gothic Book" w:eastAsia="Times New Roman" w:hAnsi="Franklin Gothic Book" w:cs="Times New Roman"/>
      <w:i/>
      <w:iCs/>
      <w:color w:val="053572"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31826">
      <w:bodyDiv w:val="1"/>
      <w:marLeft w:val="0"/>
      <w:marRight w:val="0"/>
      <w:marTop w:val="0"/>
      <w:marBottom w:val="0"/>
      <w:divBdr>
        <w:top w:val="none" w:sz="0" w:space="0" w:color="auto"/>
        <w:left w:val="none" w:sz="0" w:space="0" w:color="auto"/>
        <w:bottom w:val="none" w:sz="0" w:space="0" w:color="auto"/>
        <w:right w:val="none" w:sz="0" w:space="0" w:color="auto"/>
      </w:divBdr>
      <w:divsChild>
        <w:div w:id="1184438357">
          <w:marLeft w:val="0"/>
          <w:marRight w:val="0"/>
          <w:marTop w:val="0"/>
          <w:marBottom w:val="0"/>
          <w:divBdr>
            <w:top w:val="none" w:sz="0" w:space="0" w:color="auto"/>
            <w:left w:val="none" w:sz="0" w:space="0" w:color="auto"/>
            <w:bottom w:val="none" w:sz="0" w:space="0" w:color="auto"/>
            <w:right w:val="none" w:sz="0" w:space="0" w:color="auto"/>
          </w:divBdr>
        </w:div>
      </w:divsChild>
    </w:div>
    <w:div w:id="705760144">
      <w:bodyDiv w:val="1"/>
      <w:marLeft w:val="0"/>
      <w:marRight w:val="0"/>
      <w:marTop w:val="0"/>
      <w:marBottom w:val="0"/>
      <w:divBdr>
        <w:top w:val="none" w:sz="0" w:space="0" w:color="auto"/>
        <w:left w:val="none" w:sz="0" w:space="0" w:color="auto"/>
        <w:bottom w:val="none" w:sz="0" w:space="0" w:color="auto"/>
        <w:right w:val="none" w:sz="0" w:space="0" w:color="auto"/>
      </w:divBdr>
    </w:div>
    <w:div w:id="962077030">
      <w:bodyDiv w:val="1"/>
      <w:marLeft w:val="0"/>
      <w:marRight w:val="0"/>
      <w:marTop w:val="0"/>
      <w:marBottom w:val="0"/>
      <w:divBdr>
        <w:top w:val="none" w:sz="0" w:space="0" w:color="auto"/>
        <w:left w:val="none" w:sz="0" w:space="0" w:color="auto"/>
        <w:bottom w:val="none" w:sz="0" w:space="0" w:color="auto"/>
        <w:right w:val="none" w:sz="0" w:space="0" w:color="auto"/>
      </w:divBdr>
    </w:div>
    <w:div w:id="191157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lsag.info/wp-content/uploads/IL-TRM_Effective_010124_v12.0_Vol_4_X-Cutting_Measures_and_Attach_09222023_FINAL.pdf" TargetMode="External"/><Relationship Id="rId1" Type="http://schemas.openxmlformats.org/officeDocument/2006/relationships/hyperlink" Target="https://www.icc.illinois.gov/docket/P2023-0761/documents/344226/files/6011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ernandez\AppData\Local\Temp\2f03a2d8-6d78-4109-a044-83fed0df8a91\Opinion%20Dynamics%20-%20Memo%20Document%20(2).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D main theme">
      <a:dk1>
        <a:srgbClr val="4A4D56"/>
      </a:dk1>
      <a:lt1>
        <a:srgbClr val="FFFFFF"/>
      </a:lt1>
      <a:dk2>
        <a:srgbClr val="053572"/>
      </a:dk2>
      <a:lt2>
        <a:srgbClr val="FFFFFF"/>
      </a:lt2>
      <a:accent1>
        <a:srgbClr val="172B54"/>
      </a:accent1>
      <a:accent2>
        <a:srgbClr val="265EAC"/>
      </a:accent2>
      <a:accent3>
        <a:srgbClr val="1FA9E1"/>
      </a:accent3>
      <a:accent4>
        <a:srgbClr val="7E83C0"/>
      </a:accent4>
      <a:accent5>
        <a:srgbClr val="5661AC"/>
      </a:accent5>
      <a:accent6>
        <a:srgbClr val="FFDFB8"/>
      </a:accent6>
      <a:hlink>
        <a:srgbClr val="4087C7"/>
      </a:hlink>
      <a:folHlink>
        <a:srgbClr val="A1CBE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blipFill>
          <a:blip xmlns:r="http://schemas.openxmlformats.org/officeDocument/2006/relationships" r:embed="rId1">
            <a:extLst>
              <a:ext uri="{96DAC541-7B7A-43D3-8B79-37D633B846F1}">
                <asvg:svgBlip xmlns:asvg="http://schemas.microsoft.com/office/drawing/2016/SVG/main" r:embed="rId2"/>
              </a:ext>
            </a:extLst>
          </a:blip>
          <a:stretch>
            <a:fillRect/>
          </a:stretch>
        </a:blipFill>
        <a:ln w="9525">
          <a:noFill/>
          <a:miter lim="800000"/>
          <a:headEnd/>
          <a:tailEnd/>
        </a:ln>
      </a:spPr>
      <a:bodyPr rot="0" vert="horz" wrap="square" lIns="468000" tIns="360000" rIns="468000" bIns="36000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Section</b:Tag>
    <b:RefOrder>1</b:RefOrder>
  </b:Source>
</b:Sources>
</file>

<file path=customXml/itemProps1.xml><?xml version="1.0" encoding="utf-8"?>
<ds:datastoreItem xmlns:ds="http://schemas.openxmlformats.org/officeDocument/2006/customXml" ds:itemID="{5AE5D383-8288-463E-A8CC-DB995C25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 Dynamics - Memo Document (2)</Template>
  <TotalTime>4</TotalTime>
  <Pages>8</Pages>
  <Words>2646</Words>
  <Characters>15299</Characters>
  <Application>Microsoft Office Word</Application>
  <DocSecurity>0</DocSecurity>
  <Lines>288</Lines>
  <Paragraphs>164</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Malena Hernandez</dc:creator>
  <cp:lastModifiedBy>Malena Hernandez</cp:lastModifiedBy>
  <cp:revision>3</cp:revision>
  <cp:lastPrinted>2023-10-12T22:03:00Z</cp:lastPrinted>
  <dcterms:created xsi:type="dcterms:W3CDTF">2024-08-30T19:47:00Z</dcterms:created>
  <dcterms:modified xsi:type="dcterms:W3CDTF">2024-08-30T19:48:00Z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73564f48-a1c1-4ad1-8cac-555e9f90f817</vt:lpwstr>
  </property>
</Properties>
</file>